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150" w:afterAutospacing="0" w:line="600" w:lineRule="exact"/>
        <w:jc w:val="center"/>
        <w:textAlignment w:val="auto"/>
        <w:rPr>
          <w:rFonts w:hint="eastAsia" w:ascii="方正小标宋简体" w:hAnsi="方正小标宋简体" w:eastAsia="方正小标宋简体" w:cs="方正小标宋简体"/>
          <w:color w:val="333333"/>
          <w:sz w:val="44"/>
          <w:szCs w:val="44"/>
          <w:lang w:eastAsia="zh-CN"/>
        </w:rPr>
      </w:pPr>
      <w:r>
        <w:rPr>
          <w:rFonts w:hint="eastAsia" w:ascii="方正小标宋简体" w:hAnsi="方正小标宋简体" w:eastAsia="方正小标宋简体" w:cs="方正小标宋简体"/>
          <w:color w:val="333333"/>
          <w:sz w:val="44"/>
          <w:szCs w:val="44"/>
          <w:lang w:eastAsia="zh-CN"/>
        </w:rPr>
        <w:t>关于进一步加强公路水运工程</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150" w:afterAutospacing="0" w:line="600" w:lineRule="exact"/>
        <w:jc w:val="center"/>
        <w:textAlignment w:val="auto"/>
        <w:rPr>
          <w:rFonts w:hint="eastAsia" w:ascii="方正小标宋简体" w:hAnsi="方正小标宋简体" w:eastAsia="方正小标宋简体" w:cs="方正小标宋简体"/>
          <w:color w:val="333333"/>
          <w:sz w:val="44"/>
          <w:szCs w:val="44"/>
          <w:lang w:eastAsia="zh-CN"/>
        </w:rPr>
      </w:pPr>
      <w:r>
        <w:rPr>
          <w:rFonts w:hint="eastAsia" w:ascii="方正小标宋简体" w:hAnsi="方正小标宋简体" w:eastAsia="方正小标宋简体" w:cs="方正小标宋简体"/>
          <w:color w:val="333333"/>
          <w:sz w:val="44"/>
          <w:szCs w:val="44"/>
          <w:lang w:eastAsia="zh-CN"/>
        </w:rPr>
        <w:t>评标专家管理工作的意见</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150" w:afterAutospacing="0" w:line="600" w:lineRule="exact"/>
        <w:jc w:val="center"/>
        <w:textAlignment w:val="auto"/>
        <w:rPr>
          <w:rFonts w:hint="eastAsia" w:ascii="楷体_GB2312" w:hAnsi="楷体_GB2312" w:eastAsia="楷体_GB2312" w:cs="楷体_GB2312"/>
          <w:color w:val="333333"/>
          <w:sz w:val="32"/>
          <w:szCs w:val="32"/>
          <w:lang w:eastAsia="zh-CN"/>
        </w:rPr>
      </w:pPr>
      <w:r>
        <w:rPr>
          <w:rFonts w:hint="eastAsia" w:ascii="楷体_GB2312" w:hAnsi="楷体_GB2312" w:eastAsia="楷体_GB2312" w:cs="楷体_GB2312"/>
          <w:color w:val="333333"/>
          <w:sz w:val="32"/>
          <w:szCs w:val="32"/>
          <w:lang w:eastAsia="zh-CN"/>
        </w:rPr>
        <w:t>（征求意见稿）</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150" w:afterAutospacing="0" w:line="600" w:lineRule="exact"/>
        <w:jc w:val="center"/>
        <w:textAlignment w:val="auto"/>
        <w:rPr>
          <w:rFonts w:hint="eastAsia" w:ascii="方正小标宋简体" w:hAnsi="方正小标宋简体" w:eastAsia="方正小标宋简体" w:cs="方正小标宋简体"/>
          <w:color w:val="333333"/>
          <w:sz w:val="44"/>
          <w:szCs w:val="44"/>
          <w:lang w:eastAsia="zh-CN"/>
        </w:rPr>
      </w:pPr>
    </w:p>
    <w:p>
      <w:pPr>
        <w:pStyle w:val="9"/>
        <w:keepNext w:val="0"/>
        <w:keepLines w:val="0"/>
        <w:pageBreakBefore w:val="0"/>
        <w:widowControl/>
        <w:shd w:val="clear" w:color="auto" w:fill="FFFFFF"/>
        <w:kinsoku/>
        <w:wordWrap/>
        <w:overflowPunct/>
        <w:topLinePunct w:val="0"/>
        <w:autoSpaceDE/>
        <w:autoSpaceDN/>
        <w:bidi w:val="0"/>
        <w:adjustRightInd w:val="0"/>
        <w:snapToGrid/>
        <w:spacing w:before="0" w:beforeAutospacing="0" w:after="0" w:afterAutospacing="0" w:line="560" w:lineRule="exact"/>
        <w:ind w:firstLine="646" w:firstLineChars="200"/>
        <w:textAlignment w:val="auto"/>
        <w:rPr>
          <w:rFonts w:hint="eastAsia" w:ascii="仿宋_GB2312" w:hAnsi="仿宋_GB2312" w:eastAsia="仿宋_GB2312" w:cs="仿宋_GB2312"/>
          <w:spacing w:val="0"/>
          <w:w w:val="101"/>
          <w:sz w:val="32"/>
          <w:szCs w:val="32"/>
          <w:highlight w:val="none"/>
          <w:lang w:eastAsia="zh-CN"/>
        </w:rPr>
      </w:pPr>
      <w:r>
        <w:rPr>
          <w:rFonts w:hint="eastAsia" w:ascii="仿宋_GB2312" w:hAnsi="仿宋_GB2312" w:eastAsia="仿宋_GB2312" w:cs="仿宋_GB2312"/>
          <w:spacing w:val="0"/>
          <w:w w:val="101"/>
          <w:sz w:val="32"/>
          <w:szCs w:val="32"/>
          <w:highlight w:val="none"/>
          <w:lang w:eastAsia="zh-CN"/>
        </w:rPr>
        <w:t>为规范我市公路水运工程评标行为，确保评标活动公平、公正、科学、择优，依据《公路建设项目评标专家库管理办法》(交公路发〔2011〕797号)、《关于严格执行招标投标法规制度进一步规范招标投标主体行为的若干意见》（发改法规规〔2022〕1117号）等规定，现就进一步加强我市公路水运工程评标专家管理提出以下意见。</w:t>
      </w:r>
    </w:p>
    <w:p>
      <w:pPr>
        <w:pStyle w:val="9"/>
        <w:keepNext w:val="0"/>
        <w:keepLines w:val="0"/>
        <w:pageBreakBefore w:val="0"/>
        <w:widowControl/>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333333"/>
          <w:sz w:val="32"/>
          <w:szCs w:val="32"/>
          <w:lang w:eastAsia="zh-CN"/>
        </w:rPr>
      </w:pPr>
      <w:r>
        <w:rPr>
          <w:rFonts w:hint="eastAsia" w:ascii="黑体" w:hAnsi="黑体" w:eastAsia="黑体" w:cs="黑体"/>
          <w:color w:val="333333"/>
          <w:sz w:val="32"/>
          <w:szCs w:val="32"/>
          <w:lang w:val="en-US" w:eastAsia="zh-CN"/>
        </w:rPr>
        <w:t xml:space="preserve"> 一、总体要求</w:t>
      </w:r>
    </w:p>
    <w:p>
      <w:pPr>
        <w:pStyle w:val="9"/>
        <w:keepNext w:val="0"/>
        <w:keepLines w:val="0"/>
        <w:pageBreakBefore w:val="0"/>
        <w:widowControl/>
        <w:shd w:val="clear" w:color="auto" w:fill="FFFFFF"/>
        <w:kinsoku/>
        <w:wordWrap/>
        <w:overflowPunct/>
        <w:topLinePunct w:val="0"/>
        <w:autoSpaceDE/>
        <w:autoSpaceDN/>
        <w:bidi w:val="0"/>
        <w:adjustRightInd w:val="0"/>
        <w:snapToGrid/>
        <w:spacing w:before="0" w:beforeAutospacing="0" w:after="0" w:afterAutospacing="0" w:line="560" w:lineRule="exact"/>
        <w:ind w:firstLine="646" w:firstLineChars="200"/>
        <w:textAlignment w:val="auto"/>
        <w:rPr>
          <w:rFonts w:hint="eastAsia" w:ascii="仿宋_GB2312" w:hAnsi="仿宋_GB2312" w:eastAsia="仿宋_GB2312" w:cs="仿宋_GB2312"/>
          <w:spacing w:val="0"/>
          <w:w w:val="101"/>
          <w:sz w:val="32"/>
          <w:szCs w:val="32"/>
          <w:highlight w:val="none"/>
          <w:lang w:eastAsia="zh-CN"/>
        </w:rPr>
      </w:pPr>
      <w:r>
        <w:rPr>
          <w:rFonts w:hint="eastAsia" w:ascii="仿宋_GB2312" w:hAnsi="仿宋_GB2312" w:eastAsia="仿宋_GB2312" w:cs="仿宋_GB2312"/>
          <w:spacing w:val="0"/>
          <w:w w:val="101"/>
          <w:sz w:val="32"/>
          <w:szCs w:val="32"/>
          <w:highlight w:val="none"/>
          <w:lang w:eastAsia="zh-CN"/>
        </w:rPr>
        <w:t>近年来，我市公路水运勘察设计和建设管理水平不断提高，评标专家作为社会专业人才队伍为提高评标质量、优选中标单位、保证建设水平发挥了重要作用。为深入贯彻落实习近平总书记关于全力打造“精品工程、样板工程、平安工程、廉洁工程”重要指示精神，强化目标导向和问题导向，不断加强评标专家监管，规范专家行为，有效保证评标委员会成员认真、公正、诚实、廉洁、勤勉地履行职责，推动我市公路水运工程招标投标活动高质量发展。</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黑体" w:hAnsi="黑体" w:eastAsia="黑体" w:cs="黑体"/>
          <w:color w:val="333333"/>
          <w:sz w:val="32"/>
          <w:szCs w:val="32"/>
          <w:lang w:val="en-US" w:eastAsia="zh-CN"/>
        </w:rPr>
      </w:pPr>
      <w:r>
        <w:rPr>
          <w:rFonts w:hint="eastAsia" w:ascii="黑体" w:hAnsi="黑体" w:eastAsia="黑体" w:cs="黑体"/>
          <w:color w:val="333333"/>
          <w:sz w:val="32"/>
          <w:szCs w:val="32"/>
          <w:lang w:val="en-US" w:eastAsia="zh-CN"/>
        </w:rPr>
        <w:t>严格专家入库</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楷体_GB2312" w:hAnsi="楷体_GB2312" w:eastAsia="楷体_GB2312" w:cs="楷体_GB2312"/>
          <w:color w:val="000000"/>
          <w:kern w:val="0"/>
          <w:sz w:val="32"/>
          <w:szCs w:val="32"/>
          <w:highlight w:val="none"/>
          <w:lang w:val="en-US" w:eastAsia="zh-CN"/>
        </w:rPr>
        <w:t>（一）严把人员资格。</w:t>
      </w:r>
      <w:r>
        <w:rPr>
          <w:rFonts w:hint="eastAsia" w:ascii="仿宋_GB2312" w:hAnsi="仿宋_GB2312" w:eastAsia="仿宋_GB2312" w:cs="仿宋_GB2312"/>
          <w:color w:val="000000"/>
          <w:kern w:val="0"/>
          <w:sz w:val="32"/>
          <w:szCs w:val="32"/>
          <w:highlight w:val="none"/>
          <w:lang w:val="en-US" w:eastAsia="zh-CN"/>
        </w:rPr>
        <w:t xml:space="preserve">申请成为评标专家，采取个人申请、单位推荐的方式，退休人员需由原单位确认相关工作履历、个人信息。人员资格在满足从事公路水运等行业相关专业领域工作满八年、具有高级职称或同等专业水平、不超过65周岁的前提下，应当满足以下条件：具有良好的政治素质和道德品行，熟悉有关招标投标的法律、法规和规章，身体健康状况能够胜任评标工作，具有熟练操作计算机能力，无行贿受贿、欺诈等不良信用记录，未被人民法院列为失信被执行人。申请成为应急评标专家的，需能够保证在三十分钟内到达评标地点。      </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楷体_GB2312" w:hAnsi="楷体_GB2312" w:eastAsia="楷体_GB2312" w:cs="楷体_GB2312"/>
          <w:color w:val="000000"/>
          <w:kern w:val="0"/>
          <w:sz w:val="32"/>
          <w:szCs w:val="32"/>
          <w:highlight w:val="none"/>
          <w:lang w:val="en-US" w:eastAsia="zh-CN"/>
        </w:rPr>
        <w:t>（二）优化服务水平。</w:t>
      </w:r>
      <w:r>
        <w:rPr>
          <w:rFonts w:hint="eastAsia" w:ascii="仿宋_GB2312" w:hAnsi="仿宋_GB2312" w:eastAsia="仿宋_GB2312" w:cs="仿宋_GB2312"/>
          <w:color w:val="000000"/>
          <w:kern w:val="0"/>
          <w:sz w:val="32"/>
          <w:szCs w:val="32"/>
          <w:highlight w:val="none"/>
          <w:lang w:val="en-US" w:eastAsia="zh-CN"/>
        </w:rPr>
        <w:t>评标专家面向社会公开征集、更新，征集通知在市交通运输委员会官方网站公开发布。申请人通过交通运输工程招投标监管服务系统（以下简称“监管服务系统”）在线填报个人信息、提交相关佐证资料，并根据从事专业及工作履历选择相应的评标专业类别。专家选择评标专业原则上一级专业不超过2个、三级专业不超过4个，审核过程及结果信息推送给申请人，申请人对提交信息和材料的真实性负责，审核通过后，成为评标专家预备人选。</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楷体_GB2312" w:hAnsi="楷体_GB2312" w:eastAsia="楷体_GB2312" w:cs="楷体_GB2312"/>
          <w:color w:val="000000"/>
          <w:kern w:val="0"/>
          <w:sz w:val="32"/>
          <w:szCs w:val="32"/>
          <w:highlight w:val="none"/>
          <w:lang w:val="en-US" w:eastAsia="zh-CN"/>
        </w:rPr>
        <w:t>（三）加强岗前培训。</w:t>
      </w:r>
      <w:r>
        <w:rPr>
          <w:rFonts w:hint="eastAsia" w:ascii="仿宋_GB2312" w:hAnsi="仿宋_GB2312" w:eastAsia="仿宋_GB2312" w:cs="仿宋_GB2312"/>
          <w:color w:val="000000"/>
          <w:kern w:val="0"/>
          <w:sz w:val="32"/>
          <w:szCs w:val="32"/>
          <w:highlight w:val="none"/>
          <w:lang w:val="en-US" w:eastAsia="zh-CN"/>
        </w:rPr>
        <w:t xml:space="preserve">对评标专家预备人选实行初任培训考核制度，培训内容主要包括标准招标文件、评标办法、评分规则、回避条件、串通投标认定、否决投标情形、廉洁自律及警示教育等招标投标法律、法规、部门规章中明确的内容，培训考核依托“监管服务系统”展开。预备人选考核通过后获得正式评标专家资格，纳入专家库管理，并享有有关规定明确的评标专家权利，未通过考核的，不享有评标专家权利。                      </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楷体_GB2312" w:hAnsi="楷体_GB2312" w:eastAsia="楷体_GB2312" w:cs="楷体_GB2312"/>
          <w:color w:val="000000"/>
          <w:kern w:val="0"/>
          <w:sz w:val="32"/>
          <w:szCs w:val="32"/>
          <w:highlight w:val="none"/>
          <w:lang w:val="en-US" w:eastAsia="zh-CN"/>
        </w:rPr>
        <w:t>（四）规范应急抽取。</w:t>
      </w:r>
      <w:r>
        <w:rPr>
          <w:rFonts w:hint="eastAsia" w:ascii="仿宋_GB2312" w:hAnsi="仿宋_GB2312" w:eastAsia="仿宋_GB2312" w:cs="仿宋_GB2312"/>
          <w:color w:val="000000"/>
          <w:kern w:val="0"/>
          <w:sz w:val="32"/>
          <w:szCs w:val="32"/>
          <w:highlight w:val="none"/>
          <w:lang w:val="en-US" w:eastAsia="zh-CN"/>
        </w:rPr>
        <w:t>应急专家抽取应当经招标人、监督管理人员结合评标现场实际情况确认，出现以下几种情形可以抽取应急专家：评标专家现场签到后发现需要主动回避、规定的评标开始时间15分钟后仍未出席、评标过程中出现违规行为需要更换专家、突发疾病无法继续参加评标活动及其他正常抽取专家无法履职等。应急专家与正常抽取专家承担同等责任并享有同等权利，招标人应当为未正常参加评标的专家因到达评标现场产生的损失提供必要的交通费等补贴。</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val="0"/>
        <w:snapToGrid/>
        <w:spacing w:before="0" w:beforeAutospacing="0" w:after="0" w:afterAutospacing="0" w:line="560" w:lineRule="exact"/>
        <w:ind w:left="0" w:leftChars="0" w:firstLine="640" w:firstLineChars="200"/>
        <w:jc w:val="both"/>
        <w:textAlignment w:val="auto"/>
        <w:rPr>
          <w:rFonts w:hint="eastAsia" w:ascii="黑体" w:hAnsi="黑体" w:eastAsia="黑体" w:cs="黑体"/>
          <w:color w:val="333333"/>
          <w:sz w:val="32"/>
          <w:szCs w:val="32"/>
          <w:lang w:val="en-US" w:eastAsia="zh-CN"/>
        </w:rPr>
      </w:pPr>
      <w:r>
        <w:rPr>
          <w:rFonts w:hint="eastAsia" w:ascii="黑体" w:hAnsi="黑体" w:eastAsia="黑体" w:cs="黑体"/>
          <w:color w:val="333333"/>
          <w:sz w:val="32"/>
          <w:szCs w:val="32"/>
          <w:lang w:val="en-US" w:eastAsia="zh-CN"/>
        </w:rPr>
        <w:t>加强考评管理</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楷体_GB2312" w:hAnsi="楷体_GB2312" w:eastAsia="楷体_GB2312" w:cs="楷体_GB2312"/>
          <w:color w:val="000000"/>
          <w:kern w:val="0"/>
          <w:sz w:val="32"/>
          <w:szCs w:val="32"/>
          <w:highlight w:val="none"/>
          <w:lang w:val="en-US" w:eastAsia="zh-CN"/>
        </w:rPr>
        <w:t>（五）严格评标纪律。</w:t>
      </w:r>
      <w:r>
        <w:rPr>
          <w:rFonts w:hint="eastAsia" w:ascii="仿宋_GB2312" w:hAnsi="仿宋_GB2312" w:eastAsia="仿宋_GB2312" w:cs="仿宋_GB2312"/>
          <w:color w:val="000000"/>
          <w:kern w:val="0"/>
          <w:sz w:val="32"/>
          <w:szCs w:val="32"/>
          <w:highlight w:val="none"/>
          <w:lang w:val="en-US" w:eastAsia="zh-CN"/>
        </w:rPr>
        <w:t>评标专家严禁组建或加入可能影响公正评标的微信群、QQ 群等网络通讯群组，不得在合法的评标劳务费之外额外索取、接受报酬或者其他好处，不得私下接触投标人，不得收受投标人、中介人、其他利害关系人的财物或其他好处。评标专家应按时参加评标，签到后发现与招标人、投标人存在利害关系，可能引起市场主体质疑或投诉的，应当主动提出回避；评标过程中，应认真、独立、公正开展打分，不得对评标委员会其他成员的工作施加不当影响，不得故意拖延评标时间，或者敷衍塞责随意评标；评标结束后不得透露评标情况。招标人应当将开标评标现场影像资料作为招标投标情况书面报告的附件材料一并报送存档备查。</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楷体_GB2312" w:hAnsi="楷体_GB2312" w:eastAsia="楷体_GB2312" w:cs="楷体_GB2312"/>
          <w:color w:val="000000"/>
          <w:kern w:val="0"/>
          <w:sz w:val="32"/>
          <w:szCs w:val="32"/>
          <w:highlight w:val="none"/>
          <w:lang w:val="en-US" w:eastAsia="zh-CN"/>
        </w:rPr>
        <w:t>（六）实行标后评价。</w:t>
      </w:r>
      <w:r>
        <w:rPr>
          <w:rFonts w:hint="eastAsia" w:ascii="仿宋_GB2312" w:hAnsi="仿宋_GB2312" w:eastAsia="仿宋_GB2312" w:cs="仿宋_GB2312"/>
          <w:color w:val="000000"/>
          <w:kern w:val="0"/>
          <w:sz w:val="32"/>
          <w:szCs w:val="32"/>
          <w:highlight w:val="none"/>
        </w:rPr>
        <w:t>评标专家</w:t>
      </w:r>
      <w:r>
        <w:rPr>
          <w:rFonts w:hint="eastAsia" w:ascii="仿宋_GB2312" w:hAnsi="仿宋_GB2312" w:eastAsia="仿宋_GB2312" w:cs="仿宋_GB2312"/>
          <w:color w:val="000000"/>
          <w:kern w:val="0"/>
          <w:sz w:val="32"/>
          <w:szCs w:val="32"/>
          <w:highlight w:val="none"/>
          <w:lang w:eastAsia="zh-CN"/>
        </w:rPr>
        <w:t>评标履职</w:t>
      </w:r>
      <w:r>
        <w:rPr>
          <w:rFonts w:hint="eastAsia" w:ascii="仿宋_GB2312" w:hAnsi="仿宋_GB2312" w:eastAsia="仿宋_GB2312" w:cs="仿宋_GB2312"/>
          <w:color w:val="000000"/>
          <w:kern w:val="0"/>
          <w:sz w:val="32"/>
          <w:szCs w:val="32"/>
          <w:highlight w:val="none"/>
        </w:rPr>
        <w:t>实行“一标一评”</w:t>
      </w:r>
      <w:r>
        <w:rPr>
          <w:rFonts w:hint="eastAsia" w:ascii="仿宋_GB2312" w:hAnsi="仿宋_GB2312" w:eastAsia="仿宋_GB2312" w:cs="仿宋_GB2312"/>
          <w:color w:val="000000"/>
          <w:kern w:val="0"/>
          <w:sz w:val="32"/>
          <w:szCs w:val="32"/>
          <w:highlight w:val="none"/>
          <w:lang w:eastAsia="zh-CN"/>
        </w:rPr>
        <w:t>，由招标人在评标结束后，通过“监管服务系统”作出</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eastAsia="zh-CN"/>
        </w:rPr>
        <w:t>评价</w:t>
      </w:r>
      <w:r>
        <w:rPr>
          <w:rFonts w:hint="eastAsia" w:ascii="仿宋_GB2312" w:hAnsi="仿宋_GB2312" w:eastAsia="仿宋_GB2312" w:cs="仿宋_GB2312"/>
          <w:color w:val="000000"/>
          <w:kern w:val="0"/>
          <w:sz w:val="32"/>
          <w:szCs w:val="32"/>
          <w:highlight w:val="none"/>
        </w:rPr>
        <w:t>内容包括评标专家出勤、评标行为、业务</w:t>
      </w:r>
      <w:r>
        <w:rPr>
          <w:rFonts w:hint="eastAsia" w:ascii="仿宋_GB2312" w:hAnsi="仿宋_GB2312" w:eastAsia="仿宋_GB2312" w:cs="仿宋_GB2312"/>
          <w:color w:val="000000"/>
          <w:kern w:val="0"/>
          <w:sz w:val="32"/>
          <w:szCs w:val="32"/>
          <w:highlight w:val="none"/>
          <w:lang w:eastAsia="zh-CN"/>
        </w:rPr>
        <w:t>水平</w:t>
      </w:r>
      <w:r>
        <w:rPr>
          <w:rFonts w:hint="eastAsia" w:ascii="仿宋_GB2312" w:hAnsi="仿宋_GB2312" w:eastAsia="仿宋_GB2312" w:cs="仿宋_GB2312"/>
          <w:color w:val="000000"/>
          <w:kern w:val="0"/>
          <w:sz w:val="32"/>
          <w:szCs w:val="32"/>
          <w:highlight w:val="none"/>
        </w:rPr>
        <w:t>、职业道德等。</w:t>
      </w:r>
      <w:r>
        <w:rPr>
          <w:rFonts w:hint="eastAsia" w:ascii="仿宋_GB2312" w:hAnsi="仿宋_GB2312" w:eastAsia="仿宋_GB2312" w:cs="仿宋_GB2312"/>
          <w:color w:val="000000"/>
          <w:kern w:val="0"/>
          <w:sz w:val="32"/>
          <w:szCs w:val="32"/>
          <w:highlight w:val="none"/>
          <w:lang w:eastAsia="zh-CN"/>
        </w:rPr>
        <w:t>评价</w:t>
      </w:r>
      <w:r>
        <w:rPr>
          <w:rFonts w:hint="eastAsia" w:ascii="仿宋_GB2312" w:hAnsi="仿宋_GB2312" w:eastAsia="仿宋_GB2312" w:cs="仿宋_GB2312"/>
          <w:color w:val="000000"/>
          <w:kern w:val="0"/>
          <w:sz w:val="32"/>
          <w:szCs w:val="32"/>
          <w:highlight w:val="none"/>
        </w:rPr>
        <w:t>情况及相关信息记录到评标专家工作档案，</w:t>
      </w:r>
      <w:r>
        <w:rPr>
          <w:rFonts w:hint="eastAsia" w:ascii="仿宋_GB2312" w:hAnsi="仿宋_GB2312" w:eastAsia="仿宋_GB2312" w:cs="仿宋_GB2312"/>
          <w:color w:val="000000"/>
          <w:kern w:val="0"/>
          <w:sz w:val="32"/>
          <w:szCs w:val="32"/>
          <w:highlight w:val="none"/>
          <w:lang w:eastAsia="zh-CN"/>
        </w:rPr>
        <w:t>经监督部门确认后，</w:t>
      </w:r>
      <w:r>
        <w:rPr>
          <w:rFonts w:hint="eastAsia" w:ascii="仿宋_GB2312" w:hAnsi="仿宋_GB2312" w:eastAsia="仿宋_GB2312" w:cs="仿宋_GB2312"/>
          <w:color w:val="000000"/>
          <w:kern w:val="0"/>
          <w:sz w:val="32"/>
          <w:szCs w:val="32"/>
          <w:highlight w:val="none"/>
        </w:rPr>
        <w:t>作为</w:t>
      </w:r>
      <w:r>
        <w:rPr>
          <w:rFonts w:hint="eastAsia" w:ascii="仿宋_GB2312" w:hAnsi="仿宋_GB2312" w:eastAsia="仿宋_GB2312" w:cs="仿宋_GB2312"/>
          <w:color w:val="000000"/>
          <w:kern w:val="0"/>
          <w:sz w:val="32"/>
          <w:szCs w:val="32"/>
          <w:highlight w:val="none"/>
          <w:lang w:eastAsia="zh-CN"/>
        </w:rPr>
        <w:t>定期</w:t>
      </w:r>
      <w:r>
        <w:rPr>
          <w:rFonts w:hint="eastAsia" w:ascii="仿宋_GB2312" w:hAnsi="仿宋_GB2312" w:eastAsia="仿宋_GB2312" w:cs="仿宋_GB2312"/>
          <w:color w:val="000000"/>
          <w:kern w:val="0"/>
          <w:sz w:val="32"/>
          <w:szCs w:val="32"/>
          <w:highlight w:val="none"/>
        </w:rPr>
        <w:t>考核</w:t>
      </w:r>
      <w:r>
        <w:rPr>
          <w:rFonts w:hint="eastAsia" w:ascii="仿宋_GB2312" w:hAnsi="仿宋_GB2312" w:eastAsia="仿宋_GB2312" w:cs="仿宋_GB2312"/>
          <w:color w:val="000000"/>
          <w:kern w:val="0"/>
          <w:sz w:val="32"/>
          <w:szCs w:val="32"/>
          <w:highlight w:val="none"/>
          <w:lang w:eastAsia="zh-CN"/>
        </w:rPr>
        <w:t>管理</w:t>
      </w:r>
      <w:r>
        <w:rPr>
          <w:rFonts w:hint="eastAsia" w:ascii="仿宋_GB2312" w:hAnsi="仿宋_GB2312" w:eastAsia="仿宋_GB2312" w:cs="仿宋_GB2312"/>
          <w:color w:val="000000"/>
          <w:kern w:val="0"/>
          <w:sz w:val="32"/>
          <w:szCs w:val="32"/>
          <w:highlight w:val="none"/>
        </w:rPr>
        <w:t>的依据。</w:t>
      </w:r>
      <w:r>
        <w:rPr>
          <w:rFonts w:hint="eastAsia" w:ascii="仿宋_GB2312" w:hAnsi="仿宋_GB2312" w:eastAsia="仿宋_GB2312" w:cs="仿宋_GB2312"/>
          <w:color w:val="000000"/>
          <w:kern w:val="0"/>
          <w:sz w:val="32"/>
          <w:szCs w:val="32"/>
          <w:highlight w:val="none"/>
          <w:lang w:eastAsia="zh-CN"/>
        </w:rPr>
        <w:t>评价工作应当客观、公正，准确反映专家履职期间的实际表现，并做到全程</w:t>
      </w:r>
      <w:r>
        <w:rPr>
          <w:rFonts w:hint="eastAsia" w:ascii="仿宋_GB2312" w:hAnsi="仿宋_GB2312" w:eastAsia="仿宋_GB2312" w:cs="仿宋_GB2312"/>
          <w:color w:val="000000"/>
          <w:kern w:val="0"/>
          <w:sz w:val="32"/>
          <w:szCs w:val="32"/>
          <w:lang w:eastAsia="zh-CN"/>
        </w:rPr>
        <w:t>留痕、可追溯。</w:t>
      </w:r>
      <w:r>
        <w:rPr>
          <w:rFonts w:hint="eastAsia" w:ascii="仿宋_GB2312" w:hAnsi="仿宋_GB2312" w:eastAsia="仿宋_GB2312" w:cs="仿宋_GB2312"/>
          <w:color w:val="000000"/>
          <w:kern w:val="0"/>
          <w:sz w:val="32"/>
          <w:szCs w:val="32"/>
          <w:lang w:val="en-US" w:eastAsia="zh-CN"/>
        </w:rPr>
        <w:t>招标人、招标代理机构、投标人发现评标专家有违法违规行为的，应当及时向监督部门报告。</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楷体_GB2312" w:hAnsi="楷体_GB2312" w:eastAsia="楷体_GB2312" w:cs="楷体_GB2312"/>
          <w:color w:val="000000"/>
          <w:kern w:val="0"/>
          <w:sz w:val="32"/>
          <w:szCs w:val="32"/>
          <w:highlight w:val="none"/>
          <w:lang w:val="en-US" w:eastAsia="zh-CN"/>
        </w:rPr>
        <w:t>（七）加强动态考评。</w:t>
      </w:r>
      <w:r>
        <w:rPr>
          <w:rFonts w:hint="eastAsia" w:ascii="仿宋_GB2312" w:hAnsi="仿宋_GB2312" w:eastAsia="仿宋_GB2312" w:cs="仿宋_GB2312"/>
          <w:color w:val="000000"/>
          <w:kern w:val="0"/>
          <w:sz w:val="32"/>
          <w:szCs w:val="32"/>
          <w:lang w:eastAsia="zh-CN"/>
        </w:rPr>
        <w:t>评标专家实行计分考评、动态管理，主要内容包括标后评价和培训教育，计分周期为两年，到期后归零。 培训教育以新增或调整招标投标相关法律、法规和部门规章为主，兼顾入库培训知识、廉政警示教育等。计分周期内，累计扣满1</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lang w:eastAsia="zh-CN"/>
        </w:rPr>
        <w:t>分的，暂停</w:t>
      </w:r>
      <w:r>
        <w:rPr>
          <w:rFonts w:hint="eastAsia" w:ascii="仿宋_GB2312" w:hAnsi="仿宋_GB2312" w:eastAsia="仿宋_GB2312" w:cs="仿宋_GB2312"/>
          <w:color w:val="000000"/>
          <w:kern w:val="0"/>
          <w:sz w:val="32"/>
          <w:szCs w:val="32"/>
          <w:lang w:val="en-US" w:eastAsia="zh-CN"/>
        </w:rPr>
        <w:t>6</w:t>
      </w:r>
      <w:r>
        <w:rPr>
          <w:rFonts w:hint="eastAsia" w:ascii="仿宋_GB2312" w:hAnsi="仿宋_GB2312" w:eastAsia="仿宋_GB2312" w:cs="仿宋_GB2312"/>
          <w:color w:val="000000"/>
          <w:kern w:val="0"/>
          <w:sz w:val="32"/>
          <w:szCs w:val="32"/>
          <w:lang w:eastAsia="zh-CN"/>
        </w:rPr>
        <w:t>个月评标资格；一次性扣20分的，暂停12个月评标资格或者视情节依法取消专家资格，涉嫌犯罪的，依托市招标投标执法监督部门执法协作机制移交公安机关处理。考评</w:t>
      </w:r>
      <w:r>
        <w:rPr>
          <w:rFonts w:hint="eastAsia" w:ascii="仿宋_GB2312" w:hAnsi="仿宋_GB2312" w:eastAsia="仿宋_GB2312" w:cs="仿宋_GB2312"/>
          <w:color w:val="000000"/>
          <w:kern w:val="0"/>
          <w:sz w:val="32"/>
          <w:szCs w:val="32"/>
        </w:rPr>
        <w:t>计分</w:t>
      </w:r>
      <w:r>
        <w:rPr>
          <w:rFonts w:hint="eastAsia" w:ascii="仿宋_GB2312" w:hAnsi="仿宋_GB2312" w:eastAsia="仿宋_GB2312" w:cs="仿宋_GB2312"/>
          <w:color w:val="000000"/>
          <w:kern w:val="0"/>
          <w:sz w:val="32"/>
          <w:szCs w:val="32"/>
          <w:lang w:eastAsia="zh-CN"/>
        </w:rPr>
        <w:t>和暂停评标资格信息推送给</w:t>
      </w:r>
      <w:r>
        <w:rPr>
          <w:rFonts w:hint="eastAsia" w:ascii="仿宋_GB2312" w:hAnsi="仿宋_GB2312" w:eastAsia="仿宋_GB2312" w:cs="仿宋_GB2312"/>
          <w:color w:val="000000"/>
          <w:kern w:val="0"/>
          <w:sz w:val="32"/>
          <w:szCs w:val="32"/>
        </w:rPr>
        <w:t>专家，专家对</w:t>
      </w:r>
      <w:r>
        <w:rPr>
          <w:rFonts w:hint="eastAsia" w:ascii="仿宋_GB2312" w:hAnsi="仿宋_GB2312" w:eastAsia="仿宋_GB2312" w:cs="仿宋_GB2312"/>
          <w:color w:val="000000"/>
          <w:kern w:val="0"/>
          <w:sz w:val="32"/>
          <w:szCs w:val="32"/>
          <w:lang w:eastAsia="zh-CN"/>
        </w:rPr>
        <w:t>处理结果存</w:t>
      </w:r>
      <w:r>
        <w:rPr>
          <w:rFonts w:hint="eastAsia" w:ascii="仿宋_GB2312" w:hAnsi="仿宋_GB2312" w:eastAsia="仿宋_GB2312" w:cs="仿宋_GB2312"/>
          <w:color w:val="000000"/>
          <w:kern w:val="0"/>
          <w:sz w:val="32"/>
          <w:szCs w:val="32"/>
        </w:rPr>
        <w:t>有异议的，</w:t>
      </w:r>
      <w:r>
        <w:rPr>
          <w:rFonts w:hint="eastAsia" w:ascii="仿宋_GB2312" w:hAnsi="仿宋_GB2312" w:eastAsia="仿宋_GB2312" w:cs="仿宋_GB2312"/>
          <w:color w:val="000000"/>
          <w:kern w:val="0"/>
          <w:sz w:val="32"/>
          <w:szCs w:val="32"/>
          <w:lang w:eastAsia="zh-CN"/>
        </w:rPr>
        <w:t>可以</w:t>
      </w:r>
      <w:r>
        <w:rPr>
          <w:rFonts w:hint="eastAsia" w:ascii="仿宋_GB2312" w:hAnsi="仿宋_GB2312" w:eastAsia="仿宋_GB2312" w:cs="仿宋_GB2312"/>
          <w:color w:val="000000"/>
          <w:kern w:val="0"/>
          <w:sz w:val="32"/>
          <w:szCs w:val="32"/>
        </w:rPr>
        <w:t>自</w:t>
      </w:r>
      <w:r>
        <w:rPr>
          <w:rFonts w:hint="eastAsia" w:ascii="仿宋_GB2312" w:hAnsi="仿宋_GB2312" w:eastAsia="仿宋_GB2312" w:cs="仿宋_GB2312"/>
          <w:color w:val="000000"/>
          <w:kern w:val="0"/>
          <w:sz w:val="32"/>
          <w:szCs w:val="32"/>
          <w:lang w:eastAsia="zh-CN"/>
        </w:rPr>
        <w:t>收到推送信息</w:t>
      </w:r>
      <w:r>
        <w:rPr>
          <w:rFonts w:hint="eastAsia" w:ascii="仿宋_GB2312" w:hAnsi="仿宋_GB2312" w:eastAsia="仿宋_GB2312" w:cs="仿宋_GB2312"/>
          <w:color w:val="000000"/>
          <w:kern w:val="0"/>
          <w:sz w:val="32"/>
          <w:szCs w:val="32"/>
        </w:rPr>
        <w:t>之日起</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个工作日内通过</w:t>
      </w:r>
      <w:r>
        <w:rPr>
          <w:rFonts w:hint="eastAsia" w:ascii="仿宋_GB2312" w:hAnsi="仿宋_GB2312" w:eastAsia="仿宋_GB2312" w:cs="仿宋_GB2312"/>
          <w:color w:val="000000"/>
          <w:kern w:val="0"/>
          <w:sz w:val="32"/>
          <w:szCs w:val="32"/>
          <w:lang w:eastAsia="zh-CN"/>
        </w:rPr>
        <w:t>“监管服务系统”</w:t>
      </w:r>
      <w:r>
        <w:rPr>
          <w:rFonts w:hint="eastAsia" w:ascii="仿宋_GB2312" w:hAnsi="仿宋_GB2312" w:eastAsia="仿宋_GB2312" w:cs="仿宋_GB2312"/>
          <w:color w:val="000000"/>
          <w:kern w:val="0"/>
          <w:sz w:val="32"/>
          <w:szCs w:val="32"/>
        </w:rPr>
        <w:t>提出申诉，</w:t>
      </w:r>
      <w:r>
        <w:rPr>
          <w:rFonts w:hint="eastAsia" w:ascii="仿宋_GB2312" w:hAnsi="仿宋_GB2312" w:eastAsia="仿宋_GB2312" w:cs="仿宋_GB2312"/>
          <w:color w:val="000000"/>
          <w:kern w:val="0"/>
          <w:sz w:val="32"/>
          <w:szCs w:val="32"/>
          <w:lang w:eastAsia="zh-CN"/>
        </w:rPr>
        <w:t>超期后不予受理，处理结果</w:t>
      </w:r>
      <w:r>
        <w:rPr>
          <w:rFonts w:hint="eastAsia" w:ascii="仿宋_GB2312" w:hAnsi="仿宋_GB2312" w:eastAsia="仿宋_GB2312" w:cs="仿宋_GB2312"/>
          <w:color w:val="000000"/>
          <w:kern w:val="0"/>
          <w:sz w:val="32"/>
          <w:szCs w:val="32"/>
        </w:rPr>
        <w:t>实时</w:t>
      </w:r>
      <w:r>
        <w:rPr>
          <w:rFonts w:hint="eastAsia" w:ascii="仿宋_GB2312" w:hAnsi="仿宋_GB2312" w:eastAsia="仿宋_GB2312" w:cs="仿宋_GB2312"/>
          <w:color w:val="000000"/>
          <w:kern w:val="0"/>
          <w:sz w:val="32"/>
          <w:szCs w:val="32"/>
          <w:lang w:eastAsia="zh-CN"/>
        </w:rPr>
        <w:t>记录</w:t>
      </w:r>
      <w:r>
        <w:rPr>
          <w:rFonts w:hint="eastAsia" w:ascii="仿宋_GB2312" w:hAnsi="仿宋_GB2312" w:eastAsia="仿宋_GB2312" w:cs="仿宋_GB2312"/>
          <w:color w:val="000000"/>
          <w:kern w:val="0"/>
          <w:sz w:val="32"/>
          <w:szCs w:val="32"/>
          <w:lang w:val="en-US" w:eastAsia="zh-CN"/>
        </w:rPr>
        <w:t>。</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楷体_GB2312" w:hAnsi="楷体_GB2312" w:eastAsia="楷体_GB2312" w:cs="楷体_GB2312"/>
          <w:color w:val="000000"/>
          <w:kern w:val="0"/>
          <w:sz w:val="32"/>
          <w:szCs w:val="32"/>
          <w:highlight w:val="none"/>
          <w:lang w:val="en-US" w:eastAsia="zh-CN"/>
        </w:rPr>
        <w:t>（八）规范出库管理。</w:t>
      </w:r>
      <w:r>
        <w:rPr>
          <w:rFonts w:hint="eastAsia" w:ascii="仿宋_GB2312" w:hAnsi="仿宋_GB2312" w:eastAsia="仿宋_GB2312" w:cs="仿宋_GB2312"/>
          <w:color w:val="000000"/>
          <w:kern w:val="0"/>
          <w:sz w:val="32"/>
          <w:szCs w:val="32"/>
          <w:lang w:val="en-US" w:eastAsia="zh-CN"/>
        </w:rPr>
        <w:t>落实评标专家动态管理要求，评标专家对评标行为实行终身负责制。在库专家有下列情形之一的取消评标专家身份：不再符合入库专家的资格条件、以虚假材料骗取评标专家资格、</w:t>
      </w:r>
      <w:r>
        <w:rPr>
          <w:rFonts w:hint="eastAsia" w:ascii="仿宋_GB2312" w:hAnsi="仿宋_GB2312" w:eastAsia="仿宋_GB2312" w:cs="仿宋_GB2312"/>
          <w:color w:val="000000"/>
          <w:kern w:val="0"/>
          <w:sz w:val="32"/>
          <w:szCs w:val="32"/>
        </w:rPr>
        <w:t>本人申请不再担任</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工作调动不再适宜继续担任</w:t>
      </w:r>
      <w:r>
        <w:rPr>
          <w:rFonts w:hint="eastAsia" w:ascii="仿宋_GB2312" w:hAnsi="仿宋_GB2312" w:eastAsia="仿宋_GB2312" w:cs="仿宋_GB2312"/>
          <w:color w:val="000000"/>
          <w:kern w:val="0"/>
          <w:sz w:val="32"/>
          <w:szCs w:val="32"/>
          <w:lang w:eastAsia="zh-CN"/>
        </w:rPr>
        <w:t>、个人受到刑事处罚或行政处罚、一个计分周期内</w:t>
      </w:r>
      <w:r>
        <w:rPr>
          <w:rFonts w:hint="eastAsia" w:ascii="仿宋_GB2312" w:hAnsi="仿宋_GB2312" w:eastAsia="仿宋_GB2312" w:cs="仿宋_GB2312"/>
          <w:color w:val="000000"/>
          <w:kern w:val="0"/>
          <w:sz w:val="32"/>
          <w:szCs w:val="32"/>
          <w:lang w:val="en-US" w:eastAsia="zh-CN"/>
        </w:rPr>
        <w:t>2次被暂停评标资格、</w:t>
      </w:r>
      <w:r>
        <w:rPr>
          <w:rFonts w:hint="eastAsia" w:ascii="仿宋_GB2312" w:hAnsi="仿宋_GB2312" w:eastAsia="仿宋_GB2312" w:cs="仿宋_GB2312"/>
          <w:color w:val="000000"/>
          <w:kern w:val="0"/>
          <w:sz w:val="32"/>
          <w:szCs w:val="32"/>
        </w:rPr>
        <w:t>年龄超过70周岁(不含院士、勘察设计大师）。被取消评标专家资格的，五年内不得再次申请入选评标专家库，有违法行为的，终身不得入选评标专家库。</w:t>
      </w:r>
    </w:p>
    <w:p>
      <w:pPr>
        <w:pStyle w:val="9"/>
        <w:keepNext w:val="0"/>
        <w:keepLines w:val="0"/>
        <w:pageBreakBefore w:val="0"/>
        <w:widowControl/>
        <w:numPr>
          <w:ilvl w:val="0"/>
          <w:numId w:val="1"/>
        </w:numPr>
        <w:shd w:val="clear" w:color="auto" w:fill="FFFFFF"/>
        <w:kinsoku/>
        <w:wordWrap/>
        <w:overflowPunct/>
        <w:topLinePunct w:val="0"/>
        <w:autoSpaceDE/>
        <w:autoSpaceDN/>
        <w:bidi w:val="0"/>
        <w:adjustRightInd w:val="0"/>
        <w:snapToGrid/>
        <w:spacing w:before="0" w:beforeAutospacing="0" w:after="0" w:afterAutospacing="0" w:line="560" w:lineRule="exact"/>
        <w:ind w:left="0" w:leftChars="0" w:firstLine="640" w:firstLineChars="200"/>
        <w:jc w:val="both"/>
        <w:textAlignment w:val="auto"/>
        <w:rPr>
          <w:rFonts w:hint="eastAsia" w:ascii="黑体" w:hAnsi="黑体" w:eastAsia="黑体" w:cs="黑体"/>
          <w:color w:val="333333"/>
          <w:sz w:val="32"/>
          <w:szCs w:val="32"/>
          <w:lang w:val="en-US" w:eastAsia="zh-CN"/>
        </w:rPr>
      </w:pPr>
      <w:r>
        <w:rPr>
          <w:rFonts w:hint="eastAsia" w:ascii="黑体" w:hAnsi="黑体" w:eastAsia="黑体" w:cs="黑体"/>
          <w:color w:val="333333"/>
          <w:sz w:val="32"/>
          <w:szCs w:val="32"/>
          <w:lang w:val="en-US" w:eastAsia="zh-CN"/>
        </w:rPr>
        <w:t>规范招标人代表条件和行为</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楷体_GB2312" w:hAnsi="楷体_GB2312" w:eastAsia="楷体_GB2312" w:cs="楷体_GB2312"/>
          <w:color w:val="000000"/>
          <w:kern w:val="0"/>
          <w:sz w:val="32"/>
          <w:szCs w:val="32"/>
          <w:highlight w:val="none"/>
          <w:lang w:val="en-US" w:eastAsia="zh-CN"/>
        </w:rPr>
        <w:t>（九）规范招标人代表资格。</w:t>
      </w:r>
      <w:r>
        <w:rPr>
          <w:rFonts w:hint="eastAsia" w:ascii="仿宋_GB2312" w:hAnsi="仿宋_GB2312" w:eastAsia="仿宋_GB2312" w:cs="仿宋_GB2312"/>
          <w:color w:val="000000"/>
          <w:kern w:val="0"/>
          <w:sz w:val="32"/>
          <w:szCs w:val="32"/>
          <w:lang w:val="en-US" w:eastAsia="zh-CN"/>
        </w:rPr>
        <w:t>招标人委派代表进入评标委员会的，应当选派或者委托责任心强、熟悉业务、公道正派的人员，在遵守利益冲突回避原则的前提下，出具授权委托书。选派人员应当结合招标项目具体特点和实际需要，具备相关工作经历及专业技术职称，杜绝不熟悉行业招标投标规则的人员进入评标委员会，对评标工作正常开展带来不良影响。</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val="0"/>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楷体_GB2312" w:hAnsi="楷体_GB2312" w:eastAsia="楷体_GB2312" w:cs="楷体_GB2312"/>
          <w:color w:val="000000"/>
          <w:kern w:val="0"/>
          <w:sz w:val="32"/>
          <w:szCs w:val="32"/>
          <w:highlight w:val="none"/>
          <w:lang w:val="en-US" w:eastAsia="zh-CN"/>
        </w:rPr>
        <w:t>（十）严格招标人代表行为。</w:t>
      </w:r>
      <w:r>
        <w:rPr>
          <w:rFonts w:hint="eastAsia" w:ascii="仿宋_GB2312" w:hAnsi="仿宋_GB2312" w:eastAsia="仿宋_GB2312" w:cs="仿宋_GB2312"/>
          <w:color w:val="000000"/>
          <w:kern w:val="0"/>
          <w:sz w:val="32"/>
          <w:szCs w:val="32"/>
          <w:lang w:val="en-US" w:eastAsia="zh-CN"/>
        </w:rPr>
        <w:t>严禁招标人代表私下接触投标人、潜在投标人、评标专家或相关利害关系人，严禁在评标过程中发表带有倾向性、误导性的言论或者暗示性的意见建议，干扰或影响评标委员会其他成员公正独立评标。评标报告完成后，招标人代表应当对评标报告内容进行有关规定明确的形式性检查，但不得修改关键内容、调整评标结果，形式检查不免除评标委员会对评标工作应负的责任。招标人代表发现其他评标委员会成员不按照招标文件规定的评标标准和方法评标的，应当及时提醒、劝阻并向行政监督部门报告。</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color w:val="333333"/>
          <w:sz w:val="32"/>
          <w:szCs w:val="32"/>
          <w:lang w:val="en-US" w:eastAsia="zh-CN"/>
        </w:rPr>
      </w:pP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150" w:afterAutospacing="0" w:line="560" w:lineRule="exact"/>
        <w:jc w:val="center"/>
        <w:textAlignment w:val="auto"/>
        <w:rPr>
          <w:rFonts w:hint="eastAsia" w:ascii="方正小标宋简体" w:hAnsi="方正小标宋简体" w:eastAsia="方正小标宋简体" w:cs="方正小标宋简体"/>
          <w:color w:val="333333"/>
          <w:sz w:val="44"/>
          <w:szCs w:val="44"/>
          <w:lang w:eastAsia="zh-CN"/>
        </w:rPr>
      </w:pP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150" w:afterAutospacing="0" w:line="560" w:lineRule="exact"/>
        <w:jc w:val="center"/>
        <w:textAlignment w:val="auto"/>
        <w:rPr>
          <w:rFonts w:hint="eastAsia" w:ascii="方正小标宋简体" w:hAnsi="方正小标宋简体" w:eastAsia="方正小标宋简体" w:cs="方正小标宋简体"/>
          <w:color w:val="333333"/>
          <w:sz w:val="44"/>
          <w:szCs w:val="44"/>
          <w:lang w:eastAsia="zh-CN"/>
        </w:rPr>
      </w:pP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150" w:afterAutospacing="0" w:line="600" w:lineRule="exact"/>
        <w:jc w:val="both"/>
        <w:textAlignment w:val="auto"/>
        <w:rPr>
          <w:rFonts w:hint="eastAsia" w:ascii="方正小标宋简体" w:hAnsi="方正小标宋简体" w:eastAsia="方正小标宋简体" w:cs="方正小标宋简体"/>
          <w:color w:val="333333"/>
          <w:sz w:val="44"/>
          <w:szCs w:val="44"/>
          <w:lang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rPr>
        <w:t>附件1</w:t>
      </w:r>
      <w:r>
        <w:rPr>
          <w:rFonts w:hint="eastAsia" w:ascii="仿宋_GB2312" w:hAnsi="仿宋_GB2312" w:eastAsia="仿宋_GB2312" w:cs="仿宋_GB2312"/>
          <w:b/>
          <w:bCs/>
          <w:color w:val="000000"/>
          <w:kern w:val="0"/>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2102" w:firstLineChars="584"/>
        <w:jc w:val="left"/>
        <w:textAlignment w:val="auto"/>
        <w:rPr>
          <w:rFonts w:hint="eastAsia" w:ascii="方正小标宋简体" w:hAnsi="方正小标宋简体" w:eastAsia="方正小标宋简体" w:cs="方正小标宋简体"/>
          <w:i w:val="0"/>
          <w:color w:val="000000"/>
          <w:kern w:val="0"/>
          <w:sz w:val="36"/>
          <w:szCs w:val="36"/>
          <w:u w:val="none"/>
          <w:lang w:val="en-US" w:eastAsia="zh-CN" w:bidi="ar"/>
        </w:rPr>
      </w:pPr>
      <w:r>
        <w:rPr>
          <w:rFonts w:hint="eastAsia" w:ascii="方正小标宋简体" w:hAnsi="方正小标宋简体" w:eastAsia="方正小标宋简体" w:cs="方正小标宋简体"/>
          <w:i w:val="0"/>
          <w:color w:val="000000"/>
          <w:kern w:val="0"/>
          <w:sz w:val="36"/>
          <w:szCs w:val="36"/>
          <w:u w:val="none"/>
          <w:lang w:val="en-US" w:eastAsia="zh-CN" w:bidi="ar"/>
        </w:rPr>
        <w:t>公路工程评标专家专业分类</w:t>
      </w:r>
    </w:p>
    <w:p>
      <w:pPr>
        <w:pStyle w:val="2"/>
        <w:rPr>
          <w:rFonts w:hint="default"/>
          <w:lang w:val="en-US" w:eastAsia="zh-CN"/>
        </w:rPr>
      </w:pPr>
    </w:p>
    <w:tbl>
      <w:tblPr>
        <w:tblStyle w:val="11"/>
        <w:tblpPr w:leftFromText="180" w:rightFromText="180" w:vertAnchor="text" w:horzAnchor="page" w:tblpX="1567" w:tblpY="218"/>
        <w:tblOverlap w:val="never"/>
        <w:tblW w:w="8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410"/>
        <w:gridCol w:w="2985"/>
        <w:gridCol w:w="1434"/>
        <w:gridCol w:w="2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600" w:hRule="atLeast"/>
        </w:trPr>
        <w:tc>
          <w:tcPr>
            <w:tcW w:w="141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一级专业</w:t>
            </w:r>
          </w:p>
        </w:tc>
        <w:tc>
          <w:tcPr>
            <w:tcW w:w="2985"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二级专业</w:t>
            </w:r>
          </w:p>
        </w:tc>
        <w:tc>
          <w:tcPr>
            <w:tcW w:w="4350" w:type="dxa"/>
            <w:gridSpan w:val="2"/>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 xml:space="preserve"> 三级专业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0"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A01规划</w:t>
            </w: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A0101 国民经济和社会发展规划</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A010139</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A010146</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水土保持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A010153</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生态环境保护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0" w:hRule="atLeast"/>
        </w:trPr>
        <w:tc>
          <w:tcPr>
            <w:tcW w:w="141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A02 投资策划与决策</w:t>
            </w: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A0201 项目建议、可行性研究、评估及后评价</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A020101</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A03勘察</w:t>
            </w: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A0301 岩土工程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A030101</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岩土工程勘察/工程地质勘察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A030102</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岩土工程设计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A030103</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岩土工程物探测试检测监测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A0303 测绘工程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A030301</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导航定位服务与大地测量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A030302</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工程测量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A030307</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地图制图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A04设计</w:t>
            </w: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A0403 公路工程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A040301</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路线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A040302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路基、路面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A040303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桥梁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A040304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隧道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A040305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交通工程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A0401 建筑工程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A040107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装饰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A040111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钢结构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A040115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公共建筑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A0402 市政公用工程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A040211</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A040212</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园林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A040213</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A0410 电力工程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A041010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输变电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A05 监理</w:t>
            </w: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A0503 公路工程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A050301</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路基、路面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A050302</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桥梁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A050303</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隧道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2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A050304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公路机电工程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A050305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公路安全设施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A0502 市政工程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A050205</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园林绿化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A050204</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机电设备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A050211</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路灯（市政照明）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A06 工程造价</w:t>
            </w: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A0601 土建工程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A060127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A0602 安装工程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A060226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5"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A07 项目管理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(含代建)</w:t>
            </w: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A0701 建设项目管理</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A070102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建设进度管理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A070103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建设质量管理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A070106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建设安全管理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A070107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建设合同管理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 工程施工</w:t>
            </w: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A0803 公路工程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A080301</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路基工程、路面工程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A080302</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桥梁工程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A080303</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隧道工程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A080304</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公路安全设施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A080305</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公路机电工程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A0801 建筑工程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A080104</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土建工程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A080107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钢结构工程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A080109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装饰装修工程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A0802 市政工程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A080204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给水工程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A080205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排水工程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A080207</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燃气工程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A080208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热能及供热工程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A080210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城市及道路照明工程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A0810 电力工程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A081004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电力线路工程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A081008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变电工程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A0822 通信工程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A082201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线路工程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A0830 园林绿化工程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A083002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绿化工程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A09 其他工程</w:t>
            </w: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A0901 环境工程</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A090106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土壤污染控制及修复工程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A090107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噪声振动污染控制工程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 机电产品类</w:t>
            </w: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B0101 建筑机械</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B010110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公路养护设备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B0136交通信号专用设备</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B013603</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公路信号设备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B0139 科学、教育设备</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B013907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公路桥梁试验检测设备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0"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B0101 建筑机械</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B010105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压实与路面机械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B010109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桥梁施工机械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B0132 计算机及网络设备</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B013205</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计算机配件及外设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B013206</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计算机存储设备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B013207</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网络设备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B0142 电子专用设备</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B014203</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通讯网络设备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restart"/>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C02 公共咨询</w:t>
            </w:r>
          </w:p>
        </w:tc>
        <w:tc>
          <w:tcPr>
            <w:tcW w:w="2985" w:type="dxa"/>
            <w:vMerge w:val="restart"/>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C0201 咨询服务</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C020111</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公共安全评估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C020108</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地震安全性评价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C020108</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生态保护评价咨询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C020113</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水文咨询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C020116</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拆迁评估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C020119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水土保持咨询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C020125</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设计采购施工总承包项目（EPC项目）咨询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C020138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环境监测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trPr>
        <w:tc>
          <w:tcPr>
            <w:tcW w:w="1410" w:type="dxa"/>
            <w:vMerge w:val="continue"/>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85" w:type="dxa"/>
            <w:vMerge w:val="continue"/>
            <w:shd w:val="clear" w:color="auto" w:fill="auto"/>
            <w:tcMar>
              <w:top w:w="15" w:type="dxa"/>
              <w:left w:w="15" w:type="dxa"/>
              <w:right w:w="15" w:type="dxa"/>
            </w:tcMar>
            <w:vAlign w:val="center"/>
          </w:tcPr>
          <w:p>
            <w:pPr>
              <w:jc w:val="left"/>
              <w:rPr>
                <w:rFonts w:hint="eastAsia" w:ascii="宋体" w:hAnsi="宋体" w:eastAsia="宋体" w:cs="宋体"/>
                <w:i w:val="0"/>
                <w:color w:val="000000"/>
                <w:sz w:val="22"/>
                <w:szCs w:val="22"/>
                <w:u w:val="none"/>
              </w:rPr>
            </w:pP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C020139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环境影响评价与评估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0" w:hRule="atLeast"/>
        </w:trPr>
        <w:tc>
          <w:tcPr>
            <w:tcW w:w="141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C03 经济管理</w:t>
            </w:r>
          </w:p>
        </w:tc>
        <w:tc>
          <w:tcPr>
            <w:tcW w:w="2985"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C0313 合同管理</w:t>
            </w:r>
          </w:p>
        </w:tc>
        <w:tc>
          <w:tcPr>
            <w:tcW w:w="1434"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C031301 </w:t>
            </w:r>
          </w:p>
        </w:tc>
        <w:tc>
          <w:tcPr>
            <w:tcW w:w="291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技术合同管理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62" w:hRule="atLeast"/>
        </w:trPr>
        <w:tc>
          <w:tcPr>
            <w:tcW w:w="141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C12 其他服务</w:t>
            </w:r>
          </w:p>
        </w:tc>
        <w:tc>
          <w:tcPr>
            <w:tcW w:w="298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C1213 检验检测</w:t>
            </w:r>
          </w:p>
        </w:tc>
        <w:tc>
          <w:tcPr>
            <w:tcW w:w="1434" w:type="dxa"/>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916" w:type="dxa"/>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bl>
    <w:p>
      <w:pPr>
        <w:pStyle w:val="2"/>
        <w:rPr>
          <w:rFonts w:hint="eastAsia" w:ascii="仿宋_GB2312" w:hAnsi="仿宋_GB2312" w:eastAsia="仿宋_GB2312" w:cs="仿宋_GB2312"/>
          <w:b/>
          <w:bCs/>
          <w:color w:val="000000"/>
          <w:kern w:val="0"/>
          <w:sz w:val="32"/>
          <w:szCs w:val="32"/>
        </w:rPr>
      </w:pPr>
    </w:p>
    <w:p>
      <w:pPr>
        <w:rPr>
          <w:rFonts w:hint="eastAsia" w:ascii="仿宋_GB2312" w:hAnsi="仿宋_GB2312" w:eastAsia="仿宋_GB2312" w:cs="仿宋_GB2312"/>
          <w:b/>
          <w:bCs/>
          <w:color w:val="000000"/>
          <w:kern w:val="0"/>
          <w:sz w:val="32"/>
          <w:szCs w:val="32"/>
        </w:rPr>
      </w:pPr>
    </w:p>
    <w:p>
      <w:pPr>
        <w:pStyle w:val="2"/>
        <w:rPr>
          <w:rFonts w:hint="eastAsia" w:ascii="仿宋_GB2312" w:hAnsi="仿宋_GB2312" w:eastAsia="仿宋_GB2312" w:cs="仿宋_GB2312"/>
          <w:b/>
          <w:bCs/>
          <w:color w:val="000000"/>
          <w:kern w:val="0"/>
          <w:sz w:val="32"/>
          <w:szCs w:val="32"/>
        </w:rPr>
      </w:pPr>
    </w:p>
    <w:p>
      <w:pPr>
        <w:rPr>
          <w:rFonts w:hint="eastAsia" w:ascii="仿宋_GB2312" w:hAnsi="仿宋_GB2312" w:eastAsia="仿宋_GB2312" w:cs="仿宋_GB2312"/>
          <w:b/>
          <w:bCs/>
          <w:color w:val="000000"/>
          <w:kern w:val="0"/>
          <w:sz w:val="32"/>
          <w:szCs w:val="32"/>
        </w:rPr>
      </w:pPr>
    </w:p>
    <w:p>
      <w:pPr>
        <w:pStyle w:val="2"/>
        <w:rPr>
          <w:rFonts w:hint="eastAsia" w:ascii="仿宋_GB2312" w:hAnsi="仿宋_GB2312" w:eastAsia="仿宋_GB2312" w:cs="仿宋_GB2312"/>
          <w:b/>
          <w:bCs/>
          <w:color w:val="000000"/>
          <w:kern w:val="0"/>
          <w:sz w:val="32"/>
          <w:szCs w:val="32"/>
        </w:rPr>
      </w:pPr>
    </w:p>
    <w:p>
      <w:pPr>
        <w:rPr>
          <w:rFonts w:hint="eastAsia" w:ascii="仿宋_GB2312" w:hAnsi="仿宋_GB2312" w:eastAsia="仿宋_GB2312" w:cs="仿宋_GB2312"/>
          <w:b/>
          <w:bCs/>
          <w:color w:val="000000"/>
          <w:kern w:val="0"/>
          <w:sz w:val="32"/>
          <w:szCs w:val="32"/>
        </w:rPr>
      </w:pPr>
    </w:p>
    <w:p>
      <w:pPr>
        <w:pStyle w:val="2"/>
        <w:rPr>
          <w:rFonts w:hint="eastAsia" w:ascii="仿宋_GB2312" w:hAnsi="仿宋_GB2312" w:eastAsia="仿宋_GB2312" w:cs="仿宋_GB2312"/>
          <w:b/>
          <w:bCs/>
          <w:color w:val="000000"/>
          <w:kern w:val="0"/>
          <w:sz w:val="32"/>
          <w:szCs w:val="32"/>
        </w:rPr>
      </w:pPr>
    </w:p>
    <w:p>
      <w:pPr>
        <w:rPr>
          <w:rFonts w:hint="eastAsia" w:ascii="仿宋_GB2312" w:hAnsi="仿宋_GB2312" w:eastAsia="仿宋_GB2312" w:cs="仿宋_GB2312"/>
          <w:b/>
          <w:bCs/>
          <w:color w:val="000000"/>
          <w:kern w:val="0"/>
          <w:sz w:val="32"/>
          <w:szCs w:val="32"/>
        </w:rPr>
      </w:pPr>
    </w:p>
    <w:p>
      <w:pPr>
        <w:pStyle w:val="2"/>
        <w:rPr>
          <w:rFonts w:hint="eastAsia"/>
        </w:rPr>
      </w:pPr>
    </w:p>
    <w:p>
      <w:pPr>
        <w:pStyle w:val="2"/>
        <w:rPr>
          <w:rFonts w:hint="eastAsia" w:ascii="仿宋_GB2312" w:hAnsi="仿宋_GB2312" w:eastAsia="仿宋_GB2312" w:cs="仿宋_GB2312"/>
          <w:b/>
          <w:bCs/>
          <w:color w:val="000000"/>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eastAsia="zh-CN"/>
        </w:rPr>
        <w:t>附件</w:t>
      </w:r>
      <w:r>
        <w:rPr>
          <w:rFonts w:hint="eastAsia" w:ascii="仿宋_GB2312" w:hAnsi="仿宋_GB2312" w:eastAsia="仿宋_GB2312" w:cs="仿宋_GB2312"/>
          <w:b/>
          <w:bCs/>
          <w:color w:val="000000"/>
          <w:kern w:val="0"/>
          <w:sz w:val="32"/>
          <w:szCs w:val="32"/>
          <w:lang w:val="en-US" w:eastAsia="zh-CN"/>
        </w:rPr>
        <w:t>2</w:t>
      </w:r>
      <w:bookmarkStart w:id="0" w:name="_GoBack"/>
      <w:bookmarkEnd w:id="0"/>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000000"/>
          <w:kern w:val="0"/>
          <w:sz w:val="36"/>
          <w:szCs w:val="36"/>
        </w:rPr>
      </w:pPr>
      <w:r>
        <w:rPr>
          <w:rFonts w:hint="eastAsia" w:ascii="黑体" w:hAnsi="黑体" w:eastAsia="黑体" w:cs="黑体"/>
          <w:b w:val="0"/>
          <w:bCs w:val="0"/>
          <w:color w:val="000000"/>
          <w:kern w:val="0"/>
          <w:sz w:val="36"/>
          <w:szCs w:val="36"/>
          <w:lang w:val="en-US" w:eastAsia="zh-CN"/>
        </w:rPr>
        <w:t xml:space="preserve">  </w:t>
      </w:r>
      <w:r>
        <w:rPr>
          <w:rFonts w:hint="eastAsia" w:ascii="黑体" w:hAnsi="黑体" w:eastAsia="黑体" w:cs="黑体"/>
          <w:b w:val="0"/>
          <w:bCs w:val="0"/>
          <w:color w:val="000000"/>
          <w:kern w:val="0"/>
          <w:sz w:val="36"/>
          <w:szCs w:val="36"/>
        </w:rPr>
        <w:t>评标专家考核评分细则</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000000"/>
          <w:kern w:val="0"/>
          <w:sz w:val="36"/>
          <w:szCs w:val="36"/>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b/>
          <w:bCs/>
          <w:color w:val="000000"/>
          <w:kern w:val="0"/>
          <w:sz w:val="32"/>
          <w:szCs w:val="32"/>
        </w:rPr>
        <w:t>第一条</w:t>
      </w:r>
      <w:r>
        <w:rPr>
          <w:rFonts w:hint="eastAsia" w:ascii="仿宋_GB2312" w:hAnsi="仿宋_GB2312" w:eastAsia="仿宋_GB2312" w:cs="仿宋_GB2312"/>
          <w:b w:val="0"/>
          <w:bCs w:val="0"/>
          <w:color w:val="000000"/>
          <w:kern w:val="0"/>
          <w:sz w:val="32"/>
          <w:szCs w:val="32"/>
        </w:rPr>
        <w:t> </w:t>
      </w:r>
      <w:r>
        <w:rPr>
          <w:rFonts w:hint="eastAsia" w:ascii="仿宋_GB2312" w:hAnsi="仿宋_GB2312" w:eastAsia="仿宋_GB2312" w:cs="仿宋_GB2312"/>
          <w:color w:val="000000"/>
          <w:kern w:val="0"/>
          <w:sz w:val="32"/>
          <w:szCs w:val="32"/>
          <w:lang w:eastAsia="zh-CN"/>
        </w:rPr>
        <w:t> 评标专家发生以下情况的，每次扣5分。</w:t>
      </w:r>
    </w:p>
    <w:p>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承诺参加后请假或</w:t>
      </w:r>
      <w:r>
        <w:rPr>
          <w:rFonts w:hint="eastAsia" w:ascii="仿宋_GB2312" w:hAnsi="仿宋_GB2312" w:eastAsia="仿宋_GB2312" w:cs="仿宋_GB2312"/>
          <w:color w:val="000000"/>
          <w:kern w:val="0"/>
          <w:sz w:val="32"/>
          <w:szCs w:val="32"/>
          <w:lang w:eastAsia="zh-CN"/>
        </w:rPr>
        <w:t>超过规定评标开始时间</w:t>
      </w:r>
      <w:r>
        <w:rPr>
          <w:rFonts w:hint="eastAsia" w:ascii="仿宋_GB2312" w:hAnsi="仿宋_GB2312" w:eastAsia="仿宋_GB2312" w:cs="仿宋_GB2312"/>
          <w:color w:val="000000"/>
          <w:kern w:val="0"/>
          <w:sz w:val="32"/>
          <w:szCs w:val="32"/>
          <w:lang w:val="en-US" w:eastAsia="zh-CN"/>
        </w:rPr>
        <w:t>出席的</w:t>
      </w:r>
      <w:r>
        <w:rPr>
          <w:rFonts w:hint="eastAsia" w:ascii="仿宋_GB2312" w:hAnsi="仿宋_GB2312" w:eastAsia="仿宋_GB2312" w:cs="仿宋_GB2312"/>
          <w:color w:val="000000"/>
          <w:kern w:val="0"/>
          <w:sz w:val="32"/>
          <w:szCs w:val="32"/>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（二）被抽取为应急专家，</w:t>
      </w:r>
      <w:r>
        <w:rPr>
          <w:rFonts w:hint="eastAsia" w:ascii="仿宋_GB2312" w:hAnsi="仿宋_GB2312" w:eastAsia="仿宋_GB2312" w:cs="仿宋_GB2312"/>
          <w:color w:val="000000"/>
          <w:kern w:val="0"/>
          <w:sz w:val="32"/>
          <w:szCs w:val="32"/>
          <w:lang w:val="en-US" w:eastAsia="zh-CN"/>
        </w:rPr>
        <w:t>30分钟内未达到评标地点的；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（三）正常抽取的专家因主动回避及身体突发疾病之外的原因，导致抽取应急专家的；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评</w:t>
      </w:r>
      <w:r>
        <w:rPr>
          <w:rFonts w:hint="eastAsia" w:ascii="仿宋_GB2312" w:hAnsi="仿宋_GB2312" w:eastAsia="仿宋_GB2312" w:cs="仿宋_GB2312"/>
          <w:color w:val="000000"/>
          <w:kern w:val="0"/>
          <w:sz w:val="32"/>
          <w:szCs w:val="32"/>
          <w:lang w:eastAsia="zh-CN"/>
        </w:rPr>
        <w:t>标开始后未</w:t>
      </w:r>
      <w:r>
        <w:rPr>
          <w:rFonts w:hint="eastAsia" w:ascii="仿宋_GB2312" w:hAnsi="仿宋_GB2312" w:eastAsia="仿宋_GB2312" w:cs="仿宋_GB2312"/>
          <w:color w:val="000000"/>
          <w:kern w:val="0"/>
          <w:sz w:val="32"/>
          <w:szCs w:val="32"/>
        </w:rPr>
        <w:t>认真阅读招标文件或者资格预审文件</w:t>
      </w:r>
      <w:r>
        <w:rPr>
          <w:rFonts w:hint="eastAsia" w:ascii="仿宋_GB2312" w:hAnsi="仿宋_GB2312" w:eastAsia="仿宋_GB2312" w:cs="仿宋_GB2312"/>
          <w:color w:val="000000"/>
          <w:kern w:val="0"/>
          <w:sz w:val="32"/>
          <w:szCs w:val="32"/>
          <w:lang w:eastAsia="zh-CN"/>
        </w:rPr>
        <w:t>，对关键内容、评审标准掌握不清的</w:t>
      </w:r>
      <w:r>
        <w:rPr>
          <w:rFonts w:hint="eastAsia" w:ascii="仿宋_GB2312" w:hAnsi="仿宋_GB2312" w:eastAsia="仿宋_GB2312" w:cs="仿宋_GB2312"/>
          <w:color w:val="000000"/>
          <w:kern w:val="0"/>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五</w:t>
      </w:r>
      <w:r>
        <w:rPr>
          <w:rFonts w:hint="eastAsia" w:ascii="仿宋_GB2312" w:hAnsi="仿宋_GB2312" w:eastAsia="仿宋_GB2312" w:cs="仿宋_GB2312"/>
          <w:color w:val="000000"/>
          <w:kern w:val="0"/>
          <w:sz w:val="32"/>
          <w:szCs w:val="32"/>
        </w:rPr>
        <w:t>）在评</w:t>
      </w:r>
      <w:r>
        <w:rPr>
          <w:rFonts w:hint="eastAsia" w:ascii="仿宋_GB2312" w:hAnsi="仿宋_GB2312" w:eastAsia="仿宋_GB2312" w:cs="仿宋_GB2312"/>
          <w:color w:val="000000"/>
          <w:kern w:val="0"/>
          <w:sz w:val="32"/>
          <w:szCs w:val="32"/>
          <w:lang w:eastAsia="zh-CN"/>
        </w:rPr>
        <w:t>标</w:t>
      </w:r>
      <w:r>
        <w:rPr>
          <w:rFonts w:hint="eastAsia" w:ascii="仿宋_GB2312" w:hAnsi="仿宋_GB2312" w:eastAsia="仿宋_GB2312" w:cs="仿宋_GB2312"/>
          <w:color w:val="000000"/>
          <w:kern w:val="0"/>
          <w:sz w:val="32"/>
          <w:szCs w:val="32"/>
        </w:rPr>
        <w:t>过程中做与</w:t>
      </w:r>
      <w:r>
        <w:rPr>
          <w:rFonts w:hint="eastAsia" w:ascii="仿宋_GB2312" w:hAnsi="仿宋_GB2312" w:eastAsia="仿宋_GB2312" w:cs="仿宋_GB2312"/>
          <w:color w:val="000000"/>
          <w:kern w:val="0"/>
          <w:sz w:val="32"/>
          <w:szCs w:val="32"/>
          <w:lang w:eastAsia="zh-CN"/>
        </w:rPr>
        <w:t>评标</w:t>
      </w:r>
      <w:r>
        <w:rPr>
          <w:rFonts w:hint="eastAsia" w:ascii="仿宋_GB2312" w:hAnsi="仿宋_GB2312" w:eastAsia="仿宋_GB2312" w:cs="仿宋_GB2312"/>
          <w:color w:val="000000"/>
          <w:kern w:val="0"/>
          <w:sz w:val="32"/>
          <w:szCs w:val="32"/>
        </w:rPr>
        <w:t>无关事情</w:t>
      </w:r>
      <w:r>
        <w:rPr>
          <w:rFonts w:hint="eastAsia" w:ascii="仿宋_GB2312" w:hAnsi="仿宋_GB2312" w:eastAsia="仿宋_GB2312" w:cs="仿宋_GB2312"/>
          <w:color w:val="000000"/>
          <w:kern w:val="0"/>
          <w:sz w:val="32"/>
          <w:szCs w:val="32"/>
          <w:lang w:eastAsia="zh-CN"/>
        </w:rPr>
        <w:t>或</w:t>
      </w:r>
      <w:r>
        <w:rPr>
          <w:rFonts w:hint="eastAsia" w:ascii="仿宋_GB2312" w:hAnsi="仿宋_GB2312" w:eastAsia="仿宋_GB2312" w:cs="仿宋_GB2312"/>
          <w:color w:val="000000"/>
          <w:kern w:val="0"/>
          <w:sz w:val="32"/>
          <w:szCs w:val="32"/>
        </w:rPr>
        <w:t>催促</w:t>
      </w:r>
      <w:r>
        <w:rPr>
          <w:rFonts w:hint="eastAsia" w:ascii="仿宋_GB2312" w:hAnsi="仿宋_GB2312" w:eastAsia="仿宋_GB2312" w:cs="仿宋_GB2312"/>
          <w:color w:val="000000"/>
          <w:kern w:val="0"/>
          <w:sz w:val="32"/>
          <w:szCs w:val="32"/>
          <w:lang w:eastAsia="zh-CN"/>
        </w:rPr>
        <w:t>影响</w:t>
      </w:r>
      <w:r>
        <w:rPr>
          <w:rFonts w:hint="eastAsia" w:ascii="仿宋_GB2312" w:hAnsi="仿宋_GB2312" w:eastAsia="仿宋_GB2312" w:cs="仿宋_GB2312"/>
          <w:color w:val="000000"/>
          <w:kern w:val="0"/>
          <w:sz w:val="32"/>
          <w:szCs w:val="32"/>
        </w:rPr>
        <w:t>其他评委</w:t>
      </w:r>
      <w:r>
        <w:rPr>
          <w:rFonts w:hint="eastAsia" w:ascii="仿宋_GB2312" w:hAnsi="仿宋_GB2312" w:eastAsia="仿宋_GB2312" w:cs="仿宋_GB2312"/>
          <w:color w:val="000000"/>
          <w:kern w:val="0"/>
          <w:sz w:val="32"/>
          <w:szCs w:val="32"/>
          <w:lang w:eastAsia="zh-CN"/>
        </w:rPr>
        <w:t>独立开展工作的</w:t>
      </w:r>
      <w:r>
        <w:rPr>
          <w:rFonts w:hint="eastAsia" w:ascii="仿宋_GB2312" w:hAnsi="仿宋_GB2312" w:eastAsia="仿宋_GB2312" w:cs="仿宋_GB2312"/>
          <w:color w:val="000000"/>
          <w:kern w:val="0"/>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（六）因不能熟练操作计算机等个人原因影响正常评标的；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739"/>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eastAsia="zh-CN"/>
        </w:rPr>
        <w:t>二</w:t>
      </w:r>
      <w:r>
        <w:rPr>
          <w:rFonts w:hint="eastAsia" w:ascii="仿宋_GB2312" w:hAnsi="仿宋_GB2312" w:eastAsia="仿宋_GB2312" w:cs="仿宋_GB2312"/>
          <w:b/>
          <w:bCs/>
          <w:color w:val="000000"/>
          <w:kern w:val="0"/>
          <w:sz w:val="32"/>
          <w:szCs w:val="32"/>
        </w:rPr>
        <w:t>条</w:t>
      </w:r>
      <w:r>
        <w:rPr>
          <w:rFonts w:hint="eastAsia" w:ascii="仿宋_GB2312" w:hAnsi="仿宋_GB2312" w:eastAsia="仿宋_GB2312" w:cs="仿宋_GB2312"/>
          <w:color w:val="000000"/>
          <w:kern w:val="0"/>
          <w:sz w:val="32"/>
          <w:szCs w:val="32"/>
        </w:rPr>
        <w:t> 评标专家发生以下情况的，每次扣10分。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连续五</w:t>
      </w:r>
      <w:r>
        <w:rPr>
          <w:rFonts w:hint="eastAsia" w:ascii="仿宋_GB2312" w:hAnsi="仿宋_GB2312" w:eastAsia="仿宋_GB2312" w:cs="仿宋_GB2312"/>
          <w:color w:val="000000"/>
          <w:kern w:val="0"/>
          <w:sz w:val="32"/>
          <w:szCs w:val="32"/>
        </w:rPr>
        <w:t>次被抽中均未参加</w:t>
      </w:r>
      <w:r>
        <w:rPr>
          <w:rFonts w:hint="eastAsia" w:ascii="仿宋_GB2312" w:hAnsi="仿宋_GB2312" w:eastAsia="仿宋_GB2312" w:cs="仿宋_GB2312"/>
          <w:color w:val="000000"/>
          <w:kern w:val="0"/>
          <w:sz w:val="32"/>
          <w:szCs w:val="32"/>
          <w:lang w:eastAsia="zh-CN"/>
        </w:rPr>
        <w:t>的</w:t>
      </w:r>
      <w:r>
        <w:rPr>
          <w:rFonts w:hint="eastAsia" w:ascii="仿宋_GB2312" w:hAnsi="仿宋_GB2312" w:eastAsia="仿宋_GB2312" w:cs="仿宋_GB2312"/>
          <w:color w:val="000000"/>
          <w:kern w:val="0"/>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（二）一年之内被抽中三次以上，参加次数少于被抽中次数三分之二；</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三</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承诺参加但没有参加且未</w:t>
      </w:r>
      <w:r>
        <w:rPr>
          <w:rFonts w:hint="eastAsia" w:ascii="仿宋_GB2312" w:hAnsi="仿宋_GB2312" w:eastAsia="仿宋_GB2312" w:cs="仿宋_GB2312"/>
          <w:color w:val="000000"/>
          <w:kern w:val="0"/>
          <w:sz w:val="32"/>
          <w:szCs w:val="32"/>
        </w:rPr>
        <w:t>请假的；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个人基本信息发生变化或者不完整，未及时修改完善或者补充，对评标工作造成影响的；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五</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不服从现场监督人员管理或将个人通讯工具带入评标区、带出评标材料、进入其它评标室及早退的。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六</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未在规定的时间内完成培训教育的。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（七）</w:t>
      </w:r>
      <w:r>
        <w:rPr>
          <w:rFonts w:hint="eastAsia" w:ascii="仿宋_GB2312" w:hAnsi="仿宋_GB2312" w:eastAsia="仿宋_GB2312" w:cs="仿宋_GB2312"/>
          <w:color w:val="000000"/>
          <w:kern w:val="0"/>
          <w:sz w:val="32"/>
          <w:szCs w:val="32"/>
        </w:rPr>
        <w:t>有关监督部门依法对</w:t>
      </w:r>
      <w:r>
        <w:rPr>
          <w:rFonts w:hint="eastAsia" w:ascii="仿宋_GB2312" w:hAnsi="仿宋_GB2312" w:eastAsia="仿宋_GB2312" w:cs="仿宋_GB2312"/>
          <w:color w:val="000000"/>
          <w:kern w:val="0"/>
          <w:sz w:val="32"/>
          <w:szCs w:val="32"/>
          <w:lang w:eastAsia="zh-CN"/>
        </w:rPr>
        <w:t>评标活动</w:t>
      </w:r>
      <w:r>
        <w:rPr>
          <w:rFonts w:hint="eastAsia" w:ascii="仿宋_GB2312" w:hAnsi="仿宋_GB2312" w:eastAsia="仿宋_GB2312" w:cs="仿宋_GB2312"/>
          <w:color w:val="000000"/>
          <w:kern w:val="0"/>
          <w:sz w:val="32"/>
          <w:szCs w:val="32"/>
        </w:rPr>
        <w:t>进行调查，不予配合</w:t>
      </w:r>
      <w:r>
        <w:rPr>
          <w:rFonts w:hint="eastAsia" w:ascii="仿宋_GB2312" w:hAnsi="仿宋_GB2312" w:eastAsia="仿宋_GB2312" w:cs="仿宋_GB2312"/>
          <w:color w:val="000000"/>
          <w:kern w:val="0"/>
          <w:sz w:val="32"/>
          <w:szCs w:val="32"/>
          <w:lang w:eastAsia="zh-CN"/>
        </w:rPr>
        <w:t>的</w:t>
      </w:r>
      <w:r>
        <w:rPr>
          <w:rFonts w:hint="eastAsia" w:ascii="仿宋_GB2312" w:hAnsi="仿宋_GB2312" w:eastAsia="仿宋_GB2312" w:cs="仿宋_GB2312"/>
          <w:color w:val="000000"/>
          <w:kern w:val="0"/>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2"/>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w:t>
      </w:r>
      <w:r>
        <w:rPr>
          <w:rFonts w:hint="eastAsia" w:ascii="仿宋_GB2312" w:hAnsi="仿宋_GB2312" w:eastAsia="仿宋_GB2312" w:cs="仿宋_GB2312"/>
          <w:b/>
          <w:bCs/>
          <w:color w:val="000000"/>
          <w:kern w:val="0"/>
          <w:sz w:val="32"/>
          <w:szCs w:val="32"/>
          <w:lang w:eastAsia="zh-CN"/>
        </w:rPr>
        <w:t>三</w:t>
      </w:r>
      <w:r>
        <w:rPr>
          <w:rFonts w:hint="eastAsia" w:ascii="仿宋_GB2312" w:hAnsi="仿宋_GB2312" w:eastAsia="仿宋_GB2312" w:cs="仿宋_GB2312"/>
          <w:b/>
          <w:bCs/>
          <w:color w:val="000000"/>
          <w:kern w:val="0"/>
          <w:sz w:val="32"/>
          <w:szCs w:val="32"/>
        </w:rPr>
        <w:t>条</w:t>
      </w:r>
      <w:r>
        <w:rPr>
          <w:rFonts w:hint="eastAsia" w:ascii="仿宋_GB2312" w:hAnsi="仿宋_GB2312" w:eastAsia="仿宋_GB2312" w:cs="仿宋_GB2312"/>
          <w:color w:val="000000"/>
          <w:kern w:val="0"/>
          <w:sz w:val="32"/>
          <w:szCs w:val="32"/>
        </w:rPr>
        <w:t> 评标专家发生以下情况的，每次扣20分。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（一）应当回避而未回避的；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（二）对依法应当否决的投标不提出否决意见</w:t>
      </w:r>
      <w:r>
        <w:rPr>
          <w:rFonts w:hint="eastAsia" w:ascii="仿宋_GB2312" w:hAnsi="仿宋_GB2312" w:eastAsia="仿宋_GB2312" w:cs="仿宋_GB2312"/>
          <w:color w:val="000000"/>
          <w:kern w:val="0"/>
          <w:sz w:val="32"/>
          <w:szCs w:val="32"/>
          <w:lang w:eastAsia="zh-CN"/>
        </w:rPr>
        <w:t>的</w:t>
      </w:r>
      <w:r>
        <w:rPr>
          <w:rFonts w:hint="eastAsia" w:ascii="仿宋_GB2312" w:hAnsi="仿宋_GB2312" w:eastAsia="仿宋_GB2312" w:cs="仿宋_GB2312"/>
          <w:color w:val="000000"/>
          <w:kern w:val="0"/>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（三）投标文件存有重大偏差或对招标人协助评标工作存在疏忽而没有发现，影响评标报告编制或评标结果的；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在评标过程中因评标专家个人操作失误</w:t>
      </w:r>
      <w:r>
        <w:rPr>
          <w:rFonts w:hint="eastAsia" w:ascii="仿宋_GB2312" w:hAnsi="仿宋_GB2312" w:eastAsia="仿宋_GB2312" w:cs="仿宋_GB2312"/>
          <w:color w:val="000000"/>
          <w:kern w:val="0"/>
          <w:sz w:val="32"/>
          <w:szCs w:val="32"/>
          <w:lang w:eastAsia="zh-CN"/>
        </w:rPr>
        <w:t>，或</w:t>
      </w:r>
      <w:r>
        <w:rPr>
          <w:rFonts w:hint="eastAsia" w:ascii="仿宋_GB2312" w:hAnsi="仿宋_GB2312" w:eastAsia="仿宋_GB2312" w:cs="仿宋_GB2312"/>
          <w:color w:val="000000"/>
          <w:kern w:val="0"/>
          <w:sz w:val="32"/>
          <w:szCs w:val="32"/>
        </w:rPr>
        <w:t>未按招标文件</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资格审查文件规定的评审标准和方法评审，导致中标结果改变的；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五</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评标报告或资格审查报告缺项、漏项或未按照规定要求编制，</w:t>
      </w:r>
      <w:r>
        <w:rPr>
          <w:rFonts w:hint="eastAsia" w:ascii="仿宋_GB2312" w:hAnsi="仿宋_GB2312" w:eastAsia="仿宋_GB2312" w:cs="仿宋_GB2312"/>
          <w:color w:val="000000"/>
          <w:kern w:val="0"/>
          <w:sz w:val="32"/>
          <w:szCs w:val="32"/>
        </w:rPr>
        <w:t>或者拒绝在评标报告上签字且无</w:t>
      </w:r>
      <w:r>
        <w:rPr>
          <w:rFonts w:hint="eastAsia" w:ascii="仿宋_GB2312" w:hAnsi="仿宋_GB2312" w:eastAsia="仿宋_GB2312" w:cs="仿宋_GB2312"/>
          <w:color w:val="000000"/>
          <w:kern w:val="0"/>
          <w:sz w:val="32"/>
          <w:szCs w:val="32"/>
          <w:lang w:eastAsia="zh-CN"/>
        </w:rPr>
        <w:t>正当</w:t>
      </w:r>
      <w:r>
        <w:rPr>
          <w:rFonts w:hint="eastAsia" w:ascii="仿宋_GB2312" w:hAnsi="仿宋_GB2312" w:eastAsia="仿宋_GB2312" w:cs="仿宋_GB2312"/>
          <w:color w:val="000000"/>
          <w:kern w:val="0"/>
          <w:sz w:val="32"/>
          <w:szCs w:val="32"/>
        </w:rPr>
        <w:t>理由的；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eastAsia="zh-CN"/>
        </w:rPr>
        <w:t>（六）</w:t>
      </w:r>
      <w:r>
        <w:rPr>
          <w:rFonts w:hint="eastAsia" w:ascii="仿宋_GB2312" w:hAnsi="仿宋_GB2312" w:eastAsia="仿宋_GB2312" w:cs="仿宋_GB2312"/>
          <w:color w:val="000000"/>
          <w:kern w:val="0"/>
          <w:sz w:val="32"/>
          <w:szCs w:val="32"/>
        </w:rPr>
        <w:t>私下接触投标人，或者向招标人征询确定中标人的意向，或者接受任何单位或者个人明示或者暗示提出的倾向或者排斥特定投标人的；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七</w:t>
      </w:r>
      <w:r>
        <w:rPr>
          <w:rFonts w:hint="eastAsia" w:ascii="仿宋_GB2312" w:hAnsi="仿宋_GB2312" w:eastAsia="仿宋_GB2312" w:cs="仿宋_GB2312"/>
          <w:color w:val="000000"/>
          <w:kern w:val="0"/>
          <w:sz w:val="32"/>
          <w:szCs w:val="32"/>
        </w:rPr>
        <w:t>）以明示或者暗示的方式发表诱导性意见、授意其他评标专家给特定投标人进行倾向性打分的；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八</w:t>
      </w:r>
      <w:r>
        <w:rPr>
          <w:rFonts w:hint="eastAsia" w:ascii="仿宋_GB2312" w:hAnsi="仿宋_GB2312" w:eastAsia="仿宋_GB2312" w:cs="仿宋_GB2312"/>
          <w:color w:val="000000"/>
          <w:kern w:val="0"/>
          <w:sz w:val="32"/>
          <w:szCs w:val="32"/>
        </w:rPr>
        <w:t>）暗示或者诱导投标人做出澄清、说明或者接受投标人主动提出的澄清、说明，影响公正评标的；</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九</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透漏对投标文件的评审和比较、中标候选人的推荐情况的</w:t>
      </w:r>
      <w:r>
        <w:rPr>
          <w:rFonts w:hint="eastAsia" w:ascii="仿宋_GB2312" w:hAnsi="仿宋_GB2312" w:eastAsia="仿宋_GB2312" w:cs="仿宋_GB2312"/>
          <w:color w:val="000000"/>
          <w:kern w:val="0"/>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000000"/>
          <w:kern w:val="0"/>
          <w:sz w:val="32"/>
          <w:szCs w:val="32"/>
          <w:lang w:eastAsia="zh-CN"/>
        </w:rPr>
        <w:t>十</w:t>
      </w:r>
      <w:r>
        <w:rPr>
          <w:rFonts w:hint="eastAsia" w:ascii="仿宋_GB2312" w:hAnsi="仿宋_GB2312" w:eastAsia="仿宋_GB2312" w:cs="仿宋_GB2312"/>
          <w:color w:val="000000"/>
          <w:kern w:val="0"/>
          <w:sz w:val="32"/>
          <w:szCs w:val="32"/>
        </w:rPr>
        <w:t>）其他</w:t>
      </w:r>
      <w:r>
        <w:rPr>
          <w:rFonts w:hint="eastAsia" w:ascii="仿宋_GB2312" w:hAnsi="仿宋_GB2312" w:eastAsia="仿宋_GB2312" w:cs="仿宋_GB2312"/>
          <w:color w:val="000000"/>
          <w:kern w:val="0"/>
          <w:sz w:val="32"/>
          <w:szCs w:val="32"/>
          <w:lang w:eastAsia="zh-CN"/>
        </w:rPr>
        <w:t>比较严重</w:t>
      </w:r>
      <w:r>
        <w:rPr>
          <w:rFonts w:hint="eastAsia" w:ascii="仿宋_GB2312" w:hAnsi="仿宋_GB2312" w:eastAsia="仿宋_GB2312" w:cs="仿宋_GB2312"/>
          <w:color w:val="000000"/>
          <w:kern w:val="0"/>
          <w:sz w:val="32"/>
          <w:szCs w:val="32"/>
        </w:rPr>
        <w:t>不客观、不公正履行</w:t>
      </w:r>
      <w:r>
        <w:rPr>
          <w:rFonts w:hint="eastAsia" w:ascii="仿宋_GB2312" w:hAnsi="仿宋_GB2312" w:eastAsia="仿宋_GB2312" w:cs="仿宋_GB2312"/>
          <w:color w:val="000000"/>
          <w:kern w:val="0"/>
          <w:sz w:val="32"/>
          <w:szCs w:val="32"/>
          <w:lang w:eastAsia="zh-CN"/>
        </w:rPr>
        <w:t>职责</w:t>
      </w:r>
      <w:r>
        <w:rPr>
          <w:rFonts w:hint="eastAsia" w:ascii="仿宋_GB2312" w:hAnsi="仿宋_GB2312" w:eastAsia="仿宋_GB2312" w:cs="仿宋_GB2312"/>
          <w:color w:val="000000"/>
          <w:kern w:val="0"/>
          <w:sz w:val="32"/>
          <w:szCs w:val="32"/>
        </w:rPr>
        <w:t>的行为。</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562"/>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lang w:eastAsia="zh-CN"/>
        </w:rPr>
        <w:t>第四条</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评标专家发生以下情况的，予以加分奖励。</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（一）积极配合有关部门对评标情况进行调查，</w:t>
      </w:r>
      <w:r>
        <w:rPr>
          <w:rFonts w:hint="eastAsia" w:ascii="仿宋_GB2312" w:hAnsi="仿宋_GB2312" w:eastAsia="仿宋_GB2312" w:cs="仿宋_GB2312"/>
          <w:color w:val="000000"/>
          <w:kern w:val="0"/>
          <w:sz w:val="32"/>
          <w:szCs w:val="32"/>
          <w:lang w:eastAsia="zh-CN"/>
        </w:rPr>
        <w:t>提供有价值线索的，</w:t>
      </w:r>
      <w:r>
        <w:rPr>
          <w:rFonts w:hint="eastAsia" w:ascii="仿宋_GB2312" w:hAnsi="仿宋_GB2312" w:eastAsia="仿宋_GB2312" w:cs="仿宋_GB2312"/>
          <w:color w:val="000000"/>
          <w:kern w:val="0"/>
          <w:sz w:val="32"/>
          <w:szCs w:val="32"/>
        </w:rPr>
        <w:t>加</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（二）向监管</w:t>
      </w:r>
      <w:r>
        <w:rPr>
          <w:rFonts w:hint="eastAsia" w:ascii="仿宋_GB2312" w:hAnsi="仿宋_GB2312" w:eastAsia="仿宋_GB2312" w:cs="仿宋_GB2312"/>
          <w:color w:val="000000"/>
          <w:kern w:val="0"/>
          <w:sz w:val="32"/>
          <w:szCs w:val="32"/>
          <w:lang w:eastAsia="zh-CN"/>
        </w:rPr>
        <w:t>部门</w:t>
      </w:r>
      <w:r>
        <w:rPr>
          <w:rFonts w:hint="eastAsia" w:ascii="仿宋_GB2312" w:hAnsi="仿宋_GB2312" w:eastAsia="仿宋_GB2312" w:cs="仿宋_GB2312"/>
          <w:color w:val="000000"/>
          <w:kern w:val="0"/>
          <w:sz w:val="32"/>
          <w:szCs w:val="32"/>
        </w:rPr>
        <w:t>提出</w:t>
      </w:r>
      <w:r>
        <w:rPr>
          <w:rFonts w:hint="eastAsia" w:ascii="仿宋_GB2312" w:hAnsi="仿宋_GB2312" w:eastAsia="仿宋_GB2312" w:cs="仿宋_GB2312"/>
          <w:color w:val="000000"/>
          <w:kern w:val="0"/>
          <w:sz w:val="32"/>
          <w:szCs w:val="32"/>
          <w:lang w:eastAsia="zh-CN"/>
        </w:rPr>
        <w:t>加强招标投标监管</w:t>
      </w:r>
      <w:r>
        <w:rPr>
          <w:rFonts w:hint="eastAsia" w:ascii="仿宋_GB2312" w:hAnsi="仿宋_GB2312" w:eastAsia="仿宋_GB2312" w:cs="仿宋_GB2312"/>
          <w:color w:val="000000"/>
          <w:kern w:val="0"/>
          <w:sz w:val="32"/>
          <w:szCs w:val="32"/>
        </w:rPr>
        <w:t>合理化建议被采纳的，加5分；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（三）主动向监管</w:t>
      </w:r>
      <w:r>
        <w:rPr>
          <w:rFonts w:hint="eastAsia" w:ascii="仿宋_GB2312" w:hAnsi="仿宋_GB2312" w:eastAsia="仿宋_GB2312" w:cs="仿宋_GB2312"/>
          <w:color w:val="000000"/>
          <w:kern w:val="0"/>
          <w:sz w:val="32"/>
          <w:szCs w:val="32"/>
          <w:lang w:eastAsia="zh-CN"/>
        </w:rPr>
        <w:t>部门</w:t>
      </w:r>
      <w:r>
        <w:rPr>
          <w:rFonts w:hint="eastAsia" w:ascii="仿宋_GB2312" w:hAnsi="仿宋_GB2312" w:eastAsia="仿宋_GB2312" w:cs="仿宋_GB2312"/>
          <w:color w:val="000000"/>
          <w:kern w:val="0"/>
          <w:sz w:val="32"/>
          <w:szCs w:val="32"/>
        </w:rPr>
        <w:t>反映评标过程中的违法违规行为且被查证属实的，加10分。</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00"/>
        <w:jc w:val="left"/>
        <w:textAlignment w:val="auto"/>
        <w:rPr>
          <w:color w:val="333333"/>
          <w:sz w:val="28"/>
          <w:szCs w:val="28"/>
        </w:rPr>
      </w:pPr>
      <w:r>
        <w:rPr>
          <w:rFonts w:hint="eastAsia" w:ascii="仿宋_GB2312" w:hAnsi="仿宋_GB2312" w:eastAsia="仿宋_GB2312" w:cs="仿宋_GB2312"/>
          <w:b/>
          <w:bCs/>
          <w:color w:val="000000"/>
          <w:kern w:val="0"/>
          <w:sz w:val="32"/>
          <w:szCs w:val="32"/>
        </w:rPr>
        <w:t>第五条</w:t>
      </w:r>
      <w:r>
        <w:rPr>
          <w:rFonts w:hint="eastAsia" w:ascii="仿宋_GB2312" w:hAnsi="仿宋_GB2312" w:eastAsia="仿宋_GB2312" w:cs="仿宋_GB2312"/>
          <w:b/>
          <w:bCs/>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000000"/>
          <w:kern w:val="0"/>
          <w:sz w:val="32"/>
          <w:szCs w:val="32"/>
          <w:lang w:eastAsia="zh-CN"/>
        </w:rPr>
        <w:t>扣分按照就高不就低的原则实施，就单次评标出现多种违规行为的可以累积扣分，奖励加分可以抵消扣分。一个计分周期内，被暂停评标资格后，已扣分清零。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2B234"/>
    <w:multiLevelType w:val="singleLevel"/>
    <w:tmpl w:val="0102B234"/>
    <w:lvl w:ilvl="0" w:tentative="0">
      <w:start w:val="2"/>
      <w:numFmt w:val="chineseCounting"/>
      <w:suff w:val="nothing"/>
      <w:lvlText w:val="%1、"/>
      <w:lvlJc w:val="left"/>
      <w:rPr>
        <w:rFonts w:hint="eastAsia"/>
      </w:rPr>
    </w:lvl>
  </w:abstractNum>
  <w:abstractNum w:abstractNumId="1">
    <w:nsid w:val="27E77A80"/>
    <w:multiLevelType w:val="singleLevel"/>
    <w:tmpl w:val="27E77A80"/>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zMTBkYWJlN2RhOGU3ZjhkZTU4YzliZWIyOTUwN2YifQ=="/>
  </w:docVars>
  <w:rsids>
    <w:rsidRoot w:val="004A0F43"/>
    <w:rsid w:val="00001F32"/>
    <w:rsid w:val="00011FA4"/>
    <w:rsid w:val="00014A24"/>
    <w:rsid w:val="00021FEB"/>
    <w:rsid w:val="00030B06"/>
    <w:rsid w:val="0004264D"/>
    <w:rsid w:val="00045397"/>
    <w:rsid w:val="0005295E"/>
    <w:rsid w:val="0005416F"/>
    <w:rsid w:val="000603A7"/>
    <w:rsid w:val="00060A1E"/>
    <w:rsid w:val="00060E8F"/>
    <w:rsid w:val="00063164"/>
    <w:rsid w:val="0006352A"/>
    <w:rsid w:val="00063F05"/>
    <w:rsid w:val="00071FC9"/>
    <w:rsid w:val="00076CA6"/>
    <w:rsid w:val="00086ED8"/>
    <w:rsid w:val="000966E5"/>
    <w:rsid w:val="000975F7"/>
    <w:rsid w:val="0009760D"/>
    <w:rsid w:val="000B109B"/>
    <w:rsid w:val="000B22A9"/>
    <w:rsid w:val="000B2DB4"/>
    <w:rsid w:val="000B426F"/>
    <w:rsid w:val="000C079E"/>
    <w:rsid w:val="000C7B4E"/>
    <w:rsid w:val="000D2168"/>
    <w:rsid w:val="000D575D"/>
    <w:rsid w:val="000D5BA2"/>
    <w:rsid w:val="000D68E6"/>
    <w:rsid w:val="000E0527"/>
    <w:rsid w:val="000E107C"/>
    <w:rsid w:val="000E17D9"/>
    <w:rsid w:val="000E75F6"/>
    <w:rsid w:val="000E7D48"/>
    <w:rsid w:val="000F2695"/>
    <w:rsid w:val="000F5F95"/>
    <w:rsid w:val="0012338B"/>
    <w:rsid w:val="001258E2"/>
    <w:rsid w:val="00141AD3"/>
    <w:rsid w:val="00142650"/>
    <w:rsid w:val="00166D52"/>
    <w:rsid w:val="001A1506"/>
    <w:rsid w:val="001B1CC4"/>
    <w:rsid w:val="001B79B2"/>
    <w:rsid w:val="001C49A8"/>
    <w:rsid w:val="001D1CF8"/>
    <w:rsid w:val="001D223A"/>
    <w:rsid w:val="001E4D1E"/>
    <w:rsid w:val="001F38C1"/>
    <w:rsid w:val="001F3FDC"/>
    <w:rsid w:val="00213EAF"/>
    <w:rsid w:val="00216B12"/>
    <w:rsid w:val="002348C5"/>
    <w:rsid w:val="002363CE"/>
    <w:rsid w:val="00255FBA"/>
    <w:rsid w:val="00256215"/>
    <w:rsid w:val="00260BFC"/>
    <w:rsid w:val="00262CD8"/>
    <w:rsid w:val="00263C66"/>
    <w:rsid w:val="00276D24"/>
    <w:rsid w:val="00280643"/>
    <w:rsid w:val="0029067A"/>
    <w:rsid w:val="00294B0C"/>
    <w:rsid w:val="002A2507"/>
    <w:rsid w:val="002A7B02"/>
    <w:rsid w:val="002C2108"/>
    <w:rsid w:val="002C4514"/>
    <w:rsid w:val="002C61DA"/>
    <w:rsid w:val="002D55FA"/>
    <w:rsid w:val="002F2B10"/>
    <w:rsid w:val="0031738A"/>
    <w:rsid w:val="00321CFD"/>
    <w:rsid w:val="0032501E"/>
    <w:rsid w:val="00334B8E"/>
    <w:rsid w:val="00345376"/>
    <w:rsid w:val="003459F0"/>
    <w:rsid w:val="00364BDD"/>
    <w:rsid w:val="0037492E"/>
    <w:rsid w:val="00393F2F"/>
    <w:rsid w:val="003940FF"/>
    <w:rsid w:val="00394B7D"/>
    <w:rsid w:val="003A381E"/>
    <w:rsid w:val="003A3D70"/>
    <w:rsid w:val="003C1150"/>
    <w:rsid w:val="003C61F8"/>
    <w:rsid w:val="003D4345"/>
    <w:rsid w:val="003E6E76"/>
    <w:rsid w:val="003F1E29"/>
    <w:rsid w:val="00405014"/>
    <w:rsid w:val="00422BF4"/>
    <w:rsid w:val="00441815"/>
    <w:rsid w:val="00445B23"/>
    <w:rsid w:val="0045119E"/>
    <w:rsid w:val="004518DE"/>
    <w:rsid w:val="0045475F"/>
    <w:rsid w:val="004605E5"/>
    <w:rsid w:val="00466F61"/>
    <w:rsid w:val="00470C27"/>
    <w:rsid w:val="004803A8"/>
    <w:rsid w:val="00491936"/>
    <w:rsid w:val="00491D82"/>
    <w:rsid w:val="004A0F43"/>
    <w:rsid w:val="004A79F6"/>
    <w:rsid w:val="004C4724"/>
    <w:rsid w:val="004C4B1C"/>
    <w:rsid w:val="004C5400"/>
    <w:rsid w:val="004D12ED"/>
    <w:rsid w:val="004E1A78"/>
    <w:rsid w:val="00502558"/>
    <w:rsid w:val="00507C7D"/>
    <w:rsid w:val="005135FC"/>
    <w:rsid w:val="00516118"/>
    <w:rsid w:val="00533D95"/>
    <w:rsid w:val="00537409"/>
    <w:rsid w:val="00542441"/>
    <w:rsid w:val="0054429D"/>
    <w:rsid w:val="0055030A"/>
    <w:rsid w:val="00550EC4"/>
    <w:rsid w:val="005762B0"/>
    <w:rsid w:val="0058340D"/>
    <w:rsid w:val="005A25DF"/>
    <w:rsid w:val="005A66BC"/>
    <w:rsid w:val="005C26B2"/>
    <w:rsid w:val="005C30E2"/>
    <w:rsid w:val="005C6006"/>
    <w:rsid w:val="005D6004"/>
    <w:rsid w:val="005F681A"/>
    <w:rsid w:val="005F69FE"/>
    <w:rsid w:val="00607D7E"/>
    <w:rsid w:val="00613D0C"/>
    <w:rsid w:val="00634335"/>
    <w:rsid w:val="00635EC7"/>
    <w:rsid w:val="006366E0"/>
    <w:rsid w:val="00637D61"/>
    <w:rsid w:val="006458A3"/>
    <w:rsid w:val="00650522"/>
    <w:rsid w:val="00661BB5"/>
    <w:rsid w:val="00667799"/>
    <w:rsid w:val="006679B3"/>
    <w:rsid w:val="006707AD"/>
    <w:rsid w:val="00680608"/>
    <w:rsid w:val="00692CA6"/>
    <w:rsid w:val="006964D4"/>
    <w:rsid w:val="00697AE2"/>
    <w:rsid w:val="006A0184"/>
    <w:rsid w:val="006B018F"/>
    <w:rsid w:val="006B0403"/>
    <w:rsid w:val="006B2FA9"/>
    <w:rsid w:val="006C5D4B"/>
    <w:rsid w:val="006C7518"/>
    <w:rsid w:val="006C75F3"/>
    <w:rsid w:val="006D2ABD"/>
    <w:rsid w:val="006D6D5A"/>
    <w:rsid w:val="006D7656"/>
    <w:rsid w:val="006E3D9C"/>
    <w:rsid w:val="006F129A"/>
    <w:rsid w:val="0070108E"/>
    <w:rsid w:val="0070424D"/>
    <w:rsid w:val="00710472"/>
    <w:rsid w:val="00716BA2"/>
    <w:rsid w:val="00730CBB"/>
    <w:rsid w:val="00736035"/>
    <w:rsid w:val="0074279D"/>
    <w:rsid w:val="00742EE7"/>
    <w:rsid w:val="0075738B"/>
    <w:rsid w:val="00761C7D"/>
    <w:rsid w:val="00763E84"/>
    <w:rsid w:val="00764885"/>
    <w:rsid w:val="00770280"/>
    <w:rsid w:val="00772308"/>
    <w:rsid w:val="00774901"/>
    <w:rsid w:val="00774AE8"/>
    <w:rsid w:val="00785136"/>
    <w:rsid w:val="00795A3A"/>
    <w:rsid w:val="007A06E2"/>
    <w:rsid w:val="007C6672"/>
    <w:rsid w:val="007D636E"/>
    <w:rsid w:val="007E17A1"/>
    <w:rsid w:val="007E1FDC"/>
    <w:rsid w:val="007E4707"/>
    <w:rsid w:val="007E7C23"/>
    <w:rsid w:val="007F1027"/>
    <w:rsid w:val="007F21DA"/>
    <w:rsid w:val="007F6B8D"/>
    <w:rsid w:val="00820B25"/>
    <w:rsid w:val="0082382D"/>
    <w:rsid w:val="0083134C"/>
    <w:rsid w:val="008449BC"/>
    <w:rsid w:val="0084552F"/>
    <w:rsid w:val="008522D3"/>
    <w:rsid w:val="0087216A"/>
    <w:rsid w:val="00874A1D"/>
    <w:rsid w:val="00882D21"/>
    <w:rsid w:val="0088310A"/>
    <w:rsid w:val="008848BB"/>
    <w:rsid w:val="00886548"/>
    <w:rsid w:val="00893016"/>
    <w:rsid w:val="00897E90"/>
    <w:rsid w:val="008A0193"/>
    <w:rsid w:val="008A09CB"/>
    <w:rsid w:val="008C161D"/>
    <w:rsid w:val="008D11FA"/>
    <w:rsid w:val="008E62D1"/>
    <w:rsid w:val="008F37E8"/>
    <w:rsid w:val="00901C41"/>
    <w:rsid w:val="00913DD8"/>
    <w:rsid w:val="00920900"/>
    <w:rsid w:val="009219C4"/>
    <w:rsid w:val="00925D94"/>
    <w:rsid w:val="009341BD"/>
    <w:rsid w:val="0093610C"/>
    <w:rsid w:val="00952316"/>
    <w:rsid w:val="0095286A"/>
    <w:rsid w:val="00954368"/>
    <w:rsid w:val="009564C8"/>
    <w:rsid w:val="00960A27"/>
    <w:rsid w:val="00962C52"/>
    <w:rsid w:val="00967E02"/>
    <w:rsid w:val="009765BE"/>
    <w:rsid w:val="009814F2"/>
    <w:rsid w:val="00981FB5"/>
    <w:rsid w:val="009906D7"/>
    <w:rsid w:val="009922C9"/>
    <w:rsid w:val="009A14CB"/>
    <w:rsid w:val="009A2120"/>
    <w:rsid w:val="009A21FE"/>
    <w:rsid w:val="009A4844"/>
    <w:rsid w:val="009A63DD"/>
    <w:rsid w:val="009B2698"/>
    <w:rsid w:val="009C5D2E"/>
    <w:rsid w:val="009E64D7"/>
    <w:rsid w:val="009F03D0"/>
    <w:rsid w:val="009F32F5"/>
    <w:rsid w:val="00A00381"/>
    <w:rsid w:val="00A00FCB"/>
    <w:rsid w:val="00A22B89"/>
    <w:rsid w:val="00A32E58"/>
    <w:rsid w:val="00A50F8F"/>
    <w:rsid w:val="00A619AB"/>
    <w:rsid w:val="00A636FB"/>
    <w:rsid w:val="00A659F9"/>
    <w:rsid w:val="00A66B53"/>
    <w:rsid w:val="00A70D95"/>
    <w:rsid w:val="00A865C4"/>
    <w:rsid w:val="00A90FDC"/>
    <w:rsid w:val="00A92F43"/>
    <w:rsid w:val="00A940AB"/>
    <w:rsid w:val="00AA66D1"/>
    <w:rsid w:val="00AB0E0E"/>
    <w:rsid w:val="00AB1DEB"/>
    <w:rsid w:val="00AB62F5"/>
    <w:rsid w:val="00AC2964"/>
    <w:rsid w:val="00AC5E19"/>
    <w:rsid w:val="00AD13B6"/>
    <w:rsid w:val="00AD3958"/>
    <w:rsid w:val="00AD4DDE"/>
    <w:rsid w:val="00AE7536"/>
    <w:rsid w:val="00B014C2"/>
    <w:rsid w:val="00B065E8"/>
    <w:rsid w:val="00B164FC"/>
    <w:rsid w:val="00B27A26"/>
    <w:rsid w:val="00B32D95"/>
    <w:rsid w:val="00B331C8"/>
    <w:rsid w:val="00B56E5C"/>
    <w:rsid w:val="00B570ED"/>
    <w:rsid w:val="00B61A34"/>
    <w:rsid w:val="00B653ED"/>
    <w:rsid w:val="00B677B8"/>
    <w:rsid w:val="00B742E4"/>
    <w:rsid w:val="00B97230"/>
    <w:rsid w:val="00B978BE"/>
    <w:rsid w:val="00BA0305"/>
    <w:rsid w:val="00BA0481"/>
    <w:rsid w:val="00BA51DD"/>
    <w:rsid w:val="00BA734D"/>
    <w:rsid w:val="00BC5D34"/>
    <w:rsid w:val="00BC60E9"/>
    <w:rsid w:val="00BC6F7F"/>
    <w:rsid w:val="00BD287D"/>
    <w:rsid w:val="00BD515E"/>
    <w:rsid w:val="00BD68F9"/>
    <w:rsid w:val="00BE1409"/>
    <w:rsid w:val="00BE1BEC"/>
    <w:rsid w:val="00BE1C00"/>
    <w:rsid w:val="00C023F5"/>
    <w:rsid w:val="00C14347"/>
    <w:rsid w:val="00C1713D"/>
    <w:rsid w:val="00C2222F"/>
    <w:rsid w:val="00C304CD"/>
    <w:rsid w:val="00C42D3B"/>
    <w:rsid w:val="00C469BA"/>
    <w:rsid w:val="00C51180"/>
    <w:rsid w:val="00C555E0"/>
    <w:rsid w:val="00C6273D"/>
    <w:rsid w:val="00C66E58"/>
    <w:rsid w:val="00C94115"/>
    <w:rsid w:val="00C97E4D"/>
    <w:rsid w:val="00CB2557"/>
    <w:rsid w:val="00CB6709"/>
    <w:rsid w:val="00CC2A04"/>
    <w:rsid w:val="00CC6689"/>
    <w:rsid w:val="00CD4C78"/>
    <w:rsid w:val="00CD788A"/>
    <w:rsid w:val="00CE4B91"/>
    <w:rsid w:val="00CF004A"/>
    <w:rsid w:val="00CF4190"/>
    <w:rsid w:val="00D11927"/>
    <w:rsid w:val="00D205B5"/>
    <w:rsid w:val="00D40A7C"/>
    <w:rsid w:val="00D534BC"/>
    <w:rsid w:val="00D53DB1"/>
    <w:rsid w:val="00D672C2"/>
    <w:rsid w:val="00D7006F"/>
    <w:rsid w:val="00D83E43"/>
    <w:rsid w:val="00D84797"/>
    <w:rsid w:val="00D970E1"/>
    <w:rsid w:val="00DA119F"/>
    <w:rsid w:val="00DA4933"/>
    <w:rsid w:val="00DB1DF2"/>
    <w:rsid w:val="00DB4868"/>
    <w:rsid w:val="00DB5D0E"/>
    <w:rsid w:val="00DE42E5"/>
    <w:rsid w:val="00DF061F"/>
    <w:rsid w:val="00DF628A"/>
    <w:rsid w:val="00E03FCA"/>
    <w:rsid w:val="00E04EAE"/>
    <w:rsid w:val="00E076A7"/>
    <w:rsid w:val="00E1396E"/>
    <w:rsid w:val="00E16201"/>
    <w:rsid w:val="00E25205"/>
    <w:rsid w:val="00E27578"/>
    <w:rsid w:val="00E35848"/>
    <w:rsid w:val="00E4112D"/>
    <w:rsid w:val="00E41F4F"/>
    <w:rsid w:val="00E46DF3"/>
    <w:rsid w:val="00E516BF"/>
    <w:rsid w:val="00E5496D"/>
    <w:rsid w:val="00E611E7"/>
    <w:rsid w:val="00E779E8"/>
    <w:rsid w:val="00E82B75"/>
    <w:rsid w:val="00E83440"/>
    <w:rsid w:val="00E84B7C"/>
    <w:rsid w:val="00E872DB"/>
    <w:rsid w:val="00E92445"/>
    <w:rsid w:val="00E94DAD"/>
    <w:rsid w:val="00EA344B"/>
    <w:rsid w:val="00EA49F2"/>
    <w:rsid w:val="00EB7F96"/>
    <w:rsid w:val="00ED1E53"/>
    <w:rsid w:val="00ED211E"/>
    <w:rsid w:val="00ED4D6D"/>
    <w:rsid w:val="00ED66AE"/>
    <w:rsid w:val="00ED7DAD"/>
    <w:rsid w:val="00EE7B34"/>
    <w:rsid w:val="00F107C6"/>
    <w:rsid w:val="00F14DB9"/>
    <w:rsid w:val="00F172CC"/>
    <w:rsid w:val="00F1788F"/>
    <w:rsid w:val="00F24954"/>
    <w:rsid w:val="00F37D32"/>
    <w:rsid w:val="00F528CE"/>
    <w:rsid w:val="00F52B36"/>
    <w:rsid w:val="00F7152D"/>
    <w:rsid w:val="00F7641C"/>
    <w:rsid w:val="00F9146F"/>
    <w:rsid w:val="00FA004E"/>
    <w:rsid w:val="00FA135D"/>
    <w:rsid w:val="00FA34CA"/>
    <w:rsid w:val="00FF2994"/>
    <w:rsid w:val="00FF7280"/>
    <w:rsid w:val="0283751C"/>
    <w:rsid w:val="04B618D5"/>
    <w:rsid w:val="04D4200A"/>
    <w:rsid w:val="0599645E"/>
    <w:rsid w:val="077A4FAE"/>
    <w:rsid w:val="080A6A73"/>
    <w:rsid w:val="08745616"/>
    <w:rsid w:val="08C158C4"/>
    <w:rsid w:val="08C32797"/>
    <w:rsid w:val="0A1350D8"/>
    <w:rsid w:val="0B53379D"/>
    <w:rsid w:val="0C0D1DFF"/>
    <w:rsid w:val="0C0D2F84"/>
    <w:rsid w:val="0C916A97"/>
    <w:rsid w:val="0CA804C4"/>
    <w:rsid w:val="0CEF3674"/>
    <w:rsid w:val="0D7E0C43"/>
    <w:rsid w:val="0E350C69"/>
    <w:rsid w:val="0E972E82"/>
    <w:rsid w:val="10A310FB"/>
    <w:rsid w:val="10CD3A8F"/>
    <w:rsid w:val="10EC7A7C"/>
    <w:rsid w:val="12DE5CA6"/>
    <w:rsid w:val="13E31129"/>
    <w:rsid w:val="141F52C3"/>
    <w:rsid w:val="142179C9"/>
    <w:rsid w:val="15146405"/>
    <w:rsid w:val="15F76F75"/>
    <w:rsid w:val="161B2F45"/>
    <w:rsid w:val="1639387F"/>
    <w:rsid w:val="17603654"/>
    <w:rsid w:val="17A87250"/>
    <w:rsid w:val="17AA520F"/>
    <w:rsid w:val="17F1419B"/>
    <w:rsid w:val="18A629AC"/>
    <w:rsid w:val="1912007E"/>
    <w:rsid w:val="19574B78"/>
    <w:rsid w:val="19B72682"/>
    <w:rsid w:val="1A59555E"/>
    <w:rsid w:val="1B0B36AB"/>
    <w:rsid w:val="1BDC2B06"/>
    <w:rsid w:val="1C176EFF"/>
    <w:rsid w:val="1CFE21F4"/>
    <w:rsid w:val="1D402B05"/>
    <w:rsid w:val="1D691539"/>
    <w:rsid w:val="1E60561F"/>
    <w:rsid w:val="1E744743"/>
    <w:rsid w:val="1ECF352F"/>
    <w:rsid w:val="1F4E188E"/>
    <w:rsid w:val="1F9E2034"/>
    <w:rsid w:val="2140089C"/>
    <w:rsid w:val="2143472A"/>
    <w:rsid w:val="214D1D23"/>
    <w:rsid w:val="21FC67A4"/>
    <w:rsid w:val="23AD6086"/>
    <w:rsid w:val="246F7763"/>
    <w:rsid w:val="249D5524"/>
    <w:rsid w:val="25AE3AF1"/>
    <w:rsid w:val="26A85CD4"/>
    <w:rsid w:val="27B34E05"/>
    <w:rsid w:val="27CA55CC"/>
    <w:rsid w:val="2867576E"/>
    <w:rsid w:val="287F77FA"/>
    <w:rsid w:val="295D7769"/>
    <w:rsid w:val="29681D77"/>
    <w:rsid w:val="29FD1F23"/>
    <w:rsid w:val="2B9434AA"/>
    <w:rsid w:val="2BC23EC2"/>
    <w:rsid w:val="2C8A2D6B"/>
    <w:rsid w:val="2CC2345E"/>
    <w:rsid w:val="2D1D7219"/>
    <w:rsid w:val="2D584AD0"/>
    <w:rsid w:val="2DB66CF3"/>
    <w:rsid w:val="2DBF1349"/>
    <w:rsid w:val="2E225A0B"/>
    <w:rsid w:val="2F1A3635"/>
    <w:rsid w:val="2F3F5134"/>
    <w:rsid w:val="2FEA18E8"/>
    <w:rsid w:val="30730C94"/>
    <w:rsid w:val="32715BCC"/>
    <w:rsid w:val="331902CC"/>
    <w:rsid w:val="34175FBF"/>
    <w:rsid w:val="352B4C37"/>
    <w:rsid w:val="355B5BB3"/>
    <w:rsid w:val="35AA3874"/>
    <w:rsid w:val="35E91125"/>
    <w:rsid w:val="35F071A7"/>
    <w:rsid w:val="35FA560F"/>
    <w:rsid w:val="36BB7B4F"/>
    <w:rsid w:val="36D351B1"/>
    <w:rsid w:val="374E6AF7"/>
    <w:rsid w:val="37900696"/>
    <w:rsid w:val="380861F9"/>
    <w:rsid w:val="38853986"/>
    <w:rsid w:val="38F71401"/>
    <w:rsid w:val="390366E6"/>
    <w:rsid w:val="39636C4D"/>
    <w:rsid w:val="3A211291"/>
    <w:rsid w:val="3A563EFD"/>
    <w:rsid w:val="3A723ACE"/>
    <w:rsid w:val="3AF73F96"/>
    <w:rsid w:val="3B0F4170"/>
    <w:rsid w:val="3B5056EC"/>
    <w:rsid w:val="3B680769"/>
    <w:rsid w:val="3B6F1D0C"/>
    <w:rsid w:val="3BF66B32"/>
    <w:rsid w:val="3CD81175"/>
    <w:rsid w:val="3DD116B4"/>
    <w:rsid w:val="3E96770B"/>
    <w:rsid w:val="3F1B2D0C"/>
    <w:rsid w:val="3F3E136A"/>
    <w:rsid w:val="3F861086"/>
    <w:rsid w:val="3FA73E58"/>
    <w:rsid w:val="40CF24FB"/>
    <w:rsid w:val="419B050B"/>
    <w:rsid w:val="41F829E5"/>
    <w:rsid w:val="42341839"/>
    <w:rsid w:val="4356128F"/>
    <w:rsid w:val="43A346A6"/>
    <w:rsid w:val="441A2FF3"/>
    <w:rsid w:val="443569FE"/>
    <w:rsid w:val="4463269B"/>
    <w:rsid w:val="44A825EB"/>
    <w:rsid w:val="44F55AC7"/>
    <w:rsid w:val="45567845"/>
    <w:rsid w:val="466943F9"/>
    <w:rsid w:val="46835588"/>
    <w:rsid w:val="480636AF"/>
    <w:rsid w:val="4850093F"/>
    <w:rsid w:val="4883617C"/>
    <w:rsid w:val="49596D51"/>
    <w:rsid w:val="49D124DF"/>
    <w:rsid w:val="4AE5143A"/>
    <w:rsid w:val="4BA63C84"/>
    <w:rsid w:val="4C376738"/>
    <w:rsid w:val="4C7E5CD8"/>
    <w:rsid w:val="4C9F2D2E"/>
    <w:rsid w:val="4D2247D9"/>
    <w:rsid w:val="4E61488B"/>
    <w:rsid w:val="4F2D437C"/>
    <w:rsid w:val="4F9A0268"/>
    <w:rsid w:val="510B3ACF"/>
    <w:rsid w:val="51621C77"/>
    <w:rsid w:val="51FB0341"/>
    <w:rsid w:val="53DD1593"/>
    <w:rsid w:val="543A6F7B"/>
    <w:rsid w:val="54802639"/>
    <w:rsid w:val="54835797"/>
    <w:rsid w:val="54BF02D0"/>
    <w:rsid w:val="55301B0F"/>
    <w:rsid w:val="564E6D43"/>
    <w:rsid w:val="569E0DE6"/>
    <w:rsid w:val="57862DA6"/>
    <w:rsid w:val="57C018F4"/>
    <w:rsid w:val="589C6BEB"/>
    <w:rsid w:val="591905EF"/>
    <w:rsid w:val="59367ED1"/>
    <w:rsid w:val="59E80971"/>
    <w:rsid w:val="5A2F0898"/>
    <w:rsid w:val="5A6E0342"/>
    <w:rsid w:val="5AC83AE1"/>
    <w:rsid w:val="5B354B19"/>
    <w:rsid w:val="5B836FD1"/>
    <w:rsid w:val="5B8D0A84"/>
    <w:rsid w:val="5C012C49"/>
    <w:rsid w:val="5C130457"/>
    <w:rsid w:val="5C1305A8"/>
    <w:rsid w:val="5C4273B8"/>
    <w:rsid w:val="5C6C2E53"/>
    <w:rsid w:val="5D162935"/>
    <w:rsid w:val="5E39263E"/>
    <w:rsid w:val="5E471272"/>
    <w:rsid w:val="5E4B57FB"/>
    <w:rsid w:val="5E912C90"/>
    <w:rsid w:val="5FFC497B"/>
    <w:rsid w:val="60765C03"/>
    <w:rsid w:val="60FA1D39"/>
    <w:rsid w:val="6101498C"/>
    <w:rsid w:val="614A78BD"/>
    <w:rsid w:val="62046055"/>
    <w:rsid w:val="631151CE"/>
    <w:rsid w:val="63B14CE4"/>
    <w:rsid w:val="63C53695"/>
    <w:rsid w:val="65494A6E"/>
    <w:rsid w:val="657D17D3"/>
    <w:rsid w:val="65864027"/>
    <w:rsid w:val="65B20DBE"/>
    <w:rsid w:val="65CC3037"/>
    <w:rsid w:val="669E4133"/>
    <w:rsid w:val="68042555"/>
    <w:rsid w:val="689C49E5"/>
    <w:rsid w:val="6B4F25BD"/>
    <w:rsid w:val="6BA37879"/>
    <w:rsid w:val="6C9B690E"/>
    <w:rsid w:val="6CBD54D8"/>
    <w:rsid w:val="6D0C2A35"/>
    <w:rsid w:val="6E75285B"/>
    <w:rsid w:val="6E8E3C07"/>
    <w:rsid w:val="6EE53337"/>
    <w:rsid w:val="6F5074C1"/>
    <w:rsid w:val="6F6C524B"/>
    <w:rsid w:val="6F7731A1"/>
    <w:rsid w:val="6F8007BC"/>
    <w:rsid w:val="70EC5827"/>
    <w:rsid w:val="71D16EE3"/>
    <w:rsid w:val="71DF79D6"/>
    <w:rsid w:val="720B7CDC"/>
    <w:rsid w:val="7233448C"/>
    <w:rsid w:val="731B0DC4"/>
    <w:rsid w:val="73226905"/>
    <w:rsid w:val="73960609"/>
    <w:rsid w:val="74157DE7"/>
    <w:rsid w:val="75334820"/>
    <w:rsid w:val="756F20C8"/>
    <w:rsid w:val="758A6B28"/>
    <w:rsid w:val="75A441F3"/>
    <w:rsid w:val="75C127E4"/>
    <w:rsid w:val="75F20A22"/>
    <w:rsid w:val="76792AB4"/>
    <w:rsid w:val="76B406C4"/>
    <w:rsid w:val="772E4B7F"/>
    <w:rsid w:val="780068DA"/>
    <w:rsid w:val="78486FF0"/>
    <w:rsid w:val="7939561D"/>
    <w:rsid w:val="793E0B8E"/>
    <w:rsid w:val="79717346"/>
    <w:rsid w:val="79C16592"/>
    <w:rsid w:val="7B3A3D26"/>
    <w:rsid w:val="7BEE758F"/>
    <w:rsid w:val="7D120AFC"/>
    <w:rsid w:val="7D991420"/>
    <w:rsid w:val="7DC95A12"/>
    <w:rsid w:val="7E1845B2"/>
    <w:rsid w:val="7E604472"/>
    <w:rsid w:val="7E732EBC"/>
    <w:rsid w:val="7EAB4224"/>
    <w:rsid w:val="7EEF12D5"/>
    <w:rsid w:val="7F1D67FA"/>
    <w:rsid w:val="7F3A48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footnote text"/>
    <w:basedOn w:val="1"/>
    <w:next w:val="1"/>
    <w:qFormat/>
    <w:uiPriority w:val="0"/>
    <w:pPr>
      <w:snapToGrid w:val="0"/>
      <w:jc w:val="left"/>
    </w:pPr>
    <w:rPr>
      <w:sz w:val="18"/>
    </w:rPr>
  </w:style>
  <w:style w:type="paragraph" w:styleId="4">
    <w:name w:val="annotation text"/>
    <w:basedOn w:val="1"/>
    <w:link w:val="20"/>
    <w:semiHidden/>
    <w:unhideWhenUsed/>
    <w:qFormat/>
    <w:uiPriority w:val="99"/>
    <w:pPr>
      <w:jc w:val="left"/>
    </w:pPr>
  </w:style>
  <w:style w:type="paragraph" w:styleId="5">
    <w:name w:val="Balloon Text"/>
    <w:basedOn w:val="1"/>
    <w:link w:val="22"/>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2"/>
    <w:basedOn w:val="1"/>
    <w:unhideWhenUsed/>
    <w:qFormat/>
    <w:uiPriority w:val="99"/>
    <w:pPr>
      <w:spacing w:after="120" w:line="480" w:lineRule="auto"/>
    </w:pPr>
    <w:rPr>
      <w:rFonts w:ascii="Times New Roman" w:hAnsi="Times New Roman"/>
      <w:szCs w:val="20"/>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4"/>
    <w:next w:val="4"/>
    <w:link w:val="21"/>
    <w:semiHidden/>
    <w:unhideWhenUsed/>
    <w:qFormat/>
    <w:uiPriority w:val="99"/>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Strong"/>
    <w:basedOn w:val="13"/>
    <w:qFormat/>
    <w:uiPriority w:val="0"/>
    <w:rPr>
      <w:b/>
    </w:rPr>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styleId="16">
    <w:name w:val="annotation reference"/>
    <w:basedOn w:val="13"/>
    <w:semiHidden/>
    <w:unhideWhenUsed/>
    <w:qFormat/>
    <w:uiPriority w:val="99"/>
    <w:rPr>
      <w:sz w:val="21"/>
      <w:szCs w:val="21"/>
    </w:rPr>
  </w:style>
  <w:style w:type="character" w:customStyle="1" w:styleId="17">
    <w:name w:val="页眉 字符"/>
    <w:basedOn w:val="13"/>
    <w:link w:val="7"/>
    <w:qFormat/>
    <w:uiPriority w:val="99"/>
    <w:rPr>
      <w:sz w:val="18"/>
      <w:szCs w:val="18"/>
    </w:rPr>
  </w:style>
  <w:style w:type="character" w:customStyle="1" w:styleId="18">
    <w:name w:val="页脚 字符"/>
    <w:basedOn w:val="13"/>
    <w:link w:val="6"/>
    <w:qFormat/>
    <w:uiPriority w:val="99"/>
    <w:rPr>
      <w:sz w:val="18"/>
      <w:szCs w:val="18"/>
    </w:rPr>
  </w:style>
  <w:style w:type="character" w:customStyle="1" w:styleId="19">
    <w:name w:val="标题 1 字符"/>
    <w:basedOn w:val="13"/>
    <w:link w:val="3"/>
    <w:qFormat/>
    <w:uiPriority w:val="9"/>
    <w:rPr>
      <w:rFonts w:ascii="宋体" w:hAnsi="宋体" w:eastAsia="宋体" w:cs="宋体"/>
      <w:b/>
      <w:bCs/>
      <w:kern w:val="36"/>
      <w:sz w:val="48"/>
      <w:szCs w:val="48"/>
    </w:rPr>
  </w:style>
  <w:style w:type="character" w:customStyle="1" w:styleId="20">
    <w:name w:val="批注文字 字符"/>
    <w:basedOn w:val="13"/>
    <w:link w:val="4"/>
    <w:semiHidden/>
    <w:qFormat/>
    <w:uiPriority w:val="99"/>
  </w:style>
  <w:style w:type="character" w:customStyle="1" w:styleId="21">
    <w:name w:val="批注主题 字符"/>
    <w:basedOn w:val="20"/>
    <w:link w:val="10"/>
    <w:semiHidden/>
    <w:qFormat/>
    <w:uiPriority w:val="99"/>
    <w:rPr>
      <w:b/>
      <w:bCs/>
    </w:rPr>
  </w:style>
  <w:style w:type="character" w:customStyle="1" w:styleId="22">
    <w:name w:val="批注框文本 字符"/>
    <w:basedOn w:val="13"/>
    <w:link w:val="5"/>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F57C11-EEA8-47A0-9E2E-A59F999895EB}">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3343</Words>
  <Characters>3388</Characters>
  <Lines>24</Lines>
  <Paragraphs>6</Paragraphs>
  <TotalTime>59</TotalTime>
  <ScaleCrop>false</ScaleCrop>
  <LinksUpToDate>false</LinksUpToDate>
  <CharactersWithSpaces>3440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2022-08-09T07:32:00Z</dcterms:created>
  <dc:creator>zhangyong</dc:creator>
  <cp:lastModifiedBy>hello world</cp:lastModifiedBy>
  <cp:lastPrinted>2022-09-13T00:41:00Z</cp:lastPrinted>
  <dcterms:modified xsi:type="dcterms:W3CDTF">2022-11-18T08:14:02Z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C5290FDC544841BB9D5686677E85F407</vt:lpwstr>
  </property>
</Properties>
</file>