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snapToGrid w:val="0"/>
        <w:spacing w:line="360" w:lineRule="auto"/>
        <w:ind w:left="0" w:right="0" w:firstLine="0" w:firstLineChars="0"/>
        <w:jc w:val="center"/>
        <w:rPr>
          <w:rFonts w:ascii="宋体" w:hAnsi="宋体" w:eastAsia="宋体"/>
          <w:sz w:val="48"/>
          <w:szCs w:val="48"/>
          <w:highlight w:val="none"/>
        </w:rPr>
      </w:pPr>
      <w:bookmarkStart w:id="2195" w:name="_GoBack"/>
      <w:bookmarkEnd w:id="2195"/>
      <w:r>
        <w:rPr>
          <w:rFonts w:ascii="宋体" w:hAnsi="宋体" w:eastAsia="宋体"/>
          <w:sz w:val="48"/>
          <w:szCs w:val="48"/>
          <w:highlight w:val="none"/>
        </w:rPr>
        <w:t>重庆市房屋建筑和市政基础设施工程</w:t>
      </w:r>
      <w:r>
        <w:rPr>
          <w:rFonts w:hint="eastAsia" w:ascii="宋体" w:hAnsi="宋体" w:eastAsia="宋体"/>
          <w:sz w:val="48"/>
          <w:szCs w:val="48"/>
          <w:highlight w:val="none"/>
        </w:rPr>
        <w:t>勘察</w:t>
      </w:r>
    </w:p>
    <w:p>
      <w:pPr>
        <w:pStyle w:val="21"/>
        <w:snapToGrid w:val="0"/>
        <w:spacing w:line="360" w:lineRule="auto"/>
        <w:ind w:left="0" w:right="0" w:firstLine="0" w:firstLineChars="0"/>
        <w:jc w:val="center"/>
        <w:rPr>
          <w:rFonts w:ascii="宋体" w:hAnsi="宋体" w:eastAsia="宋体"/>
          <w:sz w:val="48"/>
          <w:szCs w:val="48"/>
          <w:highlight w:val="none"/>
        </w:rPr>
      </w:pPr>
    </w:p>
    <w:p>
      <w:pPr>
        <w:pStyle w:val="21"/>
        <w:snapToGrid w:val="0"/>
        <w:spacing w:line="360" w:lineRule="auto"/>
        <w:ind w:left="0" w:right="0" w:firstLine="0" w:firstLineChars="0"/>
        <w:jc w:val="center"/>
        <w:rPr>
          <w:rFonts w:ascii="宋体" w:hAnsi="宋体" w:eastAsia="宋体"/>
          <w:b/>
          <w:sz w:val="84"/>
          <w:szCs w:val="84"/>
          <w:highlight w:val="none"/>
        </w:rPr>
      </w:pPr>
      <w:r>
        <w:rPr>
          <w:rFonts w:ascii="宋体" w:hAnsi="宋体" w:eastAsia="宋体"/>
          <w:b/>
          <w:sz w:val="84"/>
          <w:szCs w:val="84"/>
          <w:highlight w:val="none"/>
        </w:rPr>
        <w:t>标准招标文件</w:t>
      </w:r>
    </w:p>
    <w:p>
      <w:pPr>
        <w:pStyle w:val="21"/>
        <w:snapToGrid w:val="0"/>
        <w:spacing w:line="360" w:lineRule="auto"/>
        <w:ind w:left="0" w:right="0" w:firstLine="0" w:firstLineChars="0"/>
        <w:jc w:val="center"/>
        <w:rPr>
          <w:rFonts w:hint="eastAsia" w:ascii="宋体" w:hAnsi="宋体" w:eastAsia="宋体"/>
          <w:sz w:val="52"/>
          <w:szCs w:val="52"/>
          <w:highlight w:val="none"/>
        </w:rPr>
      </w:pPr>
      <w:r>
        <w:rPr>
          <w:rFonts w:hint="eastAsia" w:ascii="宋体" w:hAnsi="宋体" w:eastAsia="宋体"/>
          <w:sz w:val="52"/>
          <w:szCs w:val="52"/>
          <w:highlight w:val="none"/>
        </w:rPr>
        <w:t>（全流程电子招标</w:t>
      </w:r>
      <w:r>
        <w:rPr>
          <w:rFonts w:hint="eastAsia" w:ascii="宋体" w:hAnsi="宋体" w:eastAsia="宋体"/>
          <w:sz w:val="52"/>
          <w:szCs w:val="52"/>
          <w:highlight w:val="none"/>
          <w:lang w:val="en-US" w:eastAsia="zh-CN"/>
        </w:rPr>
        <w:t>正式版</w:t>
      </w:r>
      <w:r>
        <w:rPr>
          <w:rFonts w:hint="eastAsia" w:ascii="宋体" w:hAnsi="宋体" w:eastAsia="宋体"/>
          <w:sz w:val="52"/>
          <w:szCs w:val="52"/>
          <w:highlight w:val="none"/>
        </w:rPr>
        <w:t>）</w:t>
      </w:r>
    </w:p>
    <w:p>
      <w:pPr>
        <w:pStyle w:val="21"/>
        <w:snapToGrid w:val="0"/>
        <w:spacing w:line="360" w:lineRule="auto"/>
        <w:ind w:left="0" w:right="0" w:firstLine="0" w:firstLineChars="0"/>
        <w:jc w:val="center"/>
        <w:rPr>
          <w:rFonts w:ascii="宋体" w:hAnsi="宋体" w:eastAsia="宋体"/>
          <w:kern w:val="0"/>
          <w:sz w:val="52"/>
          <w:szCs w:val="52"/>
          <w:highlight w:val="none"/>
        </w:rPr>
      </w:pPr>
      <w:r>
        <w:rPr>
          <w:rFonts w:hint="eastAsia" w:ascii="宋体" w:hAnsi="宋体" w:eastAsia="宋体"/>
          <w:sz w:val="52"/>
          <w:szCs w:val="52"/>
          <w:highlight w:val="none"/>
        </w:rPr>
        <w:t>征求意见稿</w:t>
      </w:r>
    </w:p>
    <w:p>
      <w:pPr>
        <w:autoSpaceDE w:val="0"/>
        <w:autoSpaceDN w:val="0"/>
        <w:adjustRightInd w:val="0"/>
        <w:snapToGrid w:val="0"/>
        <w:spacing w:line="360" w:lineRule="auto"/>
        <w:jc w:val="center"/>
        <w:rPr>
          <w:rFonts w:ascii="宋体" w:hAnsi="宋体"/>
          <w:kern w:val="0"/>
          <w:position w:val="-5"/>
          <w:sz w:val="44"/>
          <w:szCs w:val="44"/>
          <w:highlight w:val="none"/>
        </w:rPr>
      </w:pPr>
    </w:p>
    <w:p>
      <w:pPr>
        <w:autoSpaceDE w:val="0"/>
        <w:autoSpaceDN w:val="0"/>
        <w:adjustRightInd w:val="0"/>
        <w:snapToGrid w:val="0"/>
        <w:spacing w:line="360" w:lineRule="auto"/>
        <w:jc w:val="center"/>
        <w:rPr>
          <w:rFonts w:ascii="宋体" w:hAnsi="宋体"/>
          <w:kern w:val="0"/>
          <w:position w:val="-5"/>
          <w:sz w:val="44"/>
          <w:szCs w:val="44"/>
          <w:highlight w:val="none"/>
        </w:rPr>
      </w:pPr>
    </w:p>
    <w:p>
      <w:pPr>
        <w:autoSpaceDE w:val="0"/>
        <w:autoSpaceDN w:val="0"/>
        <w:adjustRightInd w:val="0"/>
        <w:snapToGrid w:val="0"/>
        <w:spacing w:line="360" w:lineRule="auto"/>
        <w:jc w:val="center"/>
        <w:rPr>
          <w:rFonts w:hint="eastAsia" w:ascii="宋体" w:hAnsi="宋体" w:eastAsia="宋体"/>
          <w:b/>
          <w:kern w:val="0"/>
          <w:position w:val="-5"/>
          <w:sz w:val="44"/>
          <w:szCs w:val="44"/>
          <w:highlight w:val="none"/>
          <w:lang w:val="en-US" w:eastAsia="zh-CN"/>
        </w:rPr>
      </w:pPr>
    </w:p>
    <w:p>
      <w:pPr>
        <w:autoSpaceDE w:val="0"/>
        <w:autoSpaceDN w:val="0"/>
        <w:adjustRightInd w:val="0"/>
        <w:snapToGrid w:val="0"/>
        <w:spacing w:line="360" w:lineRule="auto"/>
        <w:jc w:val="center"/>
        <w:rPr>
          <w:rFonts w:ascii="宋体" w:hAnsi="宋体"/>
          <w:b/>
          <w:kern w:val="0"/>
          <w:position w:val="-5"/>
          <w:sz w:val="44"/>
          <w:szCs w:val="44"/>
          <w:highlight w:val="none"/>
        </w:rPr>
      </w:pPr>
    </w:p>
    <w:p>
      <w:pPr>
        <w:autoSpaceDE w:val="0"/>
        <w:autoSpaceDN w:val="0"/>
        <w:adjustRightInd w:val="0"/>
        <w:snapToGrid w:val="0"/>
        <w:spacing w:line="360" w:lineRule="auto"/>
        <w:jc w:val="center"/>
        <w:rPr>
          <w:rFonts w:ascii="宋体" w:hAnsi="宋体"/>
          <w:b/>
          <w:kern w:val="0"/>
          <w:position w:val="-5"/>
          <w:sz w:val="32"/>
          <w:szCs w:val="48"/>
          <w:highlight w:val="none"/>
        </w:rPr>
      </w:pPr>
    </w:p>
    <w:p>
      <w:pPr>
        <w:autoSpaceDE w:val="0"/>
        <w:autoSpaceDN w:val="0"/>
        <w:adjustRightInd w:val="0"/>
        <w:snapToGrid w:val="0"/>
        <w:spacing w:line="360" w:lineRule="auto"/>
        <w:jc w:val="center"/>
        <w:rPr>
          <w:rFonts w:ascii="宋体" w:hAnsi="宋体"/>
          <w:b/>
          <w:kern w:val="0"/>
          <w:position w:val="-5"/>
          <w:sz w:val="32"/>
          <w:szCs w:val="48"/>
          <w:highlight w:val="none"/>
        </w:rPr>
      </w:pPr>
    </w:p>
    <w:p>
      <w:pPr>
        <w:autoSpaceDE w:val="0"/>
        <w:autoSpaceDN w:val="0"/>
        <w:adjustRightInd w:val="0"/>
        <w:snapToGrid w:val="0"/>
        <w:spacing w:line="360" w:lineRule="auto"/>
        <w:jc w:val="center"/>
        <w:rPr>
          <w:rFonts w:ascii="宋体" w:hAnsi="宋体"/>
          <w:kern w:val="0"/>
          <w:position w:val="-5"/>
          <w:sz w:val="32"/>
          <w:szCs w:val="48"/>
          <w:highlight w:val="none"/>
        </w:rPr>
      </w:pPr>
    </w:p>
    <w:p>
      <w:pPr>
        <w:adjustRightInd w:val="0"/>
        <w:snapToGrid w:val="0"/>
        <w:spacing w:line="360" w:lineRule="auto"/>
        <w:jc w:val="center"/>
        <w:rPr>
          <w:rFonts w:ascii="宋体" w:hAnsi="宋体"/>
          <w:sz w:val="36"/>
          <w:szCs w:val="36"/>
          <w:highlight w:val="none"/>
        </w:rPr>
      </w:pPr>
    </w:p>
    <w:p>
      <w:pPr>
        <w:adjustRightInd w:val="0"/>
        <w:snapToGrid w:val="0"/>
        <w:spacing w:line="360" w:lineRule="auto"/>
        <w:jc w:val="center"/>
        <w:rPr>
          <w:rFonts w:ascii="宋体" w:hAnsi="宋体"/>
          <w:sz w:val="36"/>
          <w:szCs w:val="36"/>
          <w:highlight w:val="none"/>
        </w:rPr>
      </w:pPr>
      <w:r>
        <w:rPr>
          <w:rFonts w:ascii="宋体" w:hAnsi="宋体"/>
          <w:sz w:val="36"/>
          <w:szCs w:val="36"/>
          <w:highlight w:val="none"/>
        </w:rPr>
        <w:t>重庆市</w:t>
      </w:r>
      <w:r>
        <w:rPr>
          <w:rFonts w:hint="eastAsia" w:ascii="宋体" w:hAnsi="宋体"/>
          <w:sz w:val="36"/>
          <w:szCs w:val="36"/>
          <w:highlight w:val="none"/>
        </w:rPr>
        <w:t>公共资源交易监管局 制</w:t>
      </w:r>
    </w:p>
    <w:p>
      <w:pPr>
        <w:spacing w:line="360" w:lineRule="auto"/>
        <w:jc w:val="center"/>
        <w:rPr>
          <w:rFonts w:ascii="宋体" w:hAnsi="宋体"/>
          <w:kern w:val="0"/>
          <w:position w:val="-5"/>
          <w:sz w:val="36"/>
          <w:szCs w:val="36"/>
          <w:highlight w:val="none"/>
        </w:rPr>
        <w:sectPr>
          <w:footerReference r:id="rId5" w:type="first"/>
          <w:headerReference r:id="rId3" w:type="default"/>
          <w:footerReference r:id="rId4" w:type="even"/>
          <w:pgSz w:w="11907" w:h="16840"/>
          <w:pgMar w:top="1304" w:right="1134" w:bottom="1304" w:left="1304" w:header="851" w:footer="992" w:gutter="0"/>
          <w:pgNumType w:fmt="numberInDash" w:start="1"/>
          <w:cols w:space="720" w:num="1"/>
          <w:docGrid w:linePitch="312" w:charSpace="0"/>
        </w:sectPr>
      </w:pPr>
      <w:r>
        <w:rPr>
          <w:rFonts w:ascii="宋体" w:hAnsi="宋体"/>
          <w:kern w:val="0"/>
          <w:position w:val="-5"/>
          <w:sz w:val="36"/>
          <w:szCs w:val="36"/>
          <w:highlight w:val="none"/>
        </w:rPr>
        <w:t>20</w:t>
      </w:r>
      <w:r>
        <w:rPr>
          <w:rFonts w:hint="eastAsia" w:ascii="宋体" w:hAnsi="宋体"/>
          <w:kern w:val="0"/>
          <w:position w:val="-5"/>
          <w:sz w:val="36"/>
          <w:szCs w:val="36"/>
          <w:highlight w:val="none"/>
        </w:rPr>
        <w:t>2</w:t>
      </w:r>
      <w:r>
        <w:rPr>
          <w:rFonts w:hint="eastAsia" w:ascii="宋体" w:hAnsi="宋体"/>
          <w:kern w:val="0"/>
          <w:position w:val="-5"/>
          <w:sz w:val="36"/>
          <w:szCs w:val="36"/>
          <w:highlight w:val="none"/>
          <w:lang w:val="en-US" w:eastAsia="zh-CN"/>
        </w:rPr>
        <w:t>3</w:t>
      </w:r>
      <w:r>
        <w:rPr>
          <w:rFonts w:ascii="宋体" w:hAnsi="宋体"/>
          <w:kern w:val="0"/>
          <w:position w:val="-5"/>
          <w:sz w:val="36"/>
          <w:szCs w:val="36"/>
          <w:highlight w:val="none"/>
        </w:rPr>
        <w:t>年</w:t>
      </w:r>
      <w:r>
        <w:rPr>
          <w:rFonts w:hint="eastAsia" w:ascii="宋体" w:hAnsi="宋体"/>
          <w:kern w:val="0"/>
          <w:position w:val="-5"/>
          <w:sz w:val="36"/>
          <w:szCs w:val="36"/>
          <w:highlight w:val="none"/>
          <w:lang w:val="en-US" w:eastAsia="zh-CN"/>
        </w:rPr>
        <w:t>3</w:t>
      </w:r>
      <w:r>
        <w:rPr>
          <w:rFonts w:hint="eastAsia" w:ascii="宋体" w:hAnsi="宋体"/>
          <w:kern w:val="0"/>
          <w:position w:val="-5"/>
          <w:sz w:val="36"/>
          <w:szCs w:val="36"/>
          <w:highlight w:val="none"/>
        </w:rPr>
        <w:t>月</w:t>
      </w:r>
    </w:p>
    <w:p>
      <w:pPr>
        <w:autoSpaceDE w:val="0"/>
        <w:autoSpaceDN w:val="0"/>
        <w:adjustRightInd w:val="0"/>
        <w:snapToGrid w:val="0"/>
        <w:spacing w:line="590" w:lineRule="exact"/>
        <w:jc w:val="center"/>
        <w:rPr>
          <w:rFonts w:ascii="宋体" w:hAnsi="宋体"/>
          <w:b/>
          <w:bCs/>
          <w:kern w:val="0"/>
          <w:sz w:val="44"/>
          <w:szCs w:val="44"/>
          <w:highlight w:val="none"/>
        </w:rPr>
      </w:pPr>
      <w:bookmarkStart w:id="0" w:name="_Toc287620665"/>
      <w:r>
        <w:rPr>
          <w:rFonts w:ascii="宋体" w:hAnsi="宋体"/>
          <w:b/>
          <w:bCs/>
          <w:kern w:val="0"/>
          <w:sz w:val="44"/>
          <w:szCs w:val="44"/>
          <w:highlight w:val="none"/>
        </w:rPr>
        <w:t>使 用 说 明</w:t>
      </w:r>
    </w:p>
    <w:p>
      <w:pPr>
        <w:spacing w:line="590" w:lineRule="exact"/>
        <w:jc w:val="center"/>
        <w:rPr>
          <w:rFonts w:ascii="宋体" w:hAnsi="宋体"/>
          <w:kern w:val="0"/>
          <w:sz w:val="44"/>
          <w:szCs w:val="44"/>
          <w:highlight w:val="none"/>
        </w:rPr>
      </w:pP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kern w:val="0"/>
          <w:szCs w:val="21"/>
          <w:highlight w:val="none"/>
          <w:lang w:val="zh-CN"/>
        </w:rPr>
      </w:pPr>
      <w:r>
        <w:rPr>
          <w:rFonts w:hint="eastAsia" w:ascii="宋体" w:hAnsi="宋体"/>
          <w:kern w:val="0"/>
          <w:szCs w:val="21"/>
          <w:highlight w:val="none"/>
          <w:lang w:val="zh-CN"/>
        </w:rPr>
        <w:t>一、《重庆市房屋建筑和市政基础设施工程勘察标准招标文件》是以《中华人民共和国标准勘察招标文件》（2017年版）为框架，贯彻《中华人民共和国招标投标法》《电子招投标办法》和《重庆市人民政府办公厅印发关于深化公共资源交易监督管理改革的意见（试行）的通知》（渝府办发〔2019〕114号）等文件精神编制。</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kern w:val="0"/>
          <w:szCs w:val="21"/>
          <w:highlight w:val="none"/>
          <w:lang w:val="zh-CN"/>
        </w:rPr>
      </w:pPr>
      <w:r>
        <w:rPr>
          <w:rFonts w:hint="eastAsia" w:ascii="宋体" w:hAnsi="宋体"/>
          <w:kern w:val="0"/>
          <w:szCs w:val="21"/>
          <w:highlight w:val="none"/>
          <w:lang w:val="zh-CN"/>
        </w:rPr>
        <w:t>二</w:t>
      </w:r>
      <w:r>
        <w:rPr>
          <w:rFonts w:ascii="宋体" w:hAnsi="宋体"/>
          <w:kern w:val="0"/>
          <w:szCs w:val="21"/>
          <w:highlight w:val="none"/>
          <w:lang w:val="zh-CN"/>
        </w:rPr>
        <w:t>、《重庆市房屋建筑和市政基础设施工程</w:t>
      </w:r>
      <w:r>
        <w:rPr>
          <w:rFonts w:hint="eastAsia" w:ascii="宋体" w:hAnsi="宋体"/>
          <w:kern w:val="0"/>
          <w:szCs w:val="21"/>
          <w:highlight w:val="none"/>
          <w:lang w:val="zh-CN"/>
        </w:rPr>
        <w:t>勘察</w:t>
      </w:r>
      <w:r>
        <w:rPr>
          <w:rFonts w:ascii="宋体" w:hAnsi="宋体"/>
          <w:kern w:val="0"/>
          <w:szCs w:val="21"/>
          <w:highlight w:val="none"/>
          <w:lang w:val="zh-CN"/>
        </w:rPr>
        <w:t>标准招标文件》适用于重庆市行政区域内</w:t>
      </w:r>
      <w:r>
        <w:rPr>
          <w:rFonts w:hint="eastAsia" w:ascii="宋体" w:hAnsi="宋体"/>
          <w:kern w:val="0"/>
          <w:szCs w:val="21"/>
          <w:highlight w:val="none"/>
          <w:lang w:val="zh-CN"/>
        </w:rPr>
        <w:t>依法</w:t>
      </w:r>
      <w:r>
        <w:rPr>
          <w:rFonts w:ascii="宋体" w:hAnsi="宋体"/>
          <w:kern w:val="0"/>
          <w:szCs w:val="21"/>
          <w:highlight w:val="none"/>
          <w:lang w:val="zh-CN"/>
        </w:rPr>
        <w:t>必须招标的房屋建筑工程和市政基础设施工程</w:t>
      </w:r>
      <w:r>
        <w:rPr>
          <w:rFonts w:hint="eastAsia" w:ascii="宋体" w:hAnsi="宋体"/>
          <w:kern w:val="0"/>
          <w:szCs w:val="21"/>
          <w:highlight w:val="none"/>
          <w:lang w:val="zh-CN"/>
        </w:rPr>
        <w:t>勘察</w:t>
      </w:r>
      <w:r>
        <w:rPr>
          <w:rFonts w:hint="eastAsia" w:asciiTheme="minorEastAsia" w:hAnsiTheme="minorEastAsia" w:eastAsiaTheme="minorEastAsia"/>
          <w:szCs w:val="21"/>
          <w:highlight w:val="none"/>
        </w:rPr>
        <w:t>全流程电子招标</w:t>
      </w:r>
      <w:r>
        <w:rPr>
          <w:rFonts w:hint="eastAsia" w:ascii="宋体" w:hAnsi="宋体"/>
          <w:kern w:val="0"/>
          <w:szCs w:val="21"/>
          <w:highlight w:val="none"/>
        </w:rPr>
        <w:t>项目</w:t>
      </w:r>
      <w:r>
        <w:rPr>
          <w:rFonts w:ascii="宋体" w:hAnsi="宋体"/>
          <w:kern w:val="0"/>
          <w:szCs w:val="21"/>
          <w:highlight w:val="none"/>
          <w:lang w:val="zh-CN"/>
        </w:rPr>
        <w:t>。</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kern w:val="0"/>
          <w:szCs w:val="21"/>
          <w:highlight w:val="none"/>
          <w:lang w:val="zh-CN"/>
        </w:rPr>
      </w:pPr>
      <w:r>
        <w:rPr>
          <w:rFonts w:hint="eastAsia" w:ascii="宋体" w:hAnsi="宋体"/>
          <w:kern w:val="0"/>
          <w:szCs w:val="21"/>
          <w:highlight w:val="none"/>
          <w:lang w:val="zh-CN"/>
        </w:rPr>
        <w:t>三</w:t>
      </w:r>
      <w:r>
        <w:rPr>
          <w:rFonts w:ascii="宋体" w:hAnsi="宋体"/>
          <w:kern w:val="0"/>
          <w:szCs w:val="21"/>
          <w:highlight w:val="none"/>
          <w:lang w:val="zh-CN"/>
        </w:rPr>
        <w:t>、招标人按照《</w:t>
      </w:r>
      <w:r>
        <w:rPr>
          <w:rFonts w:hint="eastAsia" w:ascii="宋体" w:hAnsi="宋体"/>
          <w:kern w:val="0"/>
          <w:szCs w:val="21"/>
          <w:highlight w:val="none"/>
          <w:lang w:val="zh-CN"/>
        </w:rPr>
        <w:t>重庆市房屋建筑和市政基础设施工程勘察标准招标文件</w:t>
      </w:r>
      <w:r>
        <w:rPr>
          <w:rFonts w:ascii="宋体" w:hAnsi="宋体"/>
          <w:kern w:val="0"/>
          <w:szCs w:val="21"/>
          <w:highlight w:val="none"/>
          <w:lang w:val="zh-CN"/>
        </w:rPr>
        <w:t>》第一章的格式发布招标公告或发出投标邀请书后，将实际发布的招标公告或实际发出的投标邀请书编入招标文件中，作为投标邀请。其中，招标公告应同时注明发布所在</w:t>
      </w:r>
      <w:r>
        <w:rPr>
          <w:rFonts w:hint="eastAsia" w:ascii="宋体" w:hAnsi="宋体"/>
          <w:kern w:val="0"/>
          <w:szCs w:val="21"/>
          <w:highlight w:val="none"/>
          <w:lang w:val="zh-CN"/>
        </w:rPr>
        <w:t>地</w:t>
      </w:r>
      <w:r>
        <w:rPr>
          <w:rFonts w:ascii="宋体" w:hAnsi="宋体"/>
          <w:kern w:val="0"/>
          <w:szCs w:val="21"/>
          <w:highlight w:val="none"/>
          <w:lang w:val="zh-CN"/>
        </w:rPr>
        <w:t>所有</w:t>
      </w:r>
      <w:r>
        <w:rPr>
          <w:rFonts w:hint="eastAsia" w:ascii="宋体" w:hAnsi="宋体"/>
          <w:kern w:val="0"/>
          <w:szCs w:val="21"/>
          <w:highlight w:val="none"/>
          <w:lang w:val="zh-CN"/>
        </w:rPr>
        <w:t>指定</w:t>
      </w:r>
      <w:r>
        <w:rPr>
          <w:rFonts w:ascii="宋体" w:hAnsi="宋体"/>
          <w:kern w:val="0"/>
          <w:szCs w:val="21"/>
          <w:highlight w:val="none"/>
          <w:lang w:val="zh-CN"/>
        </w:rPr>
        <w:t>媒介名称。</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kern w:val="0"/>
          <w:szCs w:val="21"/>
          <w:highlight w:val="none"/>
          <w:lang w:val="zh-CN"/>
        </w:rPr>
      </w:pPr>
      <w:r>
        <w:rPr>
          <w:rFonts w:hint="eastAsia" w:ascii="宋体" w:hAnsi="宋体"/>
          <w:kern w:val="0"/>
          <w:szCs w:val="21"/>
          <w:highlight w:val="none"/>
        </w:rPr>
        <w:t>四</w:t>
      </w:r>
      <w:r>
        <w:rPr>
          <w:rFonts w:ascii="宋体" w:hAnsi="宋体"/>
          <w:kern w:val="0"/>
          <w:szCs w:val="21"/>
          <w:highlight w:val="none"/>
          <w:lang w:val="zh-CN"/>
        </w:rPr>
        <w:t>、《</w:t>
      </w:r>
      <w:r>
        <w:rPr>
          <w:rFonts w:hint="eastAsia" w:ascii="宋体" w:hAnsi="宋体"/>
          <w:kern w:val="0"/>
          <w:szCs w:val="21"/>
          <w:highlight w:val="none"/>
          <w:lang w:val="zh-CN"/>
        </w:rPr>
        <w:t>重庆市房屋建筑和市政基础设施工程勘察标准招标文件</w:t>
      </w:r>
      <w:r>
        <w:rPr>
          <w:rFonts w:ascii="宋体" w:hAnsi="宋体"/>
          <w:kern w:val="0"/>
          <w:szCs w:val="21"/>
          <w:highlight w:val="none"/>
          <w:lang w:val="zh-CN"/>
        </w:rPr>
        <w:t>》</w:t>
      </w:r>
      <w:r>
        <w:rPr>
          <w:rFonts w:hint="eastAsia" w:ascii="宋体" w:hAnsi="宋体"/>
          <w:szCs w:val="21"/>
          <w:highlight w:val="none"/>
        </w:rPr>
        <w:t>第三章“评标办法”分别规定了综合评估法和经评审的最低投标价法两种评标方法供招标人选择</w:t>
      </w:r>
      <w:r>
        <w:rPr>
          <w:rFonts w:ascii="宋体" w:hAnsi="宋体"/>
          <w:szCs w:val="21"/>
          <w:highlight w:val="none"/>
        </w:rPr>
        <w:t>。各评审因素的评审标准、分值和权重等</w:t>
      </w:r>
      <w:r>
        <w:rPr>
          <w:rFonts w:hint="eastAsia" w:ascii="宋体" w:hAnsi="宋体"/>
          <w:kern w:val="0"/>
          <w:szCs w:val="21"/>
          <w:highlight w:val="none"/>
        </w:rPr>
        <w:t>应按标准招标文件中的提示</w:t>
      </w:r>
      <w:r>
        <w:rPr>
          <w:rFonts w:ascii="宋体" w:hAnsi="宋体"/>
          <w:szCs w:val="21"/>
          <w:highlight w:val="none"/>
        </w:rPr>
        <w:t>由招标人自主确定。</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kern w:val="0"/>
          <w:szCs w:val="21"/>
          <w:highlight w:val="none"/>
          <w:lang w:val="zh-CN"/>
        </w:rPr>
      </w:pPr>
      <w:r>
        <w:rPr>
          <w:rFonts w:hint="eastAsia" w:ascii="宋体" w:hAnsi="宋体"/>
          <w:kern w:val="0"/>
          <w:szCs w:val="21"/>
          <w:highlight w:val="none"/>
        </w:rPr>
        <w:t>五</w:t>
      </w:r>
      <w:r>
        <w:rPr>
          <w:rFonts w:hint="eastAsia" w:ascii="宋体" w:hAnsi="宋体"/>
          <w:kern w:val="0"/>
          <w:szCs w:val="21"/>
          <w:highlight w:val="none"/>
          <w:lang w:val="zh-CN"/>
        </w:rPr>
        <w:t>、《重庆市房屋建筑和市政基础设施工程勘察标准招标文件》第四章“合同条款及格式”</w:t>
      </w:r>
      <w:r>
        <w:rPr>
          <w:rFonts w:hint="eastAsia"/>
          <w:highlight w:val="none"/>
        </w:rPr>
        <w:t xml:space="preserve"> </w:t>
      </w:r>
      <w:r>
        <w:rPr>
          <w:rFonts w:hint="eastAsia" w:ascii="宋体" w:hAnsi="宋体"/>
          <w:kern w:val="0"/>
          <w:szCs w:val="21"/>
          <w:highlight w:val="none"/>
          <w:lang w:val="zh-CN"/>
        </w:rPr>
        <w:t>参照</w:t>
      </w:r>
      <w:r>
        <w:rPr>
          <w:rFonts w:ascii="Calibri" w:hAnsi="宋体"/>
          <w:szCs w:val="21"/>
          <w:highlight w:val="none"/>
        </w:rPr>
        <w:t>《建设工程勘察合同（示范文本）》（</w:t>
      </w:r>
      <w:r>
        <w:rPr>
          <w:rFonts w:ascii="宋体" w:hAnsi="宋体"/>
          <w:kern w:val="0"/>
          <w:szCs w:val="21"/>
          <w:highlight w:val="none"/>
          <w:lang w:val="zh-CN"/>
        </w:rPr>
        <w:t>GF-2016-0203</w:t>
      </w:r>
      <w:r>
        <w:rPr>
          <w:rFonts w:ascii="Calibri" w:hAnsi="宋体"/>
          <w:szCs w:val="21"/>
          <w:highlight w:val="none"/>
        </w:rPr>
        <w:t>）</w:t>
      </w:r>
      <w:r>
        <w:rPr>
          <w:rFonts w:hint="eastAsia" w:ascii="宋体" w:hAnsi="宋体"/>
          <w:kern w:val="0"/>
          <w:szCs w:val="21"/>
          <w:highlight w:val="none"/>
          <w:lang w:val="zh-CN"/>
        </w:rPr>
        <w:t>制定，内容由合同协议书、通用合同条款和专用合同条款三部分组成。</w:t>
      </w:r>
      <w:r>
        <w:rPr>
          <w:rFonts w:hint="eastAsia" w:ascii="宋体" w:hAnsi="宋体"/>
          <w:kern w:val="0"/>
          <w:szCs w:val="21"/>
          <w:highlight w:val="none"/>
        </w:rPr>
        <w:t>合同协议书共计12条，主要包括：合同构成文件、合同优先顺序、</w:t>
      </w:r>
      <w:r>
        <w:rPr>
          <w:rFonts w:ascii="宋体" w:hAnsi="宋体"/>
          <w:kern w:val="0"/>
          <w:szCs w:val="21"/>
          <w:highlight w:val="none"/>
        </w:rPr>
        <w:t>项目名称规模及勘察</w:t>
      </w:r>
      <w:r>
        <w:rPr>
          <w:rFonts w:hint="eastAsia" w:ascii="宋体" w:hAnsi="宋体"/>
          <w:kern w:val="0"/>
          <w:szCs w:val="21"/>
          <w:highlight w:val="none"/>
        </w:rPr>
        <w:t>工作</w:t>
      </w:r>
      <w:r>
        <w:rPr>
          <w:rFonts w:ascii="宋体" w:hAnsi="宋体"/>
          <w:kern w:val="0"/>
          <w:szCs w:val="21"/>
          <w:highlight w:val="none"/>
        </w:rPr>
        <w:t>内容</w:t>
      </w:r>
      <w:r>
        <w:rPr>
          <w:rFonts w:hint="eastAsia" w:ascii="宋体" w:hAnsi="宋体"/>
          <w:kern w:val="0"/>
          <w:szCs w:val="21"/>
          <w:highlight w:val="none"/>
        </w:rPr>
        <w:t>、签约合同价和合同价格形式、项目负责人、勘察工作质量符合的标准和要求、勘察人承诺、发包人承诺、勘察服务期限、合同生效条件、合同协议份数及补充协议（如有）等重要内容，</w:t>
      </w:r>
      <w:r>
        <w:rPr>
          <w:rFonts w:hint="eastAsia" w:ascii="宋体" w:hAnsi="宋体"/>
          <w:kern w:val="0"/>
          <w:szCs w:val="21"/>
          <w:highlight w:val="none"/>
          <w:lang w:val="zh-CN"/>
        </w:rPr>
        <w:t>集中约定合同当事人的基本合同权利义务。</w:t>
      </w:r>
      <w:r>
        <w:rPr>
          <w:rFonts w:hint="eastAsia" w:ascii="宋体" w:hAnsi="宋体"/>
          <w:kern w:val="0"/>
          <w:szCs w:val="21"/>
          <w:highlight w:val="none"/>
        </w:rPr>
        <w:t>通用合同条款共计15条，主要包括：一般约定、发包人义务、发包人管理、勘察人义务、勘察要求、开始勘察和完成勘察、暂停勘察、勘察文件、勘察责任与保险、设计和施工期间配合、合同变更、合同价格与支付、不可抗力、违约、争议的解决。专用合同条款共计16条，以合同为中心的履约管理机制，重点对变更原则、价格调整机制、合同实施中合同当事人的权利、义务等作了原则性规定。</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kern w:val="0"/>
          <w:szCs w:val="21"/>
          <w:highlight w:val="none"/>
          <w:lang w:val="zh-CN"/>
        </w:rPr>
      </w:pPr>
      <w:r>
        <w:rPr>
          <w:rFonts w:hint="eastAsia" w:ascii="宋体" w:hAnsi="宋体"/>
          <w:kern w:val="0"/>
          <w:szCs w:val="21"/>
          <w:highlight w:val="none"/>
          <w:lang w:val="zh-CN"/>
        </w:rPr>
        <w:t>六</w:t>
      </w:r>
      <w:r>
        <w:rPr>
          <w:rFonts w:ascii="宋体" w:hAnsi="宋体"/>
          <w:kern w:val="0"/>
          <w:szCs w:val="21"/>
          <w:highlight w:val="none"/>
          <w:lang w:val="zh-CN"/>
        </w:rPr>
        <w:t>、《</w:t>
      </w:r>
      <w:r>
        <w:rPr>
          <w:rFonts w:hint="eastAsia" w:ascii="宋体" w:hAnsi="宋体"/>
          <w:kern w:val="0"/>
          <w:szCs w:val="21"/>
          <w:highlight w:val="none"/>
          <w:lang w:val="zh-CN"/>
        </w:rPr>
        <w:t>重庆市房屋建筑和市政基础设施工程勘察标准招标文件</w:t>
      </w:r>
      <w:r>
        <w:rPr>
          <w:rFonts w:ascii="宋体" w:hAnsi="宋体"/>
          <w:kern w:val="0"/>
          <w:szCs w:val="21"/>
          <w:highlight w:val="none"/>
          <w:lang w:val="zh-CN"/>
        </w:rPr>
        <w:t>》</w:t>
      </w:r>
      <w:r>
        <w:rPr>
          <w:rFonts w:hint="eastAsia" w:ascii="宋体" w:hAnsi="宋体"/>
          <w:kern w:val="0"/>
          <w:szCs w:val="21"/>
          <w:highlight w:val="none"/>
          <w:lang w:val="zh-CN"/>
        </w:rPr>
        <w:t>中的第五章“发包人要求”供招标人在编制“发包人要求”时参考，</w:t>
      </w:r>
      <w:r>
        <w:rPr>
          <w:rFonts w:ascii="宋体" w:hAnsi="宋体"/>
          <w:kern w:val="0"/>
          <w:szCs w:val="21"/>
          <w:highlight w:val="none"/>
          <w:lang w:val="zh-CN"/>
        </w:rPr>
        <w:t>招标人</w:t>
      </w:r>
      <w:r>
        <w:rPr>
          <w:rFonts w:hint="eastAsia" w:ascii="宋体" w:hAnsi="宋体"/>
          <w:kern w:val="0"/>
          <w:szCs w:val="21"/>
          <w:highlight w:val="none"/>
          <w:lang w:val="en-US" w:eastAsia="zh-CN"/>
        </w:rPr>
        <w:t>应</w:t>
      </w:r>
      <w:r>
        <w:rPr>
          <w:rFonts w:ascii="宋体" w:hAnsi="宋体"/>
          <w:kern w:val="0"/>
          <w:szCs w:val="21"/>
          <w:highlight w:val="none"/>
          <w:lang w:val="zh-CN"/>
        </w:rPr>
        <w:t>根据</w:t>
      </w:r>
      <w:r>
        <w:rPr>
          <w:rFonts w:hint="eastAsia" w:ascii="宋体" w:hAnsi="宋体"/>
          <w:kern w:val="0"/>
          <w:szCs w:val="21"/>
          <w:highlight w:val="none"/>
        </w:rPr>
        <w:t>建筑工程建设标准、</w:t>
      </w:r>
      <w:r>
        <w:rPr>
          <w:rFonts w:ascii="宋体" w:hAnsi="宋体"/>
          <w:kern w:val="0"/>
          <w:szCs w:val="21"/>
          <w:highlight w:val="none"/>
          <w:lang w:val="zh-CN"/>
        </w:rPr>
        <w:t>招标项目具体特</w:t>
      </w:r>
      <w:r>
        <w:rPr>
          <w:sz w:val="24"/>
          <w:highlight w:val="none"/>
        </w:rPr>
        <w:t>点</w:t>
      </w:r>
      <w:r>
        <w:rPr>
          <w:rFonts w:ascii="宋体" w:hAnsi="宋体"/>
          <w:kern w:val="0"/>
          <w:szCs w:val="21"/>
          <w:highlight w:val="none"/>
          <w:lang w:val="zh-CN"/>
        </w:rPr>
        <w:t>和实际需要编制，并与“投标人须知”、“通用合同条款”、“专用合同条款”相衔接。</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kern w:val="0"/>
          <w:szCs w:val="21"/>
          <w:highlight w:val="none"/>
          <w:lang w:val="zh-CN"/>
        </w:rPr>
      </w:pPr>
      <w:r>
        <w:rPr>
          <w:rFonts w:hint="eastAsia" w:ascii="宋体" w:hAnsi="宋体"/>
          <w:kern w:val="0"/>
          <w:szCs w:val="21"/>
          <w:highlight w:val="none"/>
        </w:rPr>
        <w:t>七</w:t>
      </w:r>
      <w:r>
        <w:rPr>
          <w:rFonts w:ascii="宋体" w:hAnsi="宋体"/>
          <w:kern w:val="0"/>
          <w:szCs w:val="21"/>
          <w:highlight w:val="none"/>
          <w:lang w:val="zh-CN"/>
        </w:rPr>
        <w:t>、</w:t>
      </w:r>
      <w:r>
        <w:rPr>
          <w:rFonts w:hint="eastAsia" w:ascii="宋体" w:hAnsi="宋体"/>
          <w:kern w:val="0"/>
          <w:szCs w:val="21"/>
          <w:highlight w:val="none"/>
        </w:rPr>
        <w:t>第二章“</w:t>
      </w:r>
      <w:r>
        <w:rPr>
          <w:rFonts w:ascii="宋体" w:hAnsi="宋体"/>
          <w:kern w:val="0"/>
          <w:szCs w:val="21"/>
          <w:highlight w:val="none"/>
          <w:lang w:val="zh-CN"/>
        </w:rPr>
        <w:t>投标人须知前附表</w:t>
      </w:r>
      <w:r>
        <w:rPr>
          <w:rFonts w:hint="eastAsia" w:ascii="宋体" w:hAnsi="宋体"/>
          <w:kern w:val="0"/>
          <w:szCs w:val="21"/>
          <w:highlight w:val="none"/>
          <w:lang w:val="zh-CN"/>
        </w:rPr>
        <w:t>”</w:t>
      </w:r>
      <w:r>
        <w:rPr>
          <w:rFonts w:ascii="宋体" w:hAnsi="宋体"/>
          <w:kern w:val="0"/>
          <w:szCs w:val="21"/>
          <w:highlight w:val="none"/>
          <w:lang w:val="zh-CN"/>
        </w:rPr>
        <w:t>与其正文不一致的以</w:t>
      </w:r>
      <w:r>
        <w:rPr>
          <w:rFonts w:hint="eastAsia" w:ascii="宋体" w:hAnsi="宋体"/>
          <w:kern w:val="0"/>
          <w:szCs w:val="21"/>
          <w:highlight w:val="none"/>
          <w:lang w:val="zh-CN"/>
        </w:rPr>
        <w:t>“投标人须知</w:t>
      </w:r>
      <w:r>
        <w:rPr>
          <w:rFonts w:ascii="宋体" w:hAnsi="宋体"/>
          <w:kern w:val="0"/>
          <w:szCs w:val="21"/>
          <w:highlight w:val="none"/>
          <w:lang w:val="zh-CN"/>
        </w:rPr>
        <w:t>前附表</w:t>
      </w:r>
      <w:r>
        <w:rPr>
          <w:rFonts w:hint="eastAsia" w:ascii="宋体" w:hAnsi="宋体"/>
          <w:kern w:val="0"/>
          <w:szCs w:val="21"/>
          <w:highlight w:val="none"/>
          <w:lang w:val="zh-CN"/>
        </w:rPr>
        <w:t>”</w:t>
      </w:r>
      <w:r>
        <w:rPr>
          <w:rFonts w:ascii="宋体" w:hAnsi="宋体"/>
          <w:kern w:val="0"/>
          <w:szCs w:val="21"/>
          <w:highlight w:val="none"/>
          <w:lang w:val="zh-CN"/>
        </w:rPr>
        <w:t>为准，</w:t>
      </w:r>
      <w:r>
        <w:rPr>
          <w:rFonts w:hint="eastAsia" w:ascii="宋体" w:hAnsi="宋体"/>
          <w:kern w:val="0"/>
          <w:szCs w:val="21"/>
          <w:highlight w:val="none"/>
        </w:rPr>
        <w:t>第三章“</w:t>
      </w:r>
      <w:r>
        <w:rPr>
          <w:rFonts w:ascii="宋体" w:hAnsi="宋体"/>
          <w:kern w:val="0"/>
          <w:szCs w:val="21"/>
          <w:highlight w:val="none"/>
          <w:lang w:val="zh-CN"/>
        </w:rPr>
        <w:t>评标办法前附表</w:t>
      </w:r>
      <w:r>
        <w:rPr>
          <w:rFonts w:hint="eastAsia" w:ascii="宋体" w:hAnsi="宋体"/>
          <w:kern w:val="0"/>
          <w:szCs w:val="21"/>
          <w:highlight w:val="none"/>
          <w:lang w:val="zh-CN"/>
        </w:rPr>
        <w:t>”</w:t>
      </w:r>
      <w:r>
        <w:rPr>
          <w:rFonts w:ascii="宋体" w:hAnsi="宋体"/>
          <w:kern w:val="0"/>
          <w:szCs w:val="21"/>
          <w:highlight w:val="none"/>
          <w:lang w:val="zh-CN"/>
        </w:rPr>
        <w:t>与其正文不一致的以</w:t>
      </w:r>
      <w:r>
        <w:rPr>
          <w:rFonts w:hint="eastAsia" w:ascii="宋体" w:hAnsi="宋体"/>
          <w:kern w:val="0"/>
          <w:szCs w:val="21"/>
          <w:highlight w:val="none"/>
          <w:lang w:val="zh-CN"/>
        </w:rPr>
        <w:t>“评标办法</w:t>
      </w:r>
      <w:r>
        <w:rPr>
          <w:rFonts w:ascii="宋体" w:hAnsi="宋体"/>
          <w:kern w:val="0"/>
          <w:szCs w:val="21"/>
          <w:highlight w:val="none"/>
          <w:lang w:val="zh-CN"/>
        </w:rPr>
        <w:t>前附表</w:t>
      </w:r>
      <w:r>
        <w:rPr>
          <w:rFonts w:hint="eastAsia" w:ascii="宋体" w:hAnsi="宋体"/>
          <w:kern w:val="0"/>
          <w:szCs w:val="21"/>
          <w:highlight w:val="none"/>
          <w:lang w:val="zh-CN"/>
        </w:rPr>
        <w:t>”</w:t>
      </w:r>
      <w:r>
        <w:rPr>
          <w:rFonts w:ascii="宋体" w:hAnsi="宋体"/>
          <w:kern w:val="0"/>
          <w:szCs w:val="21"/>
          <w:highlight w:val="none"/>
          <w:lang w:val="zh-CN"/>
        </w:rPr>
        <w:t>为准</w:t>
      </w:r>
      <w:r>
        <w:rPr>
          <w:rFonts w:hint="eastAsia" w:ascii="宋体" w:hAnsi="宋体"/>
          <w:kern w:val="0"/>
          <w:szCs w:val="21"/>
          <w:highlight w:val="none"/>
          <w:lang w:val="zh-CN"/>
        </w:rPr>
        <w:t>，第二章“投标人须知正文”与第三章“评标办法正文”不允许修改。招标人必须将所有涉及否决投标的情形逐条清晰的列入第三章“否决投标情况一览表”中，否则不得作为否决投标的依据。第四章“合同条款及格式”中的第二部分通用合同条款不允许修改。</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kern w:val="0"/>
          <w:szCs w:val="21"/>
          <w:highlight w:val="none"/>
          <w:lang w:val="zh-CN"/>
        </w:rPr>
      </w:pPr>
      <w:r>
        <w:rPr>
          <w:rFonts w:hint="eastAsia" w:ascii="宋体" w:hAnsi="宋体"/>
          <w:kern w:val="0"/>
          <w:szCs w:val="21"/>
          <w:highlight w:val="none"/>
          <w:lang w:val="zh-CN"/>
        </w:rPr>
        <w:t>八、《重庆市房屋建筑和市政基础设施工程勘察标准招标文件》凡以“□”标示的为选择项目，供招标人在实际使用中在相应“□”中用“√”标示选择，未勾选的项目由招标人在编制过程中自行删除；</w:t>
      </w:r>
      <w:r>
        <w:rPr>
          <w:rFonts w:hint="eastAsia" w:ascii="宋体" w:hAnsi="宋体"/>
          <w:b/>
          <w:bCs/>
          <w:kern w:val="0"/>
          <w:szCs w:val="21"/>
          <w:highlight w:val="none"/>
          <w:lang w:val="zh-CN"/>
        </w:rPr>
        <w:t>以空格或下划线标示的，招标人应根据招标项目具体特点和实际需要进行填写，也可以直接引用或修改完善下划线上已有的示范性填写内容，确实没有需要填写的，在空格中或下划线上用“/”标示；</w:t>
      </w:r>
      <w:r>
        <w:rPr>
          <w:rFonts w:hint="eastAsia" w:ascii="宋体" w:hAnsi="宋体"/>
          <w:kern w:val="0"/>
          <w:szCs w:val="21"/>
          <w:highlight w:val="none"/>
          <w:lang w:val="zh-CN"/>
        </w:rPr>
        <w:t>除“□”、空格、下划线可以根据项目实际情况进行必要的勾选、细化补充以及“[提示]”明确可以增加补充的外，不得对《重庆市房屋建筑和市政基础设施工程勘察标准招标文件》实质性内容进行修改，补充细化的内容不得与《重庆市房屋建筑和市政基础设施工程勘察标准招标文件》已约定的内容矛盾。文中标注为“[提示]”的内容在具体招标文件编制过程中应删除。</w:t>
      </w:r>
    </w:p>
    <w:p>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eastAsia="宋体"/>
          <w:kern w:val="0"/>
          <w:szCs w:val="21"/>
          <w:highlight w:val="none"/>
          <w:lang w:val="en-US" w:eastAsia="zh-CN"/>
        </w:rPr>
        <w:sectPr>
          <w:footerReference r:id="rId6" w:type="default"/>
          <w:pgSz w:w="11907" w:h="16840"/>
          <w:pgMar w:top="1304" w:right="1134" w:bottom="1304" w:left="1304" w:header="851" w:footer="992" w:gutter="0"/>
          <w:pgNumType w:fmt="numberInDash" w:start="1"/>
          <w:cols w:space="720" w:num="1"/>
          <w:docGrid w:linePitch="312" w:charSpace="0"/>
        </w:sectPr>
      </w:pPr>
      <w:r>
        <w:rPr>
          <w:rFonts w:hint="eastAsia" w:ascii="宋体" w:hAnsi="宋体"/>
          <w:kern w:val="0"/>
          <w:szCs w:val="21"/>
          <w:highlight w:val="none"/>
          <w:lang w:val="zh-CN"/>
        </w:rPr>
        <w:t>九</w:t>
      </w:r>
      <w:r>
        <w:rPr>
          <w:rFonts w:ascii="宋体" w:hAnsi="宋体"/>
          <w:kern w:val="0"/>
          <w:szCs w:val="21"/>
          <w:highlight w:val="none"/>
          <w:lang w:val="zh-CN"/>
        </w:rPr>
        <w:t>、《</w:t>
      </w:r>
      <w:r>
        <w:rPr>
          <w:rFonts w:hint="eastAsia" w:ascii="宋体" w:hAnsi="宋体"/>
          <w:kern w:val="0"/>
          <w:szCs w:val="21"/>
          <w:highlight w:val="none"/>
          <w:lang w:val="zh-CN"/>
        </w:rPr>
        <w:t>重庆市房屋建筑和市政基础设施工程勘察标准招标文件</w:t>
      </w:r>
      <w:r>
        <w:rPr>
          <w:rFonts w:ascii="宋体" w:hAnsi="宋体"/>
          <w:kern w:val="0"/>
          <w:szCs w:val="21"/>
          <w:highlight w:val="none"/>
          <w:lang w:val="zh-CN"/>
        </w:rPr>
        <w:t>》将根据实际执行过程中出现的问题及时进行修改。各使用单位或个人对《</w:t>
      </w:r>
      <w:r>
        <w:rPr>
          <w:rFonts w:hint="eastAsia" w:ascii="宋体" w:hAnsi="宋体"/>
          <w:kern w:val="0"/>
          <w:szCs w:val="21"/>
          <w:highlight w:val="none"/>
          <w:lang w:val="zh-CN"/>
        </w:rPr>
        <w:t>重庆市房屋建筑和市政基础设施工程勘察标准招标文件</w:t>
      </w:r>
      <w:r>
        <w:rPr>
          <w:rFonts w:ascii="宋体" w:hAnsi="宋体"/>
          <w:kern w:val="0"/>
          <w:szCs w:val="21"/>
          <w:highlight w:val="none"/>
          <w:lang w:val="zh-CN"/>
        </w:rPr>
        <w:t>》的修改意见和建议，可向</w:t>
      </w:r>
      <w:r>
        <w:rPr>
          <w:rFonts w:hint="eastAsia" w:ascii="宋体" w:hAnsi="宋体"/>
          <w:kern w:val="0"/>
          <w:szCs w:val="21"/>
          <w:highlight w:val="none"/>
          <w:lang w:val="zh-CN"/>
        </w:rPr>
        <w:t>重庆市公共资源交易监督管理局</w:t>
      </w:r>
      <w:r>
        <w:rPr>
          <w:rFonts w:ascii="宋体" w:hAnsi="宋体"/>
          <w:kern w:val="0"/>
          <w:szCs w:val="21"/>
          <w:highlight w:val="none"/>
          <w:lang w:val="zh-CN"/>
        </w:rPr>
        <w:t>反映。联系电话</w:t>
      </w:r>
      <w:r>
        <w:rPr>
          <w:rFonts w:hint="eastAsia" w:ascii="宋体" w:hAnsi="宋体"/>
          <w:kern w:val="0"/>
          <w:szCs w:val="21"/>
          <w:highlight w:val="none"/>
          <w:lang w:val="zh-CN"/>
        </w:rPr>
        <w:t>：023-67575990或023-6367</w:t>
      </w:r>
      <w:r>
        <w:rPr>
          <w:rFonts w:hint="eastAsia" w:ascii="宋体" w:hAnsi="宋体"/>
          <w:kern w:val="0"/>
          <w:szCs w:val="21"/>
          <w:highlight w:val="none"/>
          <w:lang w:val="en-US" w:eastAsia="zh-CN"/>
        </w:rPr>
        <w:t>2099。</w:t>
      </w:r>
    </w:p>
    <w:p>
      <w:pPr>
        <w:jc w:val="center"/>
        <w:rPr>
          <w:rFonts w:ascii="宋体" w:hAnsi="宋体"/>
          <w:b/>
          <w:sz w:val="44"/>
          <w:szCs w:val="44"/>
          <w:highlight w:val="none"/>
        </w:rPr>
      </w:pPr>
    </w:p>
    <w:p>
      <w:pPr>
        <w:spacing w:line="360" w:lineRule="auto"/>
        <w:jc w:val="center"/>
        <w:rPr>
          <w:rFonts w:ascii="宋体" w:hAnsi="宋体"/>
          <w:kern w:val="0"/>
          <w:sz w:val="32"/>
          <w:szCs w:val="32"/>
          <w:highlight w:val="none"/>
        </w:rPr>
      </w:pPr>
      <w:r>
        <w:rPr>
          <w:rFonts w:hint="eastAsia" w:ascii="宋体" w:hAnsi="宋体"/>
          <w:kern w:val="0"/>
          <w:sz w:val="32"/>
          <w:szCs w:val="32"/>
          <w:highlight w:val="none"/>
          <w:u w:val="single"/>
        </w:rPr>
        <w:t xml:space="preserve">                   （项目名称）</w:t>
      </w: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center"/>
        <w:rPr>
          <w:rFonts w:ascii="宋体" w:hAnsi="宋体"/>
          <w:kern w:val="0"/>
          <w:sz w:val="72"/>
          <w:szCs w:val="72"/>
          <w:highlight w:val="none"/>
        </w:rPr>
      </w:pPr>
      <w:r>
        <w:rPr>
          <w:rFonts w:hint="eastAsia" w:ascii="宋体" w:hAnsi="宋体"/>
          <w:kern w:val="0"/>
          <w:sz w:val="72"/>
          <w:szCs w:val="72"/>
          <w:highlight w:val="none"/>
        </w:rPr>
        <w:t>勘察</w:t>
      </w:r>
      <w:r>
        <w:rPr>
          <w:rFonts w:ascii="宋体" w:hAnsi="宋体"/>
          <w:kern w:val="0"/>
          <w:sz w:val="72"/>
          <w:szCs w:val="72"/>
          <w:highlight w:val="none"/>
        </w:rPr>
        <w:t>招标文件</w:t>
      </w:r>
    </w:p>
    <w:p>
      <w:pPr>
        <w:autoSpaceDE w:val="0"/>
        <w:autoSpaceDN w:val="0"/>
        <w:adjustRightInd w:val="0"/>
        <w:snapToGrid w:val="0"/>
        <w:spacing w:line="360" w:lineRule="auto"/>
        <w:jc w:val="left"/>
        <w:rPr>
          <w:rFonts w:ascii="宋体" w:hAnsi="宋体"/>
          <w:kern w:val="0"/>
          <w:sz w:val="10"/>
          <w:szCs w:val="1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rPr>
          <w:rFonts w:ascii="宋体" w:hAnsi="宋体"/>
          <w:kern w:val="0"/>
          <w:sz w:val="20"/>
          <w:szCs w:val="20"/>
          <w:highlight w:val="none"/>
        </w:rPr>
      </w:pPr>
    </w:p>
    <w:p>
      <w:pPr>
        <w:autoSpaceDE w:val="0"/>
        <w:autoSpaceDN w:val="0"/>
        <w:adjustRightInd w:val="0"/>
        <w:snapToGrid w:val="0"/>
        <w:spacing w:line="360" w:lineRule="auto"/>
        <w:jc w:val="left"/>
        <w:rPr>
          <w:rFonts w:ascii="宋体" w:hAnsi="宋体"/>
          <w:kern w:val="0"/>
          <w:sz w:val="20"/>
          <w:szCs w:val="20"/>
          <w:highlight w:val="none"/>
        </w:rPr>
      </w:pPr>
    </w:p>
    <w:p>
      <w:pPr>
        <w:autoSpaceDE w:val="0"/>
        <w:autoSpaceDN w:val="0"/>
        <w:adjustRightInd w:val="0"/>
        <w:snapToGrid w:val="0"/>
        <w:spacing w:line="360" w:lineRule="auto"/>
        <w:rPr>
          <w:rFonts w:ascii="宋体" w:hAnsi="宋体"/>
          <w:kern w:val="0"/>
          <w:sz w:val="20"/>
          <w:szCs w:val="20"/>
          <w:highlight w:val="none"/>
        </w:rPr>
      </w:pPr>
    </w:p>
    <w:p>
      <w:pPr>
        <w:autoSpaceDE w:val="0"/>
        <w:autoSpaceDN w:val="0"/>
        <w:adjustRightInd w:val="0"/>
        <w:snapToGrid w:val="0"/>
        <w:spacing w:line="360" w:lineRule="auto"/>
        <w:rPr>
          <w:rFonts w:ascii="宋体" w:hAnsi="宋体"/>
          <w:kern w:val="0"/>
          <w:sz w:val="20"/>
          <w:szCs w:val="20"/>
          <w:highlight w:val="none"/>
        </w:rPr>
      </w:pPr>
    </w:p>
    <w:p>
      <w:pPr>
        <w:autoSpaceDE w:val="0"/>
        <w:autoSpaceDN w:val="0"/>
        <w:adjustRightInd w:val="0"/>
        <w:snapToGrid w:val="0"/>
        <w:spacing w:line="360" w:lineRule="auto"/>
        <w:rPr>
          <w:rFonts w:ascii="宋体" w:hAnsi="宋体"/>
          <w:kern w:val="0"/>
          <w:sz w:val="20"/>
          <w:szCs w:val="20"/>
          <w:highlight w:val="none"/>
        </w:rPr>
      </w:pPr>
    </w:p>
    <w:p>
      <w:pPr>
        <w:tabs>
          <w:tab w:val="left" w:pos="6219"/>
        </w:tabs>
        <w:autoSpaceDE w:val="0"/>
        <w:autoSpaceDN w:val="0"/>
        <w:adjustRightInd w:val="0"/>
        <w:snapToGrid w:val="0"/>
        <w:spacing w:line="360" w:lineRule="auto"/>
        <w:jc w:val="center"/>
        <w:rPr>
          <w:rFonts w:ascii="宋体" w:hAnsi="宋体"/>
          <w:bCs/>
          <w:w w:val="99"/>
          <w:kern w:val="0"/>
          <w:sz w:val="28"/>
          <w:szCs w:val="28"/>
          <w:highlight w:val="none"/>
        </w:rPr>
      </w:pPr>
      <w:r>
        <w:rPr>
          <w:rFonts w:ascii="宋体" w:hAnsi="宋体"/>
          <w:bCs/>
          <w:w w:val="99"/>
          <w:kern w:val="0"/>
          <w:sz w:val="28"/>
          <w:szCs w:val="28"/>
          <w:highlight w:val="none"/>
        </w:rPr>
        <w:t>招</w:t>
      </w:r>
      <w:r>
        <w:rPr>
          <w:rFonts w:hint="eastAsia" w:ascii="宋体" w:hAnsi="宋体"/>
          <w:bCs/>
          <w:w w:val="99"/>
          <w:kern w:val="0"/>
          <w:sz w:val="28"/>
          <w:szCs w:val="28"/>
          <w:highlight w:val="none"/>
        </w:rPr>
        <w:t xml:space="preserve">   </w:t>
      </w:r>
      <w:r>
        <w:rPr>
          <w:rFonts w:ascii="宋体" w:hAnsi="宋体"/>
          <w:bCs/>
          <w:w w:val="99"/>
          <w:kern w:val="0"/>
          <w:sz w:val="28"/>
          <w:szCs w:val="28"/>
          <w:highlight w:val="none"/>
        </w:rPr>
        <w:t>标</w:t>
      </w:r>
      <w:r>
        <w:rPr>
          <w:rFonts w:hint="eastAsia" w:ascii="宋体" w:hAnsi="宋体"/>
          <w:bCs/>
          <w:w w:val="99"/>
          <w:kern w:val="0"/>
          <w:sz w:val="28"/>
          <w:szCs w:val="28"/>
          <w:highlight w:val="none"/>
        </w:rPr>
        <w:t xml:space="preserve">   </w:t>
      </w:r>
      <w:r>
        <w:rPr>
          <w:rFonts w:ascii="宋体" w:hAnsi="宋体"/>
          <w:bCs/>
          <w:w w:val="99"/>
          <w:kern w:val="0"/>
          <w:sz w:val="28"/>
          <w:szCs w:val="28"/>
          <w:highlight w:val="none"/>
        </w:rPr>
        <w:t>人：</w:t>
      </w:r>
      <w:r>
        <w:rPr>
          <w:rFonts w:ascii="宋体" w:hAnsi="宋体"/>
          <w:bCs/>
          <w:kern w:val="0"/>
          <w:sz w:val="28"/>
          <w:szCs w:val="28"/>
          <w:highlight w:val="none"/>
          <w:u w:val="single"/>
        </w:rPr>
        <w:tab/>
      </w:r>
      <w:r>
        <w:rPr>
          <w:rFonts w:ascii="宋体" w:hAnsi="宋体"/>
          <w:bCs/>
          <w:kern w:val="0"/>
          <w:sz w:val="28"/>
          <w:szCs w:val="28"/>
          <w:highlight w:val="none"/>
          <w:u w:val="single"/>
        </w:rPr>
        <w:t xml:space="preserve">   </w:t>
      </w:r>
      <w:r>
        <w:rPr>
          <w:rFonts w:ascii="宋体" w:hAnsi="宋体"/>
          <w:bCs/>
          <w:w w:val="99"/>
          <w:kern w:val="0"/>
          <w:sz w:val="28"/>
          <w:szCs w:val="28"/>
          <w:highlight w:val="none"/>
        </w:rPr>
        <w:t>（盖单位法人章）</w:t>
      </w:r>
    </w:p>
    <w:p>
      <w:pPr>
        <w:tabs>
          <w:tab w:val="left" w:pos="6252"/>
        </w:tabs>
        <w:autoSpaceDE w:val="0"/>
        <w:autoSpaceDN w:val="0"/>
        <w:adjustRightInd w:val="0"/>
        <w:snapToGrid w:val="0"/>
        <w:spacing w:line="360" w:lineRule="auto"/>
        <w:jc w:val="center"/>
        <w:rPr>
          <w:rFonts w:ascii="宋体" w:hAnsi="宋体"/>
          <w:bCs/>
          <w:w w:val="99"/>
          <w:kern w:val="0"/>
          <w:sz w:val="28"/>
          <w:szCs w:val="28"/>
          <w:highlight w:val="none"/>
        </w:rPr>
      </w:pPr>
      <w:r>
        <w:rPr>
          <w:rFonts w:ascii="宋体" w:hAnsi="宋体"/>
          <w:bCs/>
          <w:spacing w:val="8"/>
          <w:kern w:val="0"/>
          <w:sz w:val="28"/>
          <w:szCs w:val="28"/>
          <w:highlight w:val="none"/>
        </w:rPr>
        <w:t>招标代理机构：</w:t>
      </w:r>
      <w:r>
        <w:rPr>
          <w:rFonts w:ascii="宋体" w:hAnsi="宋体"/>
          <w:bCs/>
          <w:kern w:val="0"/>
          <w:sz w:val="28"/>
          <w:szCs w:val="28"/>
          <w:highlight w:val="none"/>
          <w:u w:val="single"/>
        </w:rPr>
        <w:tab/>
      </w:r>
      <w:r>
        <w:rPr>
          <w:rFonts w:ascii="宋体" w:hAnsi="宋体"/>
          <w:bCs/>
          <w:kern w:val="0"/>
          <w:sz w:val="28"/>
          <w:szCs w:val="28"/>
          <w:highlight w:val="none"/>
          <w:u w:val="single"/>
        </w:rPr>
        <w:t xml:space="preserve">   </w:t>
      </w:r>
      <w:r>
        <w:rPr>
          <w:rFonts w:ascii="宋体" w:hAnsi="宋体"/>
          <w:bCs/>
          <w:w w:val="99"/>
          <w:kern w:val="0"/>
          <w:sz w:val="28"/>
          <w:szCs w:val="28"/>
          <w:highlight w:val="none"/>
        </w:rPr>
        <w:t>（盖单位法人章）</w:t>
      </w:r>
    </w:p>
    <w:p>
      <w:pPr>
        <w:autoSpaceDE w:val="0"/>
        <w:autoSpaceDN w:val="0"/>
        <w:adjustRightInd w:val="0"/>
        <w:snapToGrid w:val="0"/>
        <w:spacing w:line="360" w:lineRule="auto"/>
        <w:jc w:val="center"/>
        <w:rPr>
          <w:rFonts w:ascii="宋体" w:hAnsi="宋体"/>
          <w:bCs/>
          <w:kern w:val="0"/>
          <w:sz w:val="20"/>
          <w:szCs w:val="20"/>
          <w:highlight w:val="none"/>
        </w:rPr>
      </w:pPr>
    </w:p>
    <w:p>
      <w:pPr>
        <w:autoSpaceDE w:val="0"/>
        <w:autoSpaceDN w:val="0"/>
        <w:adjustRightInd w:val="0"/>
        <w:snapToGrid w:val="0"/>
        <w:spacing w:line="360" w:lineRule="auto"/>
        <w:jc w:val="center"/>
        <w:rPr>
          <w:rFonts w:ascii="宋体" w:hAnsi="宋体"/>
          <w:bCs/>
          <w:kern w:val="0"/>
          <w:sz w:val="28"/>
          <w:szCs w:val="28"/>
          <w:highlight w:val="none"/>
        </w:rPr>
      </w:pPr>
    </w:p>
    <w:p>
      <w:pPr>
        <w:autoSpaceDE w:val="0"/>
        <w:autoSpaceDN w:val="0"/>
        <w:adjustRightInd w:val="0"/>
        <w:snapToGrid w:val="0"/>
        <w:spacing w:line="360" w:lineRule="auto"/>
        <w:jc w:val="center"/>
        <w:rPr>
          <w:rFonts w:ascii="宋体" w:hAnsi="宋体"/>
          <w:bCs/>
          <w:kern w:val="0"/>
          <w:sz w:val="28"/>
          <w:szCs w:val="28"/>
          <w:highlight w:val="none"/>
        </w:rPr>
      </w:pPr>
    </w:p>
    <w:p>
      <w:pPr>
        <w:autoSpaceDE w:val="0"/>
        <w:autoSpaceDN w:val="0"/>
        <w:adjustRightInd w:val="0"/>
        <w:snapToGrid w:val="0"/>
        <w:spacing w:line="360" w:lineRule="auto"/>
        <w:rPr>
          <w:rFonts w:ascii="宋体" w:hAnsi="宋体"/>
          <w:bCs/>
          <w:kern w:val="0"/>
          <w:sz w:val="20"/>
          <w:szCs w:val="20"/>
          <w:highlight w:val="none"/>
        </w:rPr>
      </w:pPr>
    </w:p>
    <w:p>
      <w:pPr>
        <w:tabs>
          <w:tab w:val="left" w:pos="6252"/>
        </w:tabs>
        <w:autoSpaceDE w:val="0"/>
        <w:autoSpaceDN w:val="0"/>
        <w:adjustRightInd w:val="0"/>
        <w:snapToGrid w:val="0"/>
        <w:spacing w:line="360" w:lineRule="auto"/>
        <w:jc w:val="center"/>
        <w:rPr>
          <w:rFonts w:ascii="宋体" w:hAnsi="宋体"/>
          <w:bCs/>
          <w:spacing w:val="8"/>
          <w:kern w:val="0"/>
          <w:sz w:val="28"/>
          <w:szCs w:val="28"/>
          <w:highlight w:val="none"/>
        </w:rPr>
      </w:pPr>
      <w:bookmarkStart w:id="1" w:name="_Toc536797277"/>
      <w:bookmarkStart w:id="2" w:name="_Toc509218549"/>
      <w:bookmarkStart w:id="3" w:name="_Toc13210649"/>
      <w:bookmarkStart w:id="4" w:name="_Toc536796736"/>
      <w:bookmarkStart w:id="5" w:name="_Toc536621766"/>
      <w:r>
        <w:rPr>
          <w:rFonts w:hint="eastAsia" w:ascii="宋体" w:hAnsi="宋体"/>
          <w:bCs/>
          <w:spacing w:val="8"/>
          <w:kern w:val="0"/>
          <w:sz w:val="28"/>
          <w:szCs w:val="28"/>
          <w:highlight w:val="none"/>
          <w:u w:val="single"/>
        </w:rPr>
        <w:t xml:space="preserve">    </w:t>
      </w:r>
      <w:r>
        <w:rPr>
          <w:rFonts w:ascii="宋体" w:hAnsi="宋体"/>
          <w:bCs/>
          <w:spacing w:val="8"/>
          <w:kern w:val="0"/>
          <w:sz w:val="28"/>
          <w:szCs w:val="28"/>
          <w:highlight w:val="none"/>
        </w:rPr>
        <w:t>年</w:t>
      </w:r>
      <w:r>
        <w:rPr>
          <w:rFonts w:hint="eastAsia" w:ascii="宋体" w:hAnsi="宋体"/>
          <w:bCs/>
          <w:spacing w:val="8"/>
          <w:kern w:val="0"/>
          <w:sz w:val="28"/>
          <w:szCs w:val="28"/>
          <w:highlight w:val="none"/>
          <w:u w:val="single"/>
        </w:rPr>
        <w:t xml:space="preserve">    </w:t>
      </w:r>
      <w:r>
        <w:rPr>
          <w:rFonts w:ascii="宋体" w:hAnsi="宋体"/>
          <w:bCs/>
          <w:spacing w:val="8"/>
          <w:kern w:val="0"/>
          <w:sz w:val="28"/>
          <w:szCs w:val="28"/>
          <w:highlight w:val="none"/>
        </w:rPr>
        <w:t>月</w:t>
      </w:r>
      <w:r>
        <w:rPr>
          <w:rFonts w:hint="eastAsia" w:ascii="宋体" w:hAnsi="宋体"/>
          <w:bCs/>
          <w:spacing w:val="8"/>
          <w:kern w:val="0"/>
          <w:sz w:val="28"/>
          <w:szCs w:val="28"/>
          <w:highlight w:val="none"/>
          <w:u w:val="single"/>
        </w:rPr>
        <w:t xml:space="preserve">    </w:t>
      </w:r>
      <w:r>
        <w:rPr>
          <w:rFonts w:ascii="宋体" w:hAnsi="宋体"/>
          <w:bCs/>
          <w:spacing w:val="8"/>
          <w:kern w:val="0"/>
          <w:sz w:val="28"/>
          <w:szCs w:val="28"/>
          <w:highlight w:val="none"/>
        </w:rPr>
        <w:t>日</w:t>
      </w:r>
      <w:bookmarkEnd w:id="1"/>
      <w:bookmarkEnd w:id="2"/>
      <w:bookmarkEnd w:id="3"/>
      <w:bookmarkEnd w:id="4"/>
      <w:bookmarkEnd w:id="5"/>
    </w:p>
    <w:p>
      <w:pPr>
        <w:pStyle w:val="3"/>
        <w:spacing w:line="360" w:lineRule="auto"/>
        <w:rPr>
          <w:rFonts w:ascii="宋体" w:hAnsi="宋体"/>
          <w:w w:val="99"/>
          <w:kern w:val="0"/>
          <w:sz w:val="24"/>
          <w:highlight w:val="none"/>
        </w:rPr>
        <w:sectPr>
          <w:footerReference r:id="rId7" w:type="default"/>
          <w:pgSz w:w="11907" w:h="16840"/>
          <w:pgMar w:top="1304" w:right="1134" w:bottom="1304" w:left="1304" w:header="851" w:footer="992" w:gutter="0"/>
          <w:pgNumType w:fmt="numberInDash" w:start="1"/>
          <w:cols w:space="720" w:num="1"/>
          <w:docGrid w:linePitch="312" w:charSpace="0"/>
        </w:sectPr>
      </w:pPr>
    </w:p>
    <w:p>
      <w:pPr>
        <w:pStyle w:val="58"/>
        <w:jc w:val="center"/>
        <w:rPr>
          <w:rFonts w:ascii="宋体" w:hAnsi="宋体"/>
          <w:color w:val="auto"/>
          <w:sz w:val="44"/>
          <w:szCs w:val="44"/>
          <w:highlight w:val="none"/>
        </w:rPr>
      </w:pPr>
      <w:bookmarkStart w:id="6" w:name="_Toc23843"/>
      <w:r>
        <w:rPr>
          <w:rFonts w:ascii="宋体" w:hAnsi="宋体"/>
          <w:color w:val="auto"/>
          <w:sz w:val="44"/>
          <w:szCs w:val="44"/>
          <w:highlight w:val="none"/>
          <w:lang w:val="zh-CN"/>
        </w:rPr>
        <w:t>目</w:t>
      </w:r>
      <w:r>
        <w:rPr>
          <w:rFonts w:hint="eastAsia" w:ascii="宋体" w:hAnsi="宋体"/>
          <w:color w:val="auto"/>
          <w:sz w:val="44"/>
          <w:szCs w:val="44"/>
          <w:highlight w:val="none"/>
          <w:lang w:val="zh-CN"/>
        </w:rPr>
        <w:t xml:space="preserve"> </w:t>
      </w:r>
      <w:r>
        <w:rPr>
          <w:rFonts w:ascii="宋体" w:hAnsi="宋体"/>
          <w:color w:val="auto"/>
          <w:sz w:val="44"/>
          <w:szCs w:val="44"/>
          <w:highlight w:val="none"/>
          <w:lang w:val="zh-CN"/>
        </w:rPr>
        <w:t>录</w:t>
      </w:r>
      <w:bookmarkEnd w:id="6"/>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i w:val="0"/>
          <w:iCs w:val="0"/>
          <w:highlight w:val="none"/>
        </w:rPr>
        <w:fldChar w:fldCharType="begin"/>
      </w:r>
      <w:r>
        <w:rPr>
          <w:rFonts w:hint="eastAsia" w:asciiTheme="minorEastAsia" w:hAnsiTheme="minorEastAsia" w:eastAsiaTheme="minorEastAsia" w:cstheme="minorEastAsia"/>
          <w:i w:val="0"/>
          <w:iCs w:val="0"/>
          <w:highlight w:val="none"/>
        </w:rPr>
        <w:instrText xml:space="preserve"> TOC \o "1-3" \h \z \u </w:instrText>
      </w:r>
      <w:r>
        <w:rPr>
          <w:rFonts w:hint="eastAsia" w:asciiTheme="minorEastAsia" w:hAnsiTheme="minorEastAsia" w:eastAsiaTheme="minorEastAsia" w:cstheme="minorEastAsia"/>
          <w:i w:val="0"/>
          <w:iCs w:val="0"/>
          <w:highlight w:val="none"/>
        </w:rPr>
        <w:fldChar w:fldCharType="separate"/>
      </w:r>
      <w:r>
        <w:rPr>
          <w:rFonts w:hint="eastAsia" w:asciiTheme="minorEastAsia" w:hAnsiTheme="minorEastAsia" w:eastAsiaTheme="minorEastAsia" w:cstheme="minorEastAsia"/>
          <w:i w:val="0"/>
          <w:iCs w:val="0"/>
          <w:highlight w:val="none"/>
        </w:rPr>
        <w:fldChar w:fldCharType="begin"/>
      </w:r>
      <w:r>
        <w:rPr>
          <w:rFonts w:hint="eastAsia" w:asciiTheme="minorEastAsia" w:hAnsiTheme="minorEastAsia" w:eastAsiaTheme="minorEastAsia" w:cstheme="minorEastAsia"/>
          <w:i w:val="0"/>
          <w:iCs w:val="0"/>
          <w:highlight w:val="none"/>
        </w:rPr>
        <w:instrText xml:space="preserve"> HYPERLINK \l _Toc4665 </w:instrText>
      </w:r>
      <w:r>
        <w:rPr>
          <w:rFonts w:hint="eastAsia" w:asciiTheme="minorEastAsia" w:hAnsiTheme="minorEastAsia" w:eastAsiaTheme="minorEastAsia" w:cstheme="minorEastAsia"/>
          <w:i w:val="0"/>
          <w:iCs w:val="0"/>
          <w:highlight w:val="none"/>
        </w:rPr>
        <w:fldChar w:fldCharType="separate"/>
      </w:r>
      <w:r>
        <w:rPr>
          <w:rFonts w:hint="eastAsia" w:asciiTheme="minorEastAsia" w:hAnsiTheme="minorEastAsia" w:eastAsiaTheme="minorEastAsia" w:cstheme="minorEastAsia"/>
          <w:i w:val="0"/>
          <w:iCs w:val="0"/>
          <w:szCs w:val="52"/>
          <w:highlight w:val="none"/>
        </w:rPr>
        <w:t>第 一 卷</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_Toc4665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i w:val="0"/>
          <w:iCs w:val="0"/>
          <w:highlight w:val="none"/>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_Toc20339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kern w:val="0"/>
          <w:highlight w:val="none"/>
        </w:rPr>
        <w:t>第一章  招标公告（</w:t>
      </w:r>
      <w:r>
        <w:rPr>
          <w:rFonts w:hint="eastAsia" w:asciiTheme="minorEastAsia" w:hAnsiTheme="minorEastAsia" w:eastAsiaTheme="minorEastAsia" w:cstheme="minorEastAsia"/>
          <w:bCs/>
          <w:i w:val="0"/>
          <w:iCs w:val="0"/>
          <w:snapToGrid w:val="0"/>
          <w:kern w:val="0"/>
          <w:szCs w:val="44"/>
          <w:highlight w:val="none"/>
        </w:rPr>
        <w:t>适用于公开招标</w:t>
      </w:r>
      <w:r>
        <w:rPr>
          <w:rFonts w:hint="eastAsia" w:asciiTheme="minorEastAsia" w:hAnsiTheme="minorEastAsia" w:eastAsiaTheme="minorEastAsia" w:cstheme="minorEastAsia"/>
          <w:i w:val="0"/>
          <w:iCs w:val="0"/>
          <w:snapToGrid w:val="0"/>
          <w:kern w:val="0"/>
          <w:highlight w:val="none"/>
        </w:rPr>
        <w:t>）</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_Toc20339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_Toc32345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1. 招标条件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_Toc32345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_Toc10264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2. 项目概况与招标范围</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_Toc10264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_Toc2295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3. 投标人资格要求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_Toc2295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_Toc1975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4. 招标文件的获取</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_Toc1975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_Toc13387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5. 投标文件的递交</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_Toc13387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_Toc19778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6. 发布公告的媒介</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_Toc19778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_Toc6839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7. 联系方式</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_Toc6839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_Toc19452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第一章  投标邀请书（适用于邀请招标）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_Toc19452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_Toc813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1. 招标条件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_Toc813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_Toc29899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2. 项目概况与招标范围</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_Toc29899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_Toc32449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3. 投标人资格要求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_Toc32449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_Toc7890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4. 招标文件的获取</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_Toc7890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_Toc12614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5. 投标文件的递交</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_Toc12614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_Toc19555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6. 确认</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_Toc19555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_Toc17489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8"/>
          <w:highlight w:val="none"/>
        </w:rPr>
        <w:t>7. 联系方式</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_Toc17489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_Toc32420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kern w:val="0"/>
          <w:highlight w:val="none"/>
        </w:rPr>
        <w:t>第二章  投标人须知</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_Toc32420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_Toc12166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highlight w:val="none"/>
        </w:rPr>
        <w:t>投标人须知前附表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_Toc12166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_Toc27324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1.  总则</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_Toc27324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_Toc18236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1.1  招标项目概况</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_Toc18236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_Toc24647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1.2  招标项目的资金来源和落实情况</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_Toc24647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_Toc16051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1.3  招标范围、勘察服务期限和质量标准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_Toc16051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_Toc18230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1.4A  投标人资格要求（适用于已进行资格预审的）</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_Toc18230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_Toc8455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1.4B  投标人资格要求（适用于未进行资格预审的）</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_Toc8455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_Toc23929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1.5  费用承担</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_Toc23929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_Toc7838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1.6  保密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_Toc7838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_Toc15153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1.7  语言文字</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_Toc15153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_Toc15139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1.8  计量单位</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_Toc15139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_Toc6461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1.9  踏勘现场</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_Toc6461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_Toc2130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1.10  投标预备会</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_Toc2130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_Toc30042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1.11  分包</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_Toc30042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_Toc15388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napToGrid w:val="0"/>
          <w:szCs w:val="24"/>
          <w:highlight w:val="none"/>
        </w:rPr>
        <w:t>1.12响应和偏差</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_Toc15388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_Toc18488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2.  招标文件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_Toc18488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_Toc9452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2.1  招标文件的组成</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_Toc9452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_Toc25898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2.2  招标文件的澄清</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_Toc25898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_Toc21779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2.3  招标文件的修改</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_Toc21779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_Toc6235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2.4 招标文件的异议</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_Toc6235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_Toc26284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napToGrid w:val="0"/>
          <w:szCs w:val="32"/>
          <w:highlight w:val="none"/>
        </w:rPr>
        <w:t>3.  投标文件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_Toc26284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_Toc32688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3.1  投标文件的组成</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_Toc32688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_Toc878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3.2  投标报价</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_Toc878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_Toc15298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3.3  投标有效期</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_Toc15298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_Toc30795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3.4  投标保证金</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_Toc30795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_Toc16785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3.5A  资格审查资料</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_Toc16785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_Toc6862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3.5B  资格审查资料</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_Toc6862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_Toc13967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3.6  备选投标方案</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_Toc13967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_Toc4685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3.7  投标文件的编制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_Toc4685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_Toc11073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4.  投标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_Toc11073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_Toc29133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4.1  投标文件的密封和标记</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_Toc29133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_Toc26654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4.2  投标文件的递交</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_Toc26654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39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_Toc27843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4.3  投标文件的修改与撤回</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_Toc27843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_Toc6074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5.  开标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_Toc6074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_Toc23824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5.1  开标时间和地点</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_Toc23824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_Toc10128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5.2  开标程序</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_Toc10128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_Toc28920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5.3  开标异议</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_Toc28920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_Toc28862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6.  评标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_Toc28862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_Toc13255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6.1  评标委员会</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_Toc13255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_Toc17172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6.2  评标原则</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_Toc17172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_Toc26463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6.3  评标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_Toc26463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_Toc31450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7.  合同授予</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_Toc31450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_Toc6787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7.1 中标候选人公示</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_Toc6787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_Toc23469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7.2 评标结果异议</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_Toc23469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_Toc27758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7.3 中标候选人履约能力审查</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_Toc27758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_Toc24412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7.4 定标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_Toc24412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_Toc28977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7.5 中标通知</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_Toc28977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_Toc11592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7.6 履约保证金</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_Toc11592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_Toc20461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7.7 签订合同</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_Toc20461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_Toc8240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8.  重新招标和不再招标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_Toc8240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_Toc4100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8.1  重新招标的情形</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_Toc4100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_Toc17181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8.2  重新招标和不再招标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_Toc17181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_Toc29891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9.  纪律和监督</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_Toc29891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_Toc18158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9.1  对招标人的纪律要求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_Toc18158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_Toc839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9.2  对投标人的纪律要求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_Toc839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_Toc15643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9.3  对评标委员会成员的纪律要求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_Toc15643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_Toc27827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9.4  对与评标活动有关的工作人员的纪律要求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_Toc27827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_Toc2462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szCs w:val="24"/>
          <w:highlight w:val="none"/>
        </w:rPr>
        <w:t>9.5  投诉</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_Toc2462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_Toc9970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napToGrid w:val="0"/>
          <w:highlight w:val="none"/>
        </w:rPr>
        <w:t>10. 需要补充的其他内容</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_Toc9970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44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_Toc19756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kern w:val="44"/>
          <w:szCs w:val="20"/>
          <w:highlight w:val="none"/>
        </w:rPr>
        <w:t>第三章评标办法（综合评估法）</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_Toc19756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50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_Toc4239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评标办法前附表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_Toc4239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50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_Toc21022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 评标方法</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_Toc21022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_Toc8315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2. 评审标准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_Toc8315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_Toc6586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2.1 初步评审标准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_Toc6586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_Toc26793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2.2 分值构成与评分标准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_Toc26793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_Toc21700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3. 评标程序</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_Toc21700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_Toc10990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3.1 初步评审</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_Toc10990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_Toc10610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3.2 详细评审</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_Toc10610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_Toc31115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3.3 投标文件的澄清</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_Toc31115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_Toc31299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3.4 评标结果</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_Toc31299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_Toc26944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8"/>
          <w:highlight w:val="none"/>
        </w:rPr>
        <w:t>附件：综合评估法否决投标情况一览表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_Toc26944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_Toc15432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napToGrid w:val="0"/>
          <w:kern w:val="0"/>
          <w:szCs w:val="44"/>
          <w:highlight w:val="none"/>
        </w:rPr>
        <w:t>第三章  评标办法（经评审的最低投标价法）</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_Toc15432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_Toc18664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32"/>
          <w:highlight w:val="none"/>
        </w:rPr>
        <w:t>评标办法前附表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_Toc18664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69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_Toc8403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napToGrid w:val="0"/>
          <w:szCs w:val="32"/>
          <w:highlight w:val="none"/>
        </w:rPr>
        <w:t>1.  评标方法</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_Toc8403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_Toc13025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napToGrid w:val="0"/>
          <w:szCs w:val="32"/>
          <w:highlight w:val="none"/>
        </w:rPr>
        <w:t>2.  评审标准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_Toc13025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_Toc13755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zCs w:val="21"/>
          <w:highlight w:val="none"/>
        </w:rPr>
        <w:t>2.1报价排序标准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_Toc13755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_Toc30860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zCs w:val="21"/>
          <w:highlight w:val="none"/>
        </w:rPr>
        <w:t>2.2符合性审查标准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_Toc30860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_Toc3728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napToGrid w:val="0"/>
          <w:szCs w:val="32"/>
          <w:highlight w:val="none"/>
        </w:rPr>
        <w:t>3.  评标程序</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_Toc3728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_Toc31834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zCs w:val="21"/>
          <w:highlight w:val="none"/>
        </w:rPr>
        <w:t>3.1报价排序</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_Toc31834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_Toc18220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zCs w:val="21"/>
          <w:highlight w:val="none"/>
        </w:rPr>
        <w:t>3.2符合性审查</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_Toc18220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_Toc32531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zCs w:val="21"/>
          <w:highlight w:val="none"/>
        </w:rPr>
        <w:t>3.3 投标文件的澄清</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_Toc32531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_Toc29319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szCs w:val="21"/>
          <w:highlight w:val="none"/>
        </w:rPr>
        <w:t>3.4 评标结果</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_Toc29319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_Toc5987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kern w:val="0"/>
          <w:szCs w:val="28"/>
          <w:highlight w:val="none"/>
        </w:rPr>
        <w:t>附件A：经评审的最低投标价法否决投标情况一览表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_Toc5987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_Toc24185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kern w:val="0"/>
          <w:highlight w:val="none"/>
        </w:rPr>
        <w:t>第四章  合同条款及格式</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_Toc24185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79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_Toc2151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kern w:val="44"/>
          <w:szCs w:val="44"/>
          <w:highlight w:val="none"/>
        </w:rPr>
        <w:t>第一节 合同协议书</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_Toc2151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80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_Toc27771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kern w:val="44"/>
          <w:szCs w:val="44"/>
          <w:highlight w:val="none"/>
        </w:rPr>
        <w:t>第二节 通用合同条款</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_Toc27771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83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_Toc15449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 一般约定</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_Toc15449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83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_Toc13152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2. 发包人义务</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_Toc13152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87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_Toc18837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3. 发包人管理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_Toc18837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88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_Toc18314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4. 勘察人义务</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_Toc18314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89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_Toc13474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5. 勘察要求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_Toc13474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92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_Toc32352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6. 开始勘察和完成勘察</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_Toc32352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97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_Toc23622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7. 暂停勘察</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_Toc23622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99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_Toc1704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8. 勘察文件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_Toc1704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_Toc17577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9. 勘察责任与保险</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_Toc17577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_Toc6189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10. 设计和施工期间配合</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_Toc6189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_Toc25815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11. 合同变更</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_Toc25815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_Toc9193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12. 合同价格与支付</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_Toc9193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_Toc29616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13. 不可抗力</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_Toc29616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_Toc10453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14. 违约</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_Toc10453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_Toc31140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15. 争议的解决</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_Toc31140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_Toc23920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i w:val="0"/>
          <w:iCs w:val="0"/>
          <w:kern w:val="44"/>
          <w:szCs w:val="44"/>
          <w:highlight w:val="none"/>
        </w:rPr>
        <w:t>第三节 专用合同条款</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_Toc23920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_Toc31379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 一般约定</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_Toc31379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_Toc10251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2. 发包人义务</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_Toc10251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_Toc13742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3. 发包人管理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_Toc13742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_Toc7314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4. 勘察人义务</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_Toc7314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109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_Toc688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5. 勘察要求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_Toc688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_Toc24935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6.开始勘察和完成勘察</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_Toc24935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_Toc11706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8. 勘察文件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_Toc11706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_Toc31820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9. 勘察责任与保险</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_Toc31820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_Toc28449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11.合同变更</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_Toc28449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_Toc20341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12.合同价格与支付</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_Toc20341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_Toc18102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13.不可抗力</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_Toc18102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_Toc4139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14.违约</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_Toc4139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_Toc32338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15.争议的解决</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_Toc32338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_Toc3000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16.合同附件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_Toc3000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119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_Toc30119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52"/>
          <w:highlight w:val="none"/>
        </w:rPr>
        <w:t>第 二 卷</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_Toc30119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127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_Toc29802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val="0"/>
          <w:i w:val="0"/>
          <w:iCs w:val="0"/>
          <w:szCs w:val="20"/>
          <w:highlight w:val="none"/>
        </w:rPr>
        <w:t>第五章  发包人要求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_Toc29802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128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_Toc10656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8"/>
          <w:highlight w:val="none"/>
        </w:rPr>
        <w:t>一、勘察要求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_Toc10656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129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_Toc32750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8"/>
          <w:highlight w:val="none"/>
        </w:rPr>
        <w:t>二、适用规范标准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_Toc32750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129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_Toc15330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8"/>
          <w:highlight w:val="none"/>
        </w:rPr>
        <w:t>三、成果文件要求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_Toc15330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129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_Toc10586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8"/>
          <w:highlight w:val="none"/>
        </w:rPr>
        <w:t>四、发包人财产清单</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_Toc10586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_Toc8998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（一）发包人提供的设备、设施</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_Toc8998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_Toc15510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（二）发包人提供的资料</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_Toc15510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_Toc13183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（三）发包人财产使用要求及退还要求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_Toc13183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_Toc15879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8"/>
          <w:highlight w:val="none"/>
        </w:rPr>
        <w:t>五、发包人提供的便利条件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_Toc15879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_Toc26067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8"/>
          <w:highlight w:val="none"/>
        </w:rPr>
        <w:t>六、勘察人需要自备的工作条件</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_Toc26067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_Toc6320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8"/>
          <w:highlight w:val="none"/>
        </w:rPr>
        <w:t>七、发包人的其他要求</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_Toc6320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_Toc16395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kern w:val="44"/>
          <w:szCs w:val="20"/>
          <w:highlight w:val="none"/>
        </w:rPr>
        <w:t>第三卷</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_Toc16395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3"/>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_Toc3609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kern w:val="44"/>
          <w:szCs w:val="20"/>
          <w:highlight w:val="none"/>
        </w:rPr>
        <w:t>第六章  投标文件格式</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_Toc3609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_Toc3008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val="0"/>
          <w:i w:val="0"/>
          <w:iCs w:val="0"/>
          <w:szCs w:val="44"/>
          <w:highlight w:val="none"/>
        </w:rPr>
        <w:t>一、投标函部分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_Toc3008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_Toc32452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（一）投标函</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_Toc32452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_Toc14205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（二）投标函附录</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_Toc14205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139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_Toc5880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（三）法定代表人身份证明或附有法定代表人身份证明的授权委托书</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_Toc5880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140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_Toc24257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（四）勘察费用清单</w:t>
      </w:r>
      <w:r>
        <w:rPr>
          <w:rFonts w:hint="eastAsia" w:asciiTheme="minorEastAsia" w:hAnsiTheme="minorEastAsia" w:eastAsiaTheme="minorEastAsia" w:cstheme="minorEastAsia"/>
          <w:i w:val="0"/>
          <w:iCs w:val="0"/>
          <w:szCs w:val="20"/>
          <w:highlight w:val="none"/>
          <w:lang w:eastAsia="zh-CN"/>
        </w:rPr>
        <w:t>（</w:t>
      </w:r>
      <w:r>
        <w:rPr>
          <w:rFonts w:hint="eastAsia" w:asciiTheme="minorEastAsia" w:hAnsiTheme="minorEastAsia" w:eastAsiaTheme="minorEastAsia" w:cstheme="minorEastAsia"/>
          <w:i w:val="0"/>
          <w:iCs w:val="0"/>
          <w:szCs w:val="20"/>
          <w:highlight w:val="none"/>
          <w:lang w:val="en-US" w:eastAsia="zh-CN"/>
        </w:rPr>
        <w:t>如有</w:t>
      </w:r>
      <w:r>
        <w:rPr>
          <w:rFonts w:hint="eastAsia" w:asciiTheme="minorEastAsia" w:hAnsiTheme="minorEastAsia" w:eastAsiaTheme="minorEastAsia" w:cstheme="minorEastAsia"/>
          <w:i w:val="0"/>
          <w:iCs w:val="0"/>
          <w:szCs w:val="20"/>
          <w:highlight w:val="none"/>
          <w:lang w:eastAsia="zh-CN"/>
        </w:rPr>
        <w:t>）</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_Toc24257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142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_Toc2853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val="0"/>
          <w:i w:val="0"/>
          <w:iCs w:val="0"/>
          <w:szCs w:val="20"/>
          <w:highlight w:val="none"/>
        </w:rPr>
        <w:t>（五）低价风险担保提交承诺书（如有）</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_Toc2853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143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_Toc5995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val="0"/>
          <w:i w:val="0"/>
          <w:iCs w:val="0"/>
          <w:szCs w:val="44"/>
          <w:highlight w:val="none"/>
        </w:rPr>
        <w:t>二、商务部分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_Toc5995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144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_Toc10292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（一）投标人资历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_Toc10292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146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_Toc22331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（二）拟派项目负责人资历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_Toc22331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147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_Toc24439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（三）</w:t>
      </w:r>
      <w:r>
        <w:rPr>
          <w:rFonts w:hint="eastAsia" w:asciiTheme="minorEastAsia" w:hAnsiTheme="minorEastAsia" w:eastAsiaTheme="minorEastAsia" w:cstheme="minorEastAsia"/>
          <w:i w:val="0"/>
          <w:iCs w:val="0"/>
          <w:szCs w:val="20"/>
          <w:highlight w:val="none"/>
          <w:lang w:val="en-US" w:eastAsia="zh-CN"/>
        </w:rPr>
        <w:t>拟派勘察团队</w:t>
      </w:r>
      <w:r>
        <w:rPr>
          <w:rFonts w:hint="eastAsia" w:asciiTheme="minorEastAsia" w:hAnsiTheme="minorEastAsia" w:eastAsiaTheme="minorEastAsia" w:cstheme="minorEastAsia"/>
          <w:i w:val="0"/>
          <w:iCs w:val="0"/>
          <w:szCs w:val="20"/>
          <w:highlight w:val="none"/>
        </w:rPr>
        <w:t>其他主要人员资历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_Toc24439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149</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_Toc6782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（四）获奖情况</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_Toc6782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151</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_Toc29475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（五）拟投入的勘察设备</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_Toc29475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152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_Toc32053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三、技术部分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_Toc32053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153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_Toc20335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（一）勘察纲要</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_Toc20335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154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39"/>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_Toc16932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bCs w:val="0"/>
          <w:i w:val="0"/>
          <w:iCs w:val="0"/>
          <w:szCs w:val="44"/>
          <w:highlight w:val="none"/>
        </w:rPr>
        <w:t>四、资格审查部分</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_Toc16932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155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_Toc15820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（一）基本情况表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_Toc15820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157</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_Toc24497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（二）法定代表人身份证明或附有法定代表人身份证明的授权委托书</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_Toc24497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158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_Toc19162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（三）联合体协议书（如有）</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_Toc19162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160</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_Toc10372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（四）近年财务状况表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_Toc10372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162</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_Toc15619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（五）近年完成的类似项目情况表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_Toc15619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163</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_Toc5692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（六）拟委任的主要人员汇总表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_Toc5692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164</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_Toc10465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（七）主要人员简历表</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_Toc10465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165</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_Toc11959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（八）承诺</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_Toc11959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166</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pStyle w:val="24"/>
        <w:tabs>
          <w:tab w:val="right" w:leader="dot" w:pos="9469"/>
        </w:tabs>
        <w:rPr>
          <w:rFonts w:hint="eastAsia" w:asciiTheme="minorEastAsia" w:hAnsiTheme="minorEastAsia" w:eastAsiaTheme="minorEastAsia" w:cstheme="minorEastAsia"/>
          <w:i w:val="0"/>
          <w:iCs w:val="0"/>
        </w:rPr>
      </w:pPr>
      <w:r>
        <w:rPr>
          <w:rFonts w:hint="eastAsia" w:asciiTheme="minorEastAsia" w:hAnsiTheme="minorEastAsia" w:eastAsiaTheme="minorEastAsia" w:cstheme="minorEastAsia"/>
          <w:bCs/>
          <w:i w:val="0"/>
          <w:iCs w:val="0"/>
          <w:szCs w:val="20"/>
          <w:highlight w:val="none"/>
          <w:lang w:val="zh-CN"/>
        </w:rPr>
        <w:fldChar w:fldCharType="begin"/>
      </w:r>
      <w:r>
        <w:rPr>
          <w:rFonts w:hint="eastAsia" w:asciiTheme="minorEastAsia" w:hAnsiTheme="minorEastAsia" w:eastAsiaTheme="minorEastAsia" w:cstheme="minorEastAsia"/>
          <w:bCs/>
          <w:i w:val="0"/>
          <w:iCs w:val="0"/>
          <w:szCs w:val="20"/>
          <w:highlight w:val="none"/>
          <w:lang w:val="zh-CN"/>
        </w:rPr>
        <w:instrText xml:space="preserve"> HYPERLINK \l _Toc22998 </w:instrText>
      </w:r>
      <w:r>
        <w:rPr>
          <w:rFonts w:hint="eastAsia" w:asciiTheme="minorEastAsia" w:hAnsiTheme="minorEastAsia" w:eastAsiaTheme="minorEastAsia" w:cstheme="minorEastAsia"/>
          <w:bCs/>
          <w:i w:val="0"/>
          <w:iCs w:val="0"/>
          <w:szCs w:val="20"/>
          <w:highlight w:val="none"/>
          <w:lang w:val="zh-CN"/>
        </w:rPr>
        <w:fldChar w:fldCharType="separate"/>
      </w:r>
      <w:r>
        <w:rPr>
          <w:rFonts w:hint="eastAsia" w:asciiTheme="minorEastAsia" w:hAnsiTheme="minorEastAsia" w:eastAsiaTheme="minorEastAsia" w:cstheme="minorEastAsia"/>
          <w:i w:val="0"/>
          <w:iCs w:val="0"/>
          <w:szCs w:val="20"/>
          <w:highlight w:val="none"/>
        </w:rPr>
        <w:t>（九）其他资料</w:t>
      </w:r>
      <w:r>
        <w:rPr>
          <w:rFonts w:hint="eastAsia" w:asciiTheme="minorEastAsia" w:hAnsiTheme="minorEastAsia" w:eastAsiaTheme="minorEastAsia" w:cstheme="minorEastAsia"/>
          <w:i w:val="0"/>
          <w:iCs w:val="0"/>
        </w:rPr>
        <w:tab/>
      </w:r>
      <w:r>
        <w:rPr>
          <w:rFonts w:hint="eastAsia" w:asciiTheme="minorEastAsia" w:hAnsiTheme="minorEastAsia" w:eastAsiaTheme="minorEastAsia" w:cstheme="minorEastAsia"/>
          <w:i w:val="0"/>
          <w:iCs w:val="0"/>
        </w:rPr>
        <w:fldChar w:fldCharType="begin"/>
      </w:r>
      <w:r>
        <w:rPr>
          <w:rFonts w:hint="eastAsia" w:asciiTheme="minorEastAsia" w:hAnsiTheme="minorEastAsia" w:eastAsiaTheme="minorEastAsia" w:cstheme="minorEastAsia"/>
          <w:i w:val="0"/>
          <w:iCs w:val="0"/>
        </w:rPr>
        <w:instrText xml:space="preserve"> PAGEREF _Toc22998 \h </w:instrText>
      </w:r>
      <w:r>
        <w:rPr>
          <w:rFonts w:hint="eastAsia" w:asciiTheme="minorEastAsia" w:hAnsiTheme="minorEastAsia" w:eastAsiaTheme="minorEastAsia" w:cstheme="minorEastAsia"/>
          <w:i w:val="0"/>
          <w:iCs w:val="0"/>
        </w:rPr>
        <w:fldChar w:fldCharType="separate"/>
      </w:r>
      <w:r>
        <w:rPr>
          <w:rFonts w:hint="eastAsia" w:asciiTheme="minorEastAsia" w:hAnsiTheme="minorEastAsia" w:eastAsiaTheme="minorEastAsia" w:cstheme="minorEastAsia"/>
          <w:i w:val="0"/>
          <w:iCs w:val="0"/>
        </w:rPr>
        <w:t>168</w:t>
      </w:r>
      <w:r>
        <w:rPr>
          <w:rFonts w:hint="eastAsia" w:asciiTheme="minorEastAsia" w:hAnsiTheme="minorEastAsia" w:eastAsiaTheme="minorEastAsia" w:cstheme="minorEastAsia"/>
          <w:i w:val="0"/>
          <w:iCs w:val="0"/>
        </w:rPr>
        <w:fldChar w:fldCharType="end"/>
      </w:r>
      <w:r>
        <w:rPr>
          <w:rFonts w:hint="eastAsia" w:asciiTheme="minorEastAsia" w:hAnsiTheme="minorEastAsia" w:eastAsiaTheme="minorEastAsia" w:cstheme="minorEastAsia"/>
          <w:bCs/>
          <w:i w:val="0"/>
          <w:iCs w:val="0"/>
          <w:szCs w:val="20"/>
          <w:highlight w:val="none"/>
          <w:lang w:val="zh-CN"/>
        </w:rPr>
        <w:fldChar w:fldCharType="end"/>
      </w:r>
    </w:p>
    <w:p>
      <w:pPr>
        <w:rPr>
          <w:rFonts w:ascii="宋体" w:hAnsi="宋体"/>
          <w:highlight w:val="none"/>
        </w:rPr>
        <w:sectPr>
          <w:footerReference r:id="rId8" w:type="default"/>
          <w:pgSz w:w="11907" w:h="16840"/>
          <w:pgMar w:top="1304" w:right="1134" w:bottom="1304" w:left="1304" w:header="851" w:footer="992" w:gutter="0"/>
          <w:pgNumType w:fmt="numberInDash" w:start="1"/>
          <w:cols w:space="720" w:num="1"/>
          <w:docGrid w:linePitch="312" w:charSpace="0"/>
        </w:sectPr>
      </w:pPr>
      <w:r>
        <w:rPr>
          <w:rFonts w:hint="eastAsia" w:asciiTheme="minorEastAsia" w:hAnsiTheme="minorEastAsia" w:eastAsiaTheme="minorEastAsia" w:cstheme="minorEastAsia"/>
          <w:bCs/>
          <w:i w:val="0"/>
          <w:iCs w:val="0"/>
          <w:szCs w:val="20"/>
          <w:highlight w:val="none"/>
          <w:lang w:val="zh-CN"/>
        </w:rPr>
        <w:fldChar w:fldCharType="end"/>
      </w:r>
      <w:bookmarkEnd w:id="0"/>
      <w:bookmarkStart w:id="7" w:name="_Toc430530414"/>
    </w:p>
    <w:bookmarkEnd w:id="7"/>
    <w:p>
      <w:pPr>
        <w:spacing w:line="360" w:lineRule="auto"/>
        <w:rPr>
          <w:rFonts w:ascii="宋体" w:hAnsi="宋体"/>
          <w:highlight w:val="none"/>
        </w:rPr>
      </w:pPr>
    </w:p>
    <w:p>
      <w:pPr>
        <w:pStyle w:val="3"/>
        <w:spacing w:before="0" w:after="0" w:line="480" w:lineRule="auto"/>
        <w:jc w:val="center"/>
        <w:rPr>
          <w:rFonts w:ascii="宋体" w:hAnsi="宋体"/>
          <w:sz w:val="52"/>
          <w:szCs w:val="52"/>
          <w:highlight w:val="none"/>
        </w:rPr>
      </w:pPr>
      <w:bookmarkStart w:id="8" w:name="_Toc25899"/>
      <w:bookmarkStart w:id="9" w:name="_Toc509218690"/>
      <w:bookmarkStart w:id="10" w:name="_Toc25787"/>
      <w:bookmarkStart w:id="11" w:name="_Toc10369"/>
      <w:bookmarkStart w:id="12" w:name="_Toc75856969"/>
      <w:bookmarkStart w:id="13" w:name="_Toc4665"/>
      <w:bookmarkStart w:id="14" w:name="_Toc29579"/>
      <w:r>
        <w:rPr>
          <w:rFonts w:hint="eastAsia" w:ascii="宋体" w:hAnsi="宋体"/>
          <w:sz w:val="52"/>
          <w:szCs w:val="52"/>
          <w:highlight w:val="none"/>
        </w:rPr>
        <w:t>第 一 卷</w:t>
      </w:r>
      <w:bookmarkEnd w:id="8"/>
      <w:bookmarkEnd w:id="9"/>
      <w:bookmarkEnd w:id="10"/>
      <w:bookmarkEnd w:id="11"/>
      <w:bookmarkEnd w:id="12"/>
      <w:bookmarkEnd w:id="13"/>
      <w:bookmarkEnd w:id="14"/>
    </w:p>
    <w:p>
      <w:pPr>
        <w:spacing w:line="200" w:lineRule="exact"/>
        <w:rPr>
          <w:rFonts w:ascii="宋体" w:hAnsi="宋体"/>
          <w:highlight w:val="none"/>
        </w:rPr>
      </w:pPr>
      <w:r>
        <w:rPr>
          <w:rFonts w:ascii="宋体" w:hAnsi="宋体"/>
          <w:highlight w:val="none"/>
        </w:rPr>
        <w:br w:type="page"/>
      </w:r>
    </w:p>
    <w:p>
      <w:pPr>
        <w:pStyle w:val="3"/>
        <w:spacing w:line="360" w:lineRule="auto"/>
        <w:jc w:val="center"/>
        <w:rPr>
          <w:rFonts w:ascii="宋体" w:hAnsi="宋体"/>
          <w:snapToGrid w:val="0"/>
          <w:kern w:val="0"/>
          <w:highlight w:val="none"/>
        </w:rPr>
      </w:pPr>
      <w:bookmarkStart w:id="15" w:name="_Toc20339"/>
      <w:bookmarkStart w:id="16" w:name="_Toc224103298"/>
      <w:bookmarkStart w:id="17" w:name="_Toc287607727"/>
      <w:bookmarkStart w:id="18" w:name="_Toc509218691"/>
      <w:bookmarkStart w:id="19" w:name="_Toc3355"/>
      <w:bookmarkStart w:id="20" w:name="_Toc287620666"/>
      <w:bookmarkStart w:id="21" w:name="_Toc17203"/>
      <w:bookmarkStart w:id="22" w:name="_Toc75856970"/>
      <w:bookmarkStart w:id="23" w:name="_Toc430530415"/>
      <w:bookmarkStart w:id="24" w:name="_Toc27699"/>
      <w:bookmarkStart w:id="25" w:name="_Toc277082535"/>
      <w:bookmarkStart w:id="26" w:name="_Toc10215"/>
      <w:r>
        <w:rPr>
          <w:rFonts w:ascii="宋体" w:hAnsi="宋体"/>
          <w:snapToGrid w:val="0"/>
          <w:kern w:val="0"/>
          <w:highlight w:val="none"/>
        </w:rPr>
        <w:t>第一章  招标公告（</w:t>
      </w:r>
      <w:r>
        <w:rPr>
          <w:rFonts w:hint="eastAsia" w:ascii="宋体" w:hAnsi="宋体" w:eastAsia="宋体"/>
          <w:b/>
          <w:bCs/>
          <w:snapToGrid w:val="0"/>
          <w:color w:val="000000"/>
          <w:kern w:val="0"/>
          <w:sz w:val="44"/>
          <w:szCs w:val="44"/>
          <w:highlight w:val="none"/>
        </w:rPr>
        <w:t>适用于公开招标</w:t>
      </w:r>
      <w:r>
        <w:rPr>
          <w:rFonts w:ascii="宋体" w:hAnsi="宋体"/>
          <w:snapToGrid w:val="0"/>
          <w:kern w:val="0"/>
          <w:highlight w:val="none"/>
        </w:rPr>
        <w:t>）</w:t>
      </w:r>
      <w:bookmarkEnd w:id="15"/>
      <w:bookmarkEnd w:id="16"/>
      <w:bookmarkEnd w:id="17"/>
      <w:bookmarkEnd w:id="18"/>
      <w:bookmarkEnd w:id="19"/>
      <w:bookmarkEnd w:id="20"/>
      <w:bookmarkEnd w:id="21"/>
      <w:bookmarkEnd w:id="22"/>
      <w:bookmarkEnd w:id="23"/>
      <w:bookmarkEnd w:id="24"/>
      <w:bookmarkEnd w:id="25"/>
      <w:bookmarkEnd w:id="26"/>
    </w:p>
    <w:p>
      <w:pPr>
        <w:autoSpaceDE w:val="0"/>
        <w:autoSpaceDN w:val="0"/>
        <w:adjustRightInd w:val="0"/>
        <w:snapToGrid w:val="0"/>
        <w:spacing w:line="360" w:lineRule="auto"/>
        <w:jc w:val="center"/>
        <w:rPr>
          <w:rFonts w:ascii="宋体" w:hAnsi="宋体"/>
          <w:snapToGrid w:val="0"/>
          <w:kern w:val="0"/>
          <w:sz w:val="28"/>
          <w:szCs w:val="28"/>
          <w:highlight w:val="none"/>
        </w:rPr>
      </w:pPr>
      <w:r>
        <w:rPr>
          <w:rFonts w:ascii="宋体" w:hAnsi="宋体"/>
          <w:snapToGrid w:val="0"/>
          <w:kern w:val="0"/>
          <w:sz w:val="28"/>
          <w:szCs w:val="28"/>
          <w:highlight w:val="none"/>
          <w:u w:val="single"/>
        </w:rPr>
        <w:t xml:space="preserve">                 （项目名称）</w:t>
      </w:r>
      <w:r>
        <w:rPr>
          <w:rFonts w:ascii="宋体" w:hAnsi="宋体"/>
          <w:snapToGrid w:val="0"/>
          <w:w w:val="99"/>
          <w:kern w:val="0"/>
          <w:sz w:val="28"/>
          <w:szCs w:val="28"/>
          <w:highlight w:val="none"/>
        </w:rPr>
        <w:t>招标公告</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27" w:name="_Toc29757"/>
      <w:bookmarkStart w:id="28" w:name="_Toc224103299"/>
      <w:bookmarkStart w:id="29" w:name="_Toc287607728"/>
      <w:bookmarkStart w:id="30" w:name="_Toc287620667"/>
      <w:bookmarkStart w:id="31" w:name="_Toc200359427"/>
      <w:bookmarkStart w:id="32" w:name="_Toc509218692"/>
      <w:bookmarkStart w:id="33" w:name="_Toc4181"/>
      <w:bookmarkStart w:id="34" w:name="_Toc430530416"/>
      <w:bookmarkStart w:id="35" w:name="_Toc75856971"/>
      <w:bookmarkStart w:id="36" w:name="_Toc8845"/>
      <w:bookmarkStart w:id="37" w:name="_Toc32345"/>
      <w:bookmarkStart w:id="38" w:name="_Toc16047"/>
      <w:bookmarkStart w:id="39" w:name="_Toc277082536"/>
      <w:bookmarkStart w:id="40" w:name="_Toc200359238"/>
      <w:r>
        <w:rPr>
          <w:rFonts w:ascii="宋体" w:hAnsi="宋体"/>
          <w:snapToGrid w:val="0"/>
          <w:sz w:val="28"/>
          <w:szCs w:val="28"/>
          <w:highlight w:val="none"/>
        </w:rPr>
        <w:t>1. 招标条件</w:t>
      </w:r>
      <w:bookmarkEnd w:id="27"/>
      <w:bookmarkEnd w:id="28"/>
      <w:bookmarkEnd w:id="29"/>
      <w:bookmarkEnd w:id="30"/>
      <w:bookmarkEnd w:id="31"/>
      <w:bookmarkEnd w:id="32"/>
      <w:bookmarkEnd w:id="33"/>
      <w:bookmarkEnd w:id="34"/>
      <w:bookmarkEnd w:id="35"/>
      <w:bookmarkEnd w:id="36"/>
      <w:bookmarkEnd w:id="37"/>
      <w:bookmarkEnd w:id="38"/>
      <w:bookmarkEnd w:id="39"/>
      <w:bookmarkEnd w:id="40"/>
    </w:p>
    <w:p>
      <w:pPr>
        <w:pageBreakBefore w:val="0"/>
        <w:widowControl w:val="0"/>
        <w:tabs>
          <w:tab w:val="left" w:pos="3315"/>
          <w:tab w:val="left" w:pos="3390"/>
          <w:tab w:val="left" w:pos="6120"/>
          <w:tab w:val="left" w:pos="8850"/>
        </w:tabs>
        <w:kinsoku/>
        <w:wordWrap/>
        <w:overflowPunct/>
        <w:topLinePunct w:val="0"/>
        <w:autoSpaceDE w:val="0"/>
        <w:autoSpaceDN w:val="0"/>
        <w:bidi w:val="0"/>
        <w:adjustRightInd w:val="0"/>
        <w:snapToGrid w:val="0"/>
        <w:spacing w:line="360" w:lineRule="auto"/>
        <w:ind w:firstLine="420"/>
        <w:jc w:val="distribute"/>
        <w:textAlignment w:val="auto"/>
        <w:rPr>
          <w:rFonts w:ascii="宋体" w:hAnsi="宋体"/>
          <w:snapToGrid w:val="0"/>
          <w:kern w:val="0"/>
          <w:szCs w:val="21"/>
          <w:highlight w:val="none"/>
        </w:rPr>
      </w:pPr>
      <w:r>
        <w:rPr>
          <w:rFonts w:ascii="宋体" w:hAnsi="宋体"/>
          <w:snapToGrid w:val="0"/>
          <w:kern w:val="0"/>
          <w:szCs w:val="21"/>
          <w:highlight w:val="none"/>
        </w:rPr>
        <w:t>本招标项目</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w:t>
      </w:r>
      <w:r>
        <w:rPr>
          <w:rFonts w:hint="eastAsia" w:ascii="宋体" w:hAnsi="宋体"/>
          <w:snapToGrid w:val="0"/>
          <w:kern w:val="0"/>
          <w:szCs w:val="21"/>
          <w:highlight w:val="none"/>
          <w:u w:val="single"/>
        </w:rPr>
        <w:t>工程</w:t>
      </w:r>
      <w:r>
        <w:rPr>
          <w:rFonts w:ascii="宋体" w:hAnsi="宋体"/>
          <w:snapToGrid w:val="0"/>
          <w:kern w:val="0"/>
          <w:szCs w:val="21"/>
          <w:highlight w:val="none"/>
          <w:u w:val="single"/>
        </w:rPr>
        <w:t>名称）</w:t>
      </w:r>
      <w:r>
        <w:rPr>
          <w:rFonts w:ascii="宋体" w:hAnsi="宋体"/>
          <w:snapToGrid w:val="0"/>
          <w:kern w:val="0"/>
          <w:szCs w:val="21"/>
          <w:highlight w:val="none"/>
        </w:rPr>
        <w:t>已由</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（项目审批、核准</w:t>
      </w:r>
      <w:r>
        <w:rPr>
          <w:rFonts w:hint="eastAsia" w:ascii="宋体" w:hAnsi="宋体"/>
          <w:snapToGrid w:val="0"/>
          <w:kern w:val="0"/>
          <w:szCs w:val="21"/>
          <w:highlight w:val="none"/>
          <w:u w:val="single"/>
        </w:rPr>
        <w:t>、</w:t>
      </w:r>
      <w:r>
        <w:rPr>
          <w:rFonts w:ascii="宋体" w:hAnsi="宋体"/>
          <w:snapToGrid w:val="0"/>
          <w:kern w:val="0"/>
          <w:szCs w:val="21"/>
          <w:highlight w:val="none"/>
          <w:u w:val="single"/>
        </w:rPr>
        <w:t>备案机关或相关部门名称）</w:t>
      </w:r>
      <w:r>
        <w:rPr>
          <w:rFonts w:ascii="宋体" w:hAnsi="宋体"/>
          <w:snapToGrid w:val="0"/>
          <w:kern w:val="0"/>
          <w:szCs w:val="21"/>
          <w:highlight w:val="none"/>
        </w:rPr>
        <w:t>以</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（批文名称及编号）</w:t>
      </w:r>
      <w:r>
        <w:rPr>
          <w:rFonts w:ascii="宋体" w:hAnsi="宋体"/>
          <w:snapToGrid w:val="0"/>
          <w:kern w:val="0"/>
          <w:szCs w:val="21"/>
          <w:highlight w:val="none"/>
        </w:rPr>
        <w:t>批准建设，项目业主为</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w:t>
      </w:r>
    </w:p>
    <w:p>
      <w:pPr>
        <w:pageBreakBefore w:val="0"/>
        <w:widowControl w:val="0"/>
        <w:tabs>
          <w:tab w:val="left" w:pos="3390"/>
          <w:tab w:val="left" w:pos="3420"/>
          <w:tab w:val="left" w:pos="6120"/>
          <w:tab w:val="left" w:pos="7540"/>
          <w:tab w:val="left" w:pos="8320"/>
        </w:tabs>
        <w:kinsoku/>
        <w:wordWrap/>
        <w:overflowPunct/>
        <w:topLinePunct w:val="0"/>
        <w:autoSpaceDE w:val="0"/>
        <w:autoSpaceDN w:val="0"/>
        <w:bidi w:val="0"/>
        <w:adjustRightInd w:val="0"/>
        <w:snapToGrid w:val="0"/>
        <w:spacing w:line="360" w:lineRule="auto"/>
        <w:textAlignment w:val="auto"/>
        <w:rPr>
          <w:rFonts w:ascii="宋体" w:hAnsi="宋体"/>
          <w:snapToGrid w:val="0"/>
          <w:kern w:val="0"/>
          <w:szCs w:val="21"/>
          <w:highlight w:val="none"/>
        </w:rPr>
      </w:pPr>
      <w:r>
        <w:rPr>
          <w:rFonts w:ascii="宋体" w:hAnsi="宋体"/>
          <w:snapToGrid w:val="0"/>
          <w:kern w:val="0"/>
          <w:szCs w:val="21"/>
          <w:highlight w:val="none"/>
        </w:rPr>
        <w:t>建设资金来自</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（资金来源）</w:t>
      </w:r>
      <w:r>
        <w:rPr>
          <w:rFonts w:ascii="宋体" w:hAnsi="宋体"/>
          <w:snapToGrid w:val="0"/>
          <w:kern w:val="0"/>
          <w:szCs w:val="21"/>
          <w:highlight w:val="none"/>
        </w:rPr>
        <w:t>，项目出资比例为</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，招标人</w:t>
      </w:r>
      <w:r>
        <w:rPr>
          <w:rFonts w:ascii="宋体" w:hAnsi="宋体"/>
          <w:snapToGrid w:val="0"/>
          <w:kern w:val="0"/>
          <w:position w:val="-2"/>
          <w:szCs w:val="21"/>
          <w:highlight w:val="none"/>
        </w:rPr>
        <w:t>为</w:t>
      </w:r>
      <w:r>
        <w:rPr>
          <w:rFonts w:hint="eastAsia" w:ascii="宋体" w:hAnsi="宋体"/>
          <w:snapToGrid w:val="0"/>
          <w:kern w:val="0"/>
          <w:szCs w:val="21"/>
          <w:highlight w:val="none"/>
          <w:u w:val="single"/>
        </w:rPr>
        <w:t xml:space="preserve">                 </w:t>
      </w:r>
      <w:r>
        <w:rPr>
          <w:rFonts w:ascii="宋体" w:hAnsi="宋体"/>
          <w:snapToGrid w:val="0"/>
          <w:kern w:val="0"/>
          <w:position w:val="-2"/>
          <w:szCs w:val="21"/>
          <w:highlight w:val="none"/>
        </w:rPr>
        <w:t>。项目已具备招标条件，现对</w:t>
      </w:r>
      <w:r>
        <w:rPr>
          <w:rFonts w:hint="eastAsia" w:ascii="宋体" w:hAnsi="宋体"/>
          <w:snapToGrid w:val="0"/>
          <w:kern w:val="0"/>
          <w:position w:val="-2"/>
          <w:szCs w:val="21"/>
          <w:highlight w:val="none"/>
          <w:u w:val="single"/>
        </w:rPr>
        <w:t>该工程的勘察</w:t>
      </w:r>
      <w:r>
        <w:rPr>
          <w:rFonts w:ascii="宋体" w:hAnsi="宋体"/>
          <w:snapToGrid w:val="0"/>
          <w:kern w:val="0"/>
          <w:position w:val="-2"/>
          <w:szCs w:val="21"/>
          <w:highlight w:val="none"/>
        </w:rPr>
        <w:t>进行公开招标。</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41" w:name="_Toc224103300"/>
      <w:bookmarkStart w:id="42" w:name="_Toc277082537"/>
      <w:bookmarkStart w:id="43" w:name="_Toc2650"/>
      <w:bookmarkStart w:id="44" w:name="_Toc430530417"/>
      <w:bookmarkStart w:id="45" w:name="_Toc509218693"/>
      <w:bookmarkStart w:id="46" w:name="_Toc6650"/>
      <w:bookmarkStart w:id="47" w:name="_Toc75856972"/>
      <w:bookmarkStart w:id="48" w:name="_Toc15980"/>
      <w:bookmarkStart w:id="49" w:name="_Toc287620668"/>
      <w:bookmarkStart w:id="50" w:name="_Toc19129"/>
      <w:bookmarkStart w:id="51" w:name="_Toc287607729"/>
      <w:bookmarkStart w:id="52" w:name="_Toc200359239"/>
      <w:bookmarkStart w:id="53" w:name="_Toc200359428"/>
      <w:bookmarkStart w:id="54" w:name="_Toc10264"/>
      <w:r>
        <w:rPr>
          <w:rFonts w:ascii="宋体" w:hAnsi="宋体"/>
          <w:snapToGrid w:val="0"/>
          <w:sz w:val="28"/>
          <w:szCs w:val="28"/>
          <w:highlight w:val="none"/>
        </w:rPr>
        <w:t>2.</w:t>
      </w:r>
      <w:r>
        <w:rPr>
          <w:rFonts w:hint="eastAsia" w:ascii="宋体" w:hAnsi="宋体"/>
          <w:snapToGrid w:val="0"/>
          <w:sz w:val="28"/>
          <w:szCs w:val="28"/>
          <w:highlight w:val="none"/>
        </w:rPr>
        <w:t xml:space="preserve"> </w:t>
      </w:r>
      <w:r>
        <w:rPr>
          <w:rFonts w:ascii="宋体" w:hAnsi="宋体"/>
          <w:snapToGrid w:val="0"/>
          <w:sz w:val="28"/>
          <w:szCs w:val="28"/>
          <w:highlight w:val="none"/>
        </w:rPr>
        <w:t>项目概况与招标范围</w:t>
      </w:r>
      <w:bookmarkEnd w:id="41"/>
      <w:bookmarkEnd w:id="42"/>
      <w:bookmarkEnd w:id="43"/>
      <w:bookmarkEnd w:id="44"/>
      <w:bookmarkEnd w:id="45"/>
      <w:bookmarkEnd w:id="46"/>
      <w:bookmarkEnd w:id="47"/>
      <w:bookmarkEnd w:id="48"/>
      <w:bookmarkEnd w:id="49"/>
      <w:bookmarkEnd w:id="50"/>
      <w:bookmarkEnd w:id="51"/>
      <w:bookmarkEnd w:id="52"/>
      <w:bookmarkEnd w:id="53"/>
      <w:bookmarkEnd w:id="54"/>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hint="eastAsia" w:ascii="宋体" w:hAnsi="宋体"/>
          <w:snapToGrid w:val="0"/>
          <w:kern w:val="0"/>
          <w:szCs w:val="21"/>
          <w:highlight w:val="none"/>
        </w:rPr>
        <w:t>2.1 建设地点：</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2.2 项目概况与建设规模：</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i/>
          <w:snapToGrid w:val="0"/>
          <w:kern w:val="0"/>
          <w:szCs w:val="21"/>
          <w:highlight w:val="none"/>
        </w:rPr>
      </w:pPr>
      <w:r>
        <w:rPr>
          <w:rFonts w:hint="eastAsia" w:ascii="宋体" w:hAnsi="宋体"/>
          <w:i/>
          <w:snapToGrid w:val="0"/>
          <w:kern w:val="0"/>
          <w:szCs w:val="21"/>
          <w:highlight w:val="none"/>
        </w:rPr>
        <w:t>[提示：</w:t>
      </w:r>
      <w:r>
        <w:rPr>
          <w:rFonts w:hint="eastAsia" w:ascii="宋体" w:hAnsi="宋体"/>
          <w:i/>
          <w:szCs w:val="21"/>
          <w:highlight w:val="none"/>
        </w:rPr>
        <w:t>说明本项目的项目性质、</w:t>
      </w:r>
      <w:r>
        <w:rPr>
          <w:rFonts w:hint="eastAsia" w:ascii="宋体" w:hAnsi="宋体" w:eastAsia="宋体" w:cs="Times New Roman"/>
          <w:i/>
          <w:sz w:val="21"/>
          <w:szCs w:val="21"/>
          <w:highlight w:val="none"/>
        </w:rPr>
        <w:t>建设规模、</w:t>
      </w:r>
      <w:r>
        <w:rPr>
          <w:rFonts w:hint="eastAsia" w:ascii="宋体" w:hAnsi="宋体"/>
          <w:i/>
          <w:szCs w:val="21"/>
          <w:highlight w:val="none"/>
        </w:rPr>
        <w:t>勘察等级、设计规模或等级、抗震设防烈度及防洪等级</w:t>
      </w:r>
      <w:r>
        <w:rPr>
          <w:rFonts w:hint="eastAsia" w:ascii="宋体" w:hAnsi="宋体"/>
          <w:i/>
          <w:snapToGrid w:val="0"/>
          <w:kern w:val="0"/>
          <w:szCs w:val="21"/>
          <w:highlight w:val="none"/>
        </w:rPr>
        <w:t>等，若设置投标人业绩资格或评分要求，应体现上述对应的规模参数。]</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Cs w:val="21"/>
          <w:highlight w:val="none"/>
          <w:u w:val="single"/>
        </w:rPr>
      </w:pPr>
      <w:r>
        <w:rPr>
          <w:rFonts w:hint="eastAsia" w:ascii="宋体" w:hAnsi="宋体"/>
          <w:snapToGrid w:val="0"/>
          <w:kern w:val="0"/>
          <w:szCs w:val="21"/>
          <w:highlight w:val="none"/>
        </w:rPr>
        <w:t>2.3 □本次招标项目</w:t>
      </w:r>
      <w:r>
        <w:rPr>
          <w:rFonts w:hint="eastAsia" w:ascii="宋体" w:hAnsi="宋体"/>
          <w:szCs w:val="21"/>
          <w:highlight w:val="none"/>
        </w:rPr>
        <w:t>投资估算金额：</w:t>
      </w:r>
      <w:r>
        <w:rPr>
          <w:rFonts w:hint="eastAsia" w:ascii="宋体" w:hAnsi="宋体"/>
          <w:szCs w:val="21"/>
          <w:highlight w:val="none"/>
          <w:u w:val="single"/>
        </w:rPr>
        <w:t xml:space="preserve">                    </w:t>
      </w:r>
    </w:p>
    <w:p>
      <w:pPr>
        <w:pageBreakBefore w:val="0"/>
        <w:widowControl w:val="0"/>
        <w:kinsoku/>
        <w:wordWrap/>
        <w:overflowPunct/>
        <w:topLinePunct w:val="0"/>
        <w:autoSpaceDE w:val="0"/>
        <w:autoSpaceDN w:val="0"/>
        <w:bidi w:val="0"/>
        <w:adjustRightInd w:val="0"/>
        <w:snapToGrid w:val="0"/>
        <w:spacing w:line="360" w:lineRule="auto"/>
        <w:ind w:firstLine="840" w:firstLineChars="400"/>
        <w:textAlignment w:val="auto"/>
        <w:rPr>
          <w:rFonts w:hint="eastAsia" w:ascii="宋体" w:hAnsi="宋体"/>
          <w:iCs/>
          <w:szCs w:val="21"/>
          <w:highlight w:val="none"/>
        </w:rPr>
      </w:pPr>
      <w:r>
        <w:rPr>
          <w:rFonts w:hint="eastAsia" w:ascii="宋体" w:hAnsi="宋体"/>
          <w:szCs w:val="21"/>
          <w:highlight w:val="none"/>
        </w:rPr>
        <w:t>□</w:t>
      </w:r>
      <w:r>
        <w:rPr>
          <w:rFonts w:hint="eastAsia" w:ascii="宋体" w:hAnsi="宋体"/>
          <w:snapToGrid w:val="0"/>
          <w:kern w:val="0"/>
          <w:szCs w:val="21"/>
          <w:highlight w:val="none"/>
        </w:rPr>
        <w:t>本次招标项目</w:t>
      </w:r>
      <w:r>
        <w:rPr>
          <w:rFonts w:hint="eastAsia" w:ascii="宋体" w:hAnsi="宋体"/>
          <w:iCs/>
          <w:szCs w:val="21"/>
          <w:highlight w:val="none"/>
        </w:rPr>
        <w:t>工程费估算金额</w:t>
      </w:r>
      <w:r>
        <w:rPr>
          <w:rFonts w:hint="eastAsia" w:ascii="宋体" w:hAnsi="宋体"/>
          <w:szCs w:val="21"/>
          <w:highlight w:val="none"/>
        </w:rPr>
        <w:t>：</w:t>
      </w:r>
      <w:r>
        <w:rPr>
          <w:rFonts w:hint="eastAsia" w:ascii="宋体" w:hAnsi="宋体"/>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840" w:firstLineChars="400"/>
        <w:jc w:val="left"/>
        <w:textAlignment w:val="auto"/>
        <w:rPr>
          <w:rFonts w:ascii="宋体" w:hAnsi="宋体"/>
          <w:snapToGrid w:val="0"/>
          <w:kern w:val="0"/>
          <w:szCs w:val="21"/>
          <w:highlight w:val="none"/>
          <w:u w:val="single"/>
        </w:rPr>
      </w:pPr>
      <w:r>
        <w:rPr>
          <w:rFonts w:hint="eastAsia" w:ascii="宋体" w:hAnsi="宋体"/>
          <w:szCs w:val="21"/>
          <w:highlight w:val="none"/>
        </w:rPr>
        <w:t>□</w:t>
      </w:r>
      <w:r>
        <w:rPr>
          <w:rFonts w:hint="eastAsia" w:ascii="宋体" w:hAnsi="宋体"/>
          <w:snapToGrid w:val="0"/>
          <w:kern w:val="0"/>
          <w:szCs w:val="21"/>
          <w:highlight w:val="none"/>
        </w:rPr>
        <w:t>本次招标项目勘察</w:t>
      </w:r>
      <w:r>
        <w:rPr>
          <w:rFonts w:hint="eastAsia" w:ascii="宋体" w:hAnsi="宋体"/>
          <w:szCs w:val="21"/>
          <w:highlight w:val="none"/>
        </w:rPr>
        <w:t>合同估算</w:t>
      </w:r>
      <w:r>
        <w:rPr>
          <w:rFonts w:hint="eastAsia" w:ascii="宋体" w:hAnsi="宋体"/>
          <w:szCs w:val="21"/>
          <w:highlight w:val="none"/>
          <w:lang w:val="en-US" w:eastAsia="zh-CN"/>
        </w:rPr>
        <w:t>金</w:t>
      </w:r>
      <w:r>
        <w:rPr>
          <w:rFonts w:hint="eastAsia" w:ascii="宋体" w:hAnsi="宋体"/>
          <w:szCs w:val="21"/>
          <w:highlight w:val="none"/>
        </w:rPr>
        <w:t>额：</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hint="eastAsia" w:ascii="宋体" w:hAnsi="宋体"/>
          <w:snapToGrid w:val="0"/>
          <w:kern w:val="0"/>
          <w:szCs w:val="21"/>
          <w:highlight w:val="none"/>
        </w:rPr>
        <w:t>2.4 招标范围：</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hint="eastAsia" w:ascii="宋体" w:hAnsi="宋体"/>
          <w:i/>
          <w:snapToGrid w:val="0"/>
          <w:kern w:val="0"/>
          <w:szCs w:val="21"/>
          <w:highlight w:val="none"/>
        </w:rPr>
        <w:t>[提示：</w:t>
      </w:r>
      <w:r>
        <w:rPr>
          <w:rFonts w:ascii="宋体" w:hAnsi="宋体"/>
          <w:i/>
          <w:szCs w:val="21"/>
          <w:highlight w:val="none"/>
        </w:rPr>
        <w:t>招标范围应准确明了，</w:t>
      </w:r>
      <w:r>
        <w:rPr>
          <w:rFonts w:hint="eastAsia" w:ascii="宋体" w:hAnsi="宋体"/>
          <w:i/>
          <w:szCs w:val="21"/>
          <w:highlight w:val="none"/>
        </w:rPr>
        <w:t>按照项目审批、核准、备案文件及相关内容</w:t>
      </w:r>
      <w:r>
        <w:rPr>
          <w:rFonts w:ascii="宋体" w:hAnsi="宋体"/>
          <w:i/>
          <w:szCs w:val="21"/>
          <w:highlight w:val="none"/>
        </w:rPr>
        <w:t>采用工程专业术语</w:t>
      </w:r>
      <w:r>
        <w:rPr>
          <w:rFonts w:hint="eastAsia" w:ascii="宋体" w:hAnsi="宋体"/>
          <w:i/>
          <w:szCs w:val="21"/>
          <w:highlight w:val="none"/>
        </w:rPr>
        <w:t>进行</w:t>
      </w:r>
      <w:r>
        <w:rPr>
          <w:rFonts w:ascii="宋体" w:hAnsi="宋体"/>
          <w:i/>
          <w:szCs w:val="21"/>
          <w:highlight w:val="none"/>
        </w:rPr>
        <w:t>填写</w:t>
      </w:r>
      <w:r>
        <w:rPr>
          <w:rFonts w:hint="eastAsia" w:ascii="宋体" w:hAnsi="宋体"/>
          <w:i/>
          <w:szCs w:val="21"/>
          <w:highlight w:val="none"/>
        </w:rPr>
        <w:t>。</w:t>
      </w:r>
      <w:r>
        <w:rPr>
          <w:rFonts w:hint="eastAsia" w:ascii="宋体" w:hAnsi="宋体"/>
          <w:i/>
          <w:snapToGrid w:val="0"/>
          <w:kern w:val="0"/>
          <w:szCs w:val="21"/>
          <w:highlight w:val="none"/>
        </w:rPr>
        <w:t>]</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hint="eastAsia" w:ascii="宋体" w:hAnsi="宋体"/>
          <w:snapToGrid w:val="0"/>
          <w:kern w:val="0"/>
          <w:szCs w:val="21"/>
          <w:highlight w:val="none"/>
        </w:rPr>
        <w:t>2.5 勘察服务期限：</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2.6 标段划分（如有）：</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2.7 其他：</w:t>
      </w:r>
      <w:r>
        <w:rPr>
          <w:rFonts w:hint="eastAsia" w:ascii="宋体" w:hAnsi="宋体"/>
          <w:snapToGrid w:val="0"/>
          <w:kern w:val="0"/>
          <w:szCs w:val="21"/>
          <w:highlight w:val="none"/>
          <w:u w:val="single"/>
        </w:rPr>
        <w:t xml:space="preserve">                           </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55" w:name="_Toc277082538"/>
      <w:bookmarkStart w:id="56" w:name="_Toc12005"/>
      <w:bookmarkStart w:id="57" w:name="_Toc200359429"/>
      <w:bookmarkStart w:id="58" w:name="_Toc18296"/>
      <w:bookmarkStart w:id="59" w:name="_Toc287607730"/>
      <w:bookmarkStart w:id="60" w:name="_Toc509218694"/>
      <w:bookmarkStart w:id="61" w:name="_Toc287620669"/>
      <w:bookmarkStart w:id="62" w:name="_Toc2295"/>
      <w:bookmarkStart w:id="63" w:name="_Toc224103301"/>
      <w:bookmarkStart w:id="64" w:name="_Toc430530418"/>
      <w:bookmarkStart w:id="65" w:name="_Toc21025"/>
      <w:bookmarkStart w:id="66" w:name="_Toc75856973"/>
      <w:bookmarkStart w:id="67" w:name="_Toc25507"/>
      <w:bookmarkStart w:id="68" w:name="_Toc200359240"/>
      <w:r>
        <w:rPr>
          <w:rFonts w:ascii="宋体" w:hAnsi="宋体"/>
          <w:snapToGrid w:val="0"/>
          <w:sz w:val="28"/>
          <w:szCs w:val="28"/>
          <w:highlight w:val="none"/>
        </w:rPr>
        <w:t>3. 投标人资格要求</w:t>
      </w:r>
      <w:bookmarkEnd w:id="55"/>
      <w:bookmarkEnd w:id="56"/>
      <w:bookmarkEnd w:id="57"/>
      <w:bookmarkEnd w:id="58"/>
      <w:bookmarkEnd w:id="59"/>
      <w:bookmarkEnd w:id="60"/>
      <w:bookmarkEnd w:id="61"/>
      <w:bookmarkEnd w:id="62"/>
      <w:bookmarkEnd w:id="63"/>
      <w:bookmarkEnd w:id="64"/>
      <w:bookmarkEnd w:id="65"/>
      <w:bookmarkEnd w:id="66"/>
      <w:bookmarkEnd w:id="67"/>
      <w:bookmarkEnd w:id="68"/>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ascii="宋体" w:hAnsi="宋体"/>
          <w:snapToGrid w:val="0"/>
          <w:kern w:val="0"/>
          <w:szCs w:val="21"/>
          <w:highlight w:val="none"/>
        </w:rPr>
        <w:t>3.1 本次招标要求投标人须具备</w:t>
      </w:r>
      <w:r>
        <w:rPr>
          <w:rFonts w:hint="eastAsia" w:ascii="宋体" w:hAnsi="宋体"/>
          <w:snapToGrid w:val="0"/>
          <w:kern w:val="0"/>
          <w:szCs w:val="21"/>
          <w:highlight w:val="none"/>
        </w:rPr>
        <w:t>以下条件：</w:t>
      </w:r>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hint="eastAsia" w:ascii="宋体" w:hAnsi="宋体"/>
          <w:snapToGrid w:val="0"/>
          <w:kern w:val="0"/>
          <w:szCs w:val="21"/>
          <w:highlight w:val="none"/>
        </w:rPr>
        <w:t>3.1.1 本次招标要求投标人具备的资质条件：</w:t>
      </w:r>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hint="eastAsia" w:ascii="宋体" w:hAnsi="宋体"/>
          <w:snapToGrid w:val="0"/>
          <w:kern w:val="0"/>
          <w:szCs w:val="21"/>
          <w:highlight w:val="none"/>
        </w:rPr>
        <w:t>投标人应具有建设行政主管部门颁发的下列资质之一：</w:t>
      </w:r>
    </w:p>
    <w:p>
      <w:pPr>
        <w:pageBreakBefore w:val="0"/>
        <w:widowControl w:val="0"/>
        <w:kinsoku/>
        <w:wordWrap/>
        <w:overflowPunct/>
        <w:topLinePunct w:val="0"/>
        <w:autoSpaceDE w:val="0"/>
        <w:autoSpaceDN w:val="0"/>
        <w:bidi w:val="0"/>
        <w:adjustRightInd w:val="0"/>
        <w:snapToGrid w:val="0"/>
        <w:spacing w:line="360" w:lineRule="auto"/>
        <w:ind w:firstLine="630" w:firstLineChars="300"/>
        <w:textAlignment w:val="auto"/>
        <w:rPr>
          <w:rFonts w:ascii="宋体" w:hAnsi="宋体"/>
          <w:szCs w:val="21"/>
          <w:highlight w:val="none"/>
        </w:rPr>
      </w:pPr>
      <w:r>
        <w:rPr>
          <w:rFonts w:hint="eastAsia" w:ascii="宋体" w:hAnsi="宋体"/>
          <w:szCs w:val="21"/>
          <w:highlight w:val="none"/>
        </w:rPr>
        <w:t>①工程勘察综合甲级资质。</w:t>
      </w:r>
    </w:p>
    <w:p>
      <w:pPr>
        <w:pageBreakBefore w:val="0"/>
        <w:widowControl w:val="0"/>
        <w:kinsoku/>
        <w:wordWrap/>
        <w:overflowPunct/>
        <w:topLinePunct w:val="0"/>
        <w:autoSpaceDE w:val="0"/>
        <w:autoSpaceDN w:val="0"/>
        <w:bidi w:val="0"/>
        <w:adjustRightInd w:val="0"/>
        <w:snapToGrid w:val="0"/>
        <w:spacing w:line="360" w:lineRule="auto"/>
        <w:ind w:firstLine="630" w:firstLineChars="300"/>
        <w:textAlignment w:val="auto"/>
        <w:rPr>
          <w:rFonts w:ascii="宋体" w:hAnsi="宋体"/>
          <w:szCs w:val="21"/>
          <w:highlight w:val="none"/>
        </w:rPr>
      </w:pPr>
      <w:r>
        <w:rPr>
          <w:rFonts w:hint="eastAsia" w:ascii="宋体" w:hAnsi="宋体"/>
          <w:szCs w:val="21"/>
          <w:highlight w:val="none"/>
        </w:rPr>
        <w:t>②工程勘察专业类</w:t>
      </w:r>
      <w:r>
        <w:rPr>
          <w:rFonts w:hint="eastAsia" w:ascii="宋体" w:hAnsi="宋体"/>
          <w:szCs w:val="21"/>
          <w:highlight w:val="none"/>
          <w:u w:val="single"/>
        </w:rPr>
        <w:t xml:space="preserve">          级及以</w:t>
      </w:r>
      <w:r>
        <w:rPr>
          <w:rFonts w:hint="eastAsia" w:ascii="宋体" w:hAnsi="宋体"/>
          <w:szCs w:val="21"/>
          <w:highlight w:val="none"/>
        </w:rPr>
        <w:t>上资质</w:t>
      </w:r>
      <w:r>
        <w:rPr>
          <w:rFonts w:ascii="宋体" w:hAnsi="宋体"/>
          <w:szCs w:val="21"/>
          <w:highlight w:val="none"/>
        </w:rPr>
        <w:t>。</w:t>
      </w:r>
      <w:r>
        <w:rPr>
          <w:rFonts w:hint="eastAsia" w:ascii="宋体" w:hAnsi="宋体"/>
          <w:i/>
          <w:szCs w:val="21"/>
          <w:highlight w:val="none"/>
        </w:rPr>
        <w:t>[</w:t>
      </w:r>
      <w:r>
        <w:rPr>
          <w:rFonts w:hint="eastAsia" w:ascii="宋体" w:hAnsi="宋体"/>
          <w:i/>
          <w:szCs w:val="21"/>
          <w:highlight w:val="none"/>
          <w:lang w:eastAsia="zh-CN"/>
        </w:rPr>
        <w:t>提示：</w:t>
      </w:r>
      <w:r>
        <w:rPr>
          <w:rFonts w:hint="eastAsia" w:ascii="宋体" w:hAnsi="宋体"/>
          <w:i/>
          <w:szCs w:val="21"/>
          <w:highlight w:val="none"/>
        </w:rPr>
        <w:t>根据项目实际需求可增加勘察专业类资质。]</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i/>
          <w:szCs w:val="21"/>
          <w:highlight w:val="none"/>
        </w:rPr>
      </w:pPr>
      <w:r>
        <w:rPr>
          <w:rFonts w:hint="eastAsia" w:ascii="宋体" w:hAnsi="宋体"/>
          <w:i/>
          <w:szCs w:val="21"/>
          <w:highlight w:val="none"/>
        </w:rPr>
        <w:t xml:space="preserve"> [提示：资质的设定应执行《住房和城乡建设部关于印发&lt;工程勘察资质标准&gt;的通知》（建市</w:t>
      </w:r>
      <w:r>
        <w:rPr>
          <w:rFonts w:hint="eastAsia" w:ascii="宋体" w:hAnsi="宋体"/>
          <w:i/>
          <w:szCs w:val="21"/>
          <w:highlight w:val="none"/>
          <w:lang w:eastAsia="zh-CN"/>
        </w:rPr>
        <w:t>〔2013〕</w:t>
      </w:r>
      <w:r>
        <w:rPr>
          <w:rFonts w:hint="eastAsia" w:ascii="宋体" w:hAnsi="宋体"/>
          <w:i/>
          <w:szCs w:val="21"/>
          <w:highlight w:val="none"/>
        </w:rPr>
        <w:t>9号）及其修订、配套、补充文件的现行规定。]</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zCs w:val="21"/>
          <w:highlight w:val="none"/>
        </w:rPr>
      </w:pPr>
      <w:r>
        <w:rPr>
          <w:rFonts w:hint="eastAsia" w:ascii="宋体" w:hAnsi="宋体"/>
          <w:snapToGrid w:val="0"/>
          <w:kern w:val="0"/>
          <w:szCs w:val="21"/>
          <w:highlight w:val="none"/>
        </w:rPr>
        <w:t>3.1.2 投标人还应在人员、业绩、设备、资金等方面具有相应的勘察能力，详见招标文件第二章投标人须知前附表第1.4.1项内容。</w:t>
      </w:r>
    </w:p>
    <w:p>
      <w:pPr>
        <w:pageBreakBefore w:val="0"/>
        <w:widowControl w:val="0"/>
        <w:tabs>
          <w:tab w:val="left" w:pos="3045"/>
          <w:tab w:val="left" w:pos="831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3.2  本次招标</w:t>
      </w:r>
      <w:r>
        <w:rPr>
          <w:rFonts w:hint="eastAsia" w:ascii="宋体" w:hAnsi="宋体"/>
          <w:snapToGrid w:val="0"/>
          <w:kern w:val="0"/>
          <w:szCs w:val="21"/>
          <w:highlight w:val="none"/>
        </w:rPr>
        <w:t>□接受 □不接受</w:t>
      </w:r>
      <w:r>
        <w:rPr>
          <w:rFonts w:ascii="宋体" w:hAnsi="宋体"/>
          <w:snapToGrid w:val="0"/>
          <w:kern w:val="0"/>
          <w:szCs w:val="21"/>
          <w:highlight w:val="none"/>
        </w:rPr>
        <w:t>联合体投标。联合体投标的，应满足下列要求：</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69" w:name="_Toc17372"/>
      <w:bookmarkStart w:id="70" w:name="_Toc287607731"/>
      <w:bookmarkStart w:id="71" w:name="_Toc75856974"/>
      <w:bookmarkStart w:id="72" w:name="_Toc200359430"/>
      <w:bookmarkStart w:id="73" w:name="_Toc224103302"/>
      <w:bookmarkStart w:id="74" w:name="_Toc13507"/>
      <w:bookmarkStart w:id="75" w:name="_Toc277082539"/>
      <w:bookmarkStart w:id="76" w:name="_Toc26039"/>
      <w:bookmarkStart w:id="77" w:name="_Toc1975"/>
      <w:bookmarkStart w:id="78" w:name="_Toc200359241"/>
      <w:bookmarkStart w:id="79" w:name="_Toc287620670"/>
      <w:bookmarkStart w:id="80" w:name="_Toc9499"/>
      <w:bookmarkStart w:id="81" w:name="_Toc509218695"/>
      <w:bookmarkStart w:id="82" w:name="_Toc430530419"/>
      <w:r>
        <w:rPr>
          <w:rFonts w:ascii="宋体" w:hAnsi="宋体"/>
          <w:snapToGrid w:val="0"/>
          <w:sz w:val="28"/>
          <w:szCs w:val="28"/>
          <w:highlight w:val="none"/>
        </w:rPr>
        <w:t>4. 招标文件的获取</w:t>
      </w:r>
      <w:bookmarkEnd w:id="69"/>
      <w:bookmarkEnd w:id="70"/>
      <w:bookmarkEnd w:id="71"/>
      <w:bookmarkEnd w:id="72"/>
      <w:bookmarkEnd w:id="73"/>
      <w:bookmarkEnd w:id="74"/>
      <w:bookmarkEnd w:id="75"/>
      <w:bookmarkEnd w:id="76"/>
      <w:bookmarkEnd w:id="77"/>
      <w:bookmarkEnd w:id="78"/>
      <w:bookmarkEnd w:id="79"/>
      <w:bookmarkEnd w:id="80"/>
      <w:bookmarkEnd w:id="81"/>
      <w:bookmarkEnd w:id="82"/>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hint="eastAsia" w:ascii="宋体" w:hAnsi="宋体"/>
          <w:snapToGrid w:val="0"/>
          <w:kern w:val="0"/>
          <w:szCs w:val="21"/>
          <w:highlight w:val="none"/>
        </w:rPr>
        <w:t xml:space="preserve">4.1 </w:t>
      </w:r>
      <w:r>
        <w:rPr>
          <w:rFonts w:ascii="宋体" w:hAnsi="宋体"/>
          <w:snapToGrid w:val="0"/>
          <w:kern w:val="0"/>
          <w:szCs w:val="21"/>
          <w:highlight w:val="none"/>
        </w:rPr>
        <w:t>本招标项目采用</w:t>
      </w:r>
      <w:r>
        <w:rPr>
          <w:rFonts w:hint="eastAsia" w:ascii="宋体" w:hAnsi="宋体"/>
          <w:snapToGrid w:val="0"/>
          <w:kern w:val="0"/>
          <w:szCs w:val="21"/>
          <w:highlight w:val="none"/>
        </w:rPr>
        <w:t>全流程电子</w:t>
      </w:r>
      <w:r>
        <w:rPr>
          <w:rFonts w:ascii="宋体" w:hAnsi="宋体"/>
          <w:snapToGrid w:val="0"/>
          <w:kern w:val="0"/>
          <w:szCs w:val="21"/>
          <w:highlight w:val="none"/>
        </w:rPr>
        <w:t>招投标，投标人在投标前可在</w:t>
      </w:r>
      <w:r>
        <w:rPr>
          <w:rFonts w:hint="eastAsia" w:ascii="宋体" w:hAnsi="宋体"/>
          <w:snapToGrid w:val="0"/>
          <w:kern w:val="0"/>
          <w:szCs w:val="21"/>
          <w:highlight w:val="none"/>
          <w:u w:val="single"/>
        </w:rPr>
        <w:t>重庆市公共资源交易网（www.cqggzy.com）</w:t>
      </w:r>
      <w:r>
        <w:rPr>
          <w:rFonts w:hint="eastAsia" w:ascii="宋体" w:hAnsi="宋体"/>
          <w:i/>
          <w:szCs w:val="21"/>
          <w:highlight w:val="none"/>
        </w:rPr>
        <w:t>[提示：下载地址采用其他网址的应注明，下同]</w:t>
      </w:r>
      <w:r>
        <w:rPr>
          <w:rFonts w:ascii="宋体" w:hAnsi="宋体"/>
          <w:snapToGrid w:val="0"/>
          <w:kern w:val="0"/>
          <w:szCs w:val="21"/>
          <w:highlight w:val="none"/>
        </w:rPr>
        <w:t>下载招标文件</w:t>
      </w:r>
      <w:r>
        <w:rPr>
          <w:rFonts w:hint="eastAsia" w:ascii="宋体" w:hAnsi="宋体"/>
          <w:snapToGrid w:val="0"/>
          <w:kern w:val="0"/>
          <w:szCs w:val="21"/>
          <w:highlight w:val="none"/>
        </w:rPr>
        <w:t>及其</w:t>
      </w:r>
      <w:r>
        <w:rPr>
          <w:rFonts w:ascii="宋体" w:hAnsi="宋体"/>
          <w:snapToGrid w:val="0"/>
          <w:kern w:val="0"/>
          <w:szCs w:val="21"/>
          <w:highlight w:val="none"/>
        </w:rPr>
        <w:t>附件、澄清、修改、补充通知、最高限价通知等资料。参与投标的投标人</w:t>
      </w:r>
      <w:r>
        <w:rPr>
          <w:rFonts w:hint="eastAsia" w:ascii="宋体" w:hAnsi="宋体"/>
          <w:snapToGrid w:val="0"/>
          <w:kern w:val="0"/>
          <w:szCs w:val="21"/>
          <w:highlight w:val="none"/>
        </w:rPr>
        <w:t>需在</w:t>
      </w:r>
      <w:r>
        <w:rPr>
          <w:rFonts w:hint="eastAsia" w:ascii="宋体" w:hAnsi="宋体"/>
          <w:snapToGrid w:val="0"/>
          <w:kern w:val="0"/>
          <w:szCs w:val="21"/>
          <w:highlight w:val="none"/>
          <w:u w:val="single"/>
        </w:rPr>
        <w:t>重庆市公共资源交易网（www.cqggzy.com）</w:t>
      </w:r>
      <w:r>
        <w:rPr>
          <w:rFonts w:hint="eastAsia" w:ascii="宋体" w:hAnsi="宋体"/>
          <w:snapToGrid w:val="0"/>
          <w:kern w:val="0"/>
          <w:szCs w:val="21"/>
          <w:highlight w:val="none"/>
        </w:rPr>
        <w:t>完成市场主体信息登记以及 CA 数字证书办理，办理方式请参见</w:t>
      </w:r>
      <w:r>
        <w:rPr>
          <w:rFonts w:hint="eastAsia" w:ascii="宋体" w:hAnsi="宋体"/>
          <w:snapToGrid w:val="0"/>
          <w:kern w:val="0"/>
          <w:szCs w:val="21"/>
          <w:highlight w:val="none"/>
          <w:u w:val="single"/>
        </w:rPr>
        <w:t>重庆市公共资源交易网（www.cqggzy.com）</w:t>
      </w:r>
      <w:r>
        <w:rPr>
          <w:rFonts w:hint="eastAsia" w:ascii="宋体" w:hAnsi="宋体"/>
          <w:snapToGrid w:val="0"/>
          <w:kern w:val="0"/>
          <w:szCs w:val="21"/>
          <w:highlight w:val="none"/>
        </w:rPr>
        <w:t>导航栏“主体信息”页面中“市场主体信息登记”“CA 数字证书办理”。若投标人未及时完成市场主体信息登记和 CA 数字证书办理导致无法完成全流程电子招投标的，责任自负</w:t>
      </w:r>
      <w:r>
        <w:rPr>
          <w:rFonts w:ascii="宋体" w:hAnsi="宋体"/>
          <w:snapToGrid w:val="0"/>
          <w:kern w:val="0"/>
          <w:szCs w:val="21"/>
          <w:highlight w:val="none"/>
        </w:rPr>
        <w:t>。</w:t>
      </w:r>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hint="eastAsia" w:ascii="宋体" w:hAnsi="宋体"/>
          <w:snapToGrid w:val="0"/>
          <w:kern w:val="0"/>
          <w:szCs w:val="21"/>
          <w:highlight w:val="none"/>
        </w:rPr>
        <w:t>4.2 投标人可在</w:t>
      </w:r>
      <w:r>
        <w:rPr>
          <w:rFonts w:hint="eastAsia" w:ascii="宋体" w:hAnsi="宋体"/>
          <w:snapToGrid w:val="0"/>
          <w:color w:val="auto"/>
          <w:kern w:val="0"/>
          <w:szCs w:val="21"/>
          <w:highlight w:val="none"/>
        </w:rPr>
        <w:t>附件招标公告规定的时限内在</w:t>
      </w:r>
      <w:r>
        <w:rPr>
          <w:rFonts w:hint="eastAsia" w:ascii="宋体" w:hAnsi="宋体"/>
          <w:snapToGrid w:val="0"/>
          <w:kern w:val="0"/>
          <w:szCs w:val="21"/>
          <w:highlight w:val="none"/>
          <w:u w:val="single"/>
        </w:rPr>
        <w:t>重庆市公共资源交易网（www.cqggzy.com）</w:t>
      </w:r>
      <w:r>
        <w:rPr>
          <w:rFonts w:hint="eastAsia" w:ascii="宋体" w:hAnsi="宋体"/>
          <w:snapToGrid w:val="0"/>
          <w:kern w:val="0"/>
          <w:szCs w:val="21"/>
          <w:highlight w:val="none"/>
        </w:rPr>
        <w:t>本项目招标公告网页下方“我要提问”栏提出疑问。</w:t>
      </w:r>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jc w:val="left"/>
        <w:textAlignment w:val="auto"/>
        <w:rPr>
          <w:rFonts w:ascii="宋体" w:hAnsi="宋体"/>
          <w:snapToGrid w:val="0"/>
          <w:kern w:val="0"/>
          <w:szCs w:val="21"/>
          <w:highlight w:val="none"/>
        </w:rPr>
      </w:pPr>
      <w:r>
        <w:rPr>
          <w:rFonts w:hint="eastAsia" w:ascii="宋体" w:hAnsi="宋体"/>
          <w:snapToGrid w:val="0"/>
          <w:kern w:val="0"/>
          <w:szCs w:val="21"/>
          <w:highlight w:val="none"/>
        </w:rPr>
        <w:t>4.3 招标人应</w:t>
      </w:r>
      <w:r>
        <w:rPr>
          <w:rFonts w:hint="eastAsia" w:ascii="宋体" w:hAnsi="宋体"/>
          <w:snapToGrid w:val="0"/>
          <w:color w:val="auto"/>
          <w:kern w:val="0"/>
          <w:szCs w:val="21"/>
          <w:highlight w:val="none"/>
        </w:rPr>
        <w:t>在附件招标公告规定的时限内</w:t>
      </w:r>
      <w:r>
        <w:rPr>
          <w:rFonts w:hint="eastAsia" w:ascii="宋体" w:hAnsi="宋体"/>
          <w:snapToGrid w:val="0"/>
          <w:kern w:val="0"/>
          <w:szCs w:val="21"/>
          <w:highlight w:val="none"/>
        </w:rPr>
        <w:t>在</w:t>
      </w:r>
      <w:r>
        <w:rPr>
          <w:rFonts w:hint="eastAsia" w:ascii="宋体" w:hAnsi="宋体"/>
          <w:snapToGrid w:val="0"/>
          <w:kern w:val="0"/>
          <w:szCs w:val="21"/>
          <w:highlight w:val="none"/>
          <w:u w:val="single"/>
        </w:rPr>
        <w:t>重庆市公共资源交易网（www.cqggzy.com）</w:t>
      </w:r>
      <w:r>
        <w:rPr>
          <w:rFonts w:hint="eastAsia" w:ascii="宋体" w:hAnsi="宋体"/>
          <w:snapToGrid w:val="0"/>
          <w:kern w:val="0"/>
          <w:szCs w:val="21"/>
          <w:highlight w:val="none"/>
        </w:rPr>
        <w:t>发布澄清或修改。</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83" w:name="_Toc224103303"/>
      <w:bookmarkStart w:id="84" w:name="_Toc200359431"/>
      <w:bookmarkStart w:id="85" w:name="_Toc287607732"/>
      <w:bookmarkStart w:id="86" w:name="_Toc31202"/>
      <w:bookmarkStart w:id="87" w:name="_Toc430530420"/>
      <w:bookmarkStart w:id="88" w:name="_Toc509218696"/>
      <w:bookmarkStart w:id="89" w:name="_Toc13387"/>
      <w:bookmarkStart w:id="90" w:name="_Toc75856975"/>
      <w:bookmarkStart w:id="91" w:name="_Toc3209"/>
      <w:bookmarkStart w:id="92" w:name="_Toc21309"/>
      <w:bookmarkStart w:id="93" w:name="_Toc200359242"/>
      <w:bookmarkStart w:id="94" w:name="_Toc287620671"/>
      <w:bookmarkStart w:id="95" w:name="_Toc277082540"/>
      <w:bookmarkStart w:id="96" w:name="_Toc11587"/>
      <w:r>
        <w:rPr>
          <w:rFonts w:ascii="宋体" w:hAnsi="宋体"/>
          <w:snapToGrid w:val="0"/>
          <w:sz w:val="28"/>
          <w:szCs w:val="28"/>
          <w:highlight w:val="none"/>
        </w:rPr>
        <w:t>5. 投标文件的递交</w:t>
      </w:r>
      <w:bookmarkEnd w:id="83"/>
      <w:bookmarkEnd w:id="84"/>
      <w:bookmarkEnd w:id="85"/>
      <w:bookmarkEnd w:id="86"/>
      <w:bookmarkEnd w:id="87"/>
      <w:bookmarkEnd w:id="88"/>
      <w:bookmarkEnd w:id="89"/>
      <w:bookmarkEnd w:id="90"/>
      <w:bookmarkEnd w:id="91"/>
      <w:bookmarkEnd w:id="92"/>
      <w:bookmarkEnd w:id="93"/>
      <w:bookmarkEnd w:id="94"/>
      <w:bookmarkEnd w:id="95"/>
      <w:bookmarkEnd w:id="96"/>
    </w:p>
    <w:p>
      <w:pPr>
        <w:pageBreakBefore w:val="0"/>
        <w:widowControl w:val="0"/>
        <w:tabs>
          <w:tab w:val="left" w:pos="2000"/>
          <w:tab w:val="left" w:pos="5580"/>
          <w:tab w:val="left" w:pos="6220"/>
          <w:tab w:val="left" w:pos="6840"/>
          <w:tab w:val="left" w:pos="7460"/>
          <w:tab w:val="left" w:pos="8100"/>
        </w:tabs>
        <w:kinsoku/>
        <w:wordWrap/>
        <w:overflowPunct/>
        <w:topLinePunct w:val="0"/>
        <w:autoSpaceDE w:val="0"/>
        <w:autoSpaceDN w:val="0"/>
        <w:bidi w:val="0"/>
        <w:adjustRightInd w:val="0"/>
        <w:snapToGrid w:val="0"/>
        <w:spacing w:line="360" w:lineRule="auto"/>
        <w:ind w:firstLine="420" w:firstLineChars="200"/>
        <w:textAlignment w:val="auto"/>
        <w:rPr>
          <w:rFonts w:ascii="宋体" w:hAnsi="宋体"/>
          <w:snapToGrid w:val="0"/>
          <w:kern w:val="0"/>
          <w:szCs w:val="21"/>
          <w:highlight w:val="none"/>
        </w:rPr>
      </w:pPr>
      <w:r>
        <w:rPr>
          <w:rFonts w:ascii="宋体" w:hAnsi="宋体"/>
          <w:snapToGrid w:val="0"/>
          <w:kern w:val="0"/>
          <w:szCs w:val="21"/>
          <w:highlight w:val="none"/>
        </w:rPr>
        <w:t>5.1 投标文件递交的截止时间（投标截止时间，下同）</w:t>
      </w:r>
      <w:r>
        <w:rPr>
          <w:rFonts w:hint="eastAsia" w:ascii="宋体" w:hAnsi="宋体"/>
          <w:snapToGrid w:val="0"/>
          <w:color w:val="auto"/>
          <w:kern w:val="0"/>
          <w:szCs w:val="21"/>
          <w:highlight w:val="none"/>
        </w:rPr>
        <w:t>详见附件招标公告规定的投标截止时间</w:t>
      </w:r>
      <w:r>
        <w:rPr>
          <w:rFonts w:ascii="宋体" w:hAnsi="宋体"/>
          <w:snapToGrid w:val="0"/>
          <w:kern w:val="0"/>
          <w:szCs w:val="21"/>
          <w:highlight w:val="none"/>
        </w:rPr>
        <w:t>，</w:t>
      </w:r>
      <w:r>
        <w:rPr>
          <w:rFonts w:hint="eastAsia" w:ascii="宋体" w:hAnsi="宋体"/>
          <w:snapToGrid w:val="0"/>
          <w:kern w:val="0"/>
          <w:szCs w:val="21"/>
          <w:highlight w:val="none"/>
        </w:rPr>
        <w:t>投标人应当在投标截止时间前，通过互联网使用CA数字证书登录重庆市电子招投标系统（https://ztb.cqggzy.com/CQTPBidder/memberLogin，下同），将加密的电子投标文件上传。</w:t>
      </w:r>
    </w:p>
    <w:p>
      <w:pPr>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snapToGrid w:val="0"/>
          <w:kern w:val="0"/>
          <w:szCs w:val="21"/>
          <w:highlight w:val="none"/>
        </w:rPr>
      </w:pPr>
      <w:r>
        <w:rPr>
          <w:rFonts w:ascii="宋体" w:hAnsi="宋体"/>
          <w:snapToGrid w:val="0"/>
          <w:kern w:val="0"/>
          <w:szCs w:val="21"/>
          <w:highlight w:val="none"/>
        </w:rPr>
        <w:t xml:space="preserve">5.2 </w:t>
      </w:r>
      <w:r>
        <w:rPr>
          <w:rFonts w:hint="eastAsia" w:ascii="宋体" w:hAnsi="宋体"/>
          <w:snapToGrid w:val="0"/>
          <w:kern w:val="0"/>
          <w:szCs w:val="21"/>
          <w:highlight w:val="none"/>
        </w:rPr>
        <w:t>未按要求加密的电子投标文件，将无法上传至重庆市电子招投标系统，逾期未完成上传投标文件的，视为撤回投标文件。</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97" w:name="_Toc17153"/>
      <w:bookmarkStart w:id="98" w:name="_Toc15512"/>
      <w:bookmarkStart w:id="99" w:name="_Toc509218697"/>
      <w:bookmarkStart w:id="100" w:name="_Toc200359243"/>
      <w:bookmarkStart w:id="101" w:name="_Toc287620672"/>
      <w:bookmarkStart w:id="102" w:name="_Toc224103304"/>
      <w:bookmarkStart w:id="103" w:name="_Toc430530421"/>
      <w:bookmarkStart w:id="104" w:name="_Toc19778"/>
      <w:bookmarkStart w:id="105" w:name="_Toc200359432"/>
      <w:bookmarkStart w:id="106" w:name="_Toc15205"/>
      <w:bookmarkStart w:id="107" w:name="_Toc75856976"/>
      <w:bookmarkStart w:id="108" w:name="_Toc7046"/>
      <w:bookmarkStart w:id="109" w:name="_Toc287607733"/>
      <w:bookmarkStart w:id="110" w:name="_Toc277082541"/>
      <w:r>
        <w:rPr>
          <w:rFonts w:ascii="宋体" w:hAnsi="宋体"/>
          <w:snapToGrid w:val="0"/>
          <w:sz w:val="28"/>
          <w:szCs w:val="28"/>
          <w:highlight w:val="none"/>
        </w:rPr>
        <w:t>6. 发布公告的媒介</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pPr>
        <w:pageBreakBefore w:val="0"/>
        <w:widowControl w:val="0"/>
        <w:tabs>
          <w:tab w:val="left" w:pos="4950"/>
        </w:tabs>
        <w:kinsoku/>
        <w:wordWrap/>
        <w:overflowPunct/>
        <w:topLinePunct w:val="0"/>
        <w:autoSpaceDE w:val="0"/>
        <w:autoSpaceDN w:val="0"/>
        <w:bidi w:val="0"/>
        <w:adjustRightInd w:val="0"/>
        <w:snapToGrid w:val="0"/>
        <w:spacing w:line="360" w:lineRule="auto"/>
        <w:ind w:firstLine="420" w:firstLineChars="200"/>
        <w:textAlignment w:val="auto"/>
        <w:rPr>
          <w:rFonts w:ascii="宋体" w:hAnsi="宋体"/>
          <w:snapToGrid w:val="0"/>
          <w:kern w:val="0"/>
          <w:szCs w:val="21"/>
          <w:highlight w:val="none"/>
        </w:rPr>
      </w:pPr>
      <w:r>
        <w:rPr>
          <w:rFonts w:ascii="宋体" w:hAnsi="宋体"/>
          <w:snapToGrid w:val="0"/>
          <w:kern w:val="0"/>
          <w:szCs w:val="21"/>
          <w:highlight w:val="none"/>
        </w:rPr>
        <w:t>本次招标公告同时在</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（发布公告的媒介名称）</w:t>
      </w:r>
      <w:r>
        <w:rPr>
          <w:rFonts w:ascii="宋体" w:hAnsi="宋体"/>
          <w:snapToGrid w:val="0"/>
          <w:kern w:val="0"/>
          <w:szCs w:val="21"/>
          <w:highlight w:val="none"/>
        </w:rPr>
        <w:t>上发布。</w:t>
      </w:r>
    </w:p>
    <w:p>
      <w:pPr>
        <w:pageBreakBefore w:val="0"/>
        <w:widowControl w:val="0"/>
        <w:tabs>
          <w:tab w:val="left" w:pos="4950"/>
        </w:tabs>
        <w:kinsoku/>
        <w:wordWrap/>
        <w:overflowPunct/>
        <w:topLinePunct w:val="0"/>
        <w:autoSpaceDE w:val="0"/>
        <w:autoSpaceDN w:val="0"/>
        <w:bidi w:val="0"/>
        <w:adjustRightInd w:val="0"/>
        <w:snapToGrid w:val="0"/>
        <w:spacing w:line="360" w:lineRule="auto"/>
        <w:ind w:firstLine="420" w:firstLineChars="200"/>
        <w:textAlignment w:val="auto"/>
        <w:rPr>
          <w:rFonts w:ascii="宋体" w:hAnsi="宋体"/>
          <w:snapToGrid w:val="0"/>
          <w:kern w:val="0"/>
          <w:szCs w:val="21"/>
          <w:highlight w:val="none"/>
        </w:rPr>
      </w:pPr>
      <w:r>
        <w:rPr>
          <w:rFonts w:hint="eastAsia" w:ascii="宋体" w:hAnsi="宋体"/>
          <w:i/>
          <w:snapToGrid w:val="0"/>
          <w:kern w:val="0"/>
          <w:szCs w:val="21"/>
          <w:highlight w:val="none"/>
        </w:rPr>
        <w:t>[提示：依法必须招标项目的招标公告，必须在重庆市公共资源交易监督网发布。]</w:t>
      </w:r>
    </w:p>
    <w:p>
      <w:pPr>
        <w:pStyle w:val="4"/>
        <w:keepNext/>
        <w:keepLines/>
        <w:pageBreakBefore w:val="0"/>
        <w:widowControl w:val="0"/>
        <w:kinsoku/>
        <w:wordWrap/>
        <w:overflowPunct/>
        <w:topLinePunct w:val="0"/>
        <w:autoSpaceDE/>
        <w:autoSpaceDN/>
        <w:bidi w:val="0"/>
        <w:adjustRightInd/>
        <w:snapToGrid/>
        <w:spacing w:before="0" w:after="100" w:line="360" w:lineRule="auto"/>
        <w:textAlignment w:val="auto"/>
        <w:rPr>
          <w:rFonts w:ascii="宋体" w:hAnsi="宋体"/>
          <w:snapToGrid w:val="0"/>
          <w:sz w:val="28"/>
          <w:szCs w:val="28"/>
          <w:highlight w:val="none"/>
        </w:rPr>
      </w:pPr>
      <w:bookmarkStart w:id="111" w:name="_Toc224103305"/>
      <w:bookmarkStart w:id="112" w:name="_Toc509218698"/>
      <w:bookmarkStart w:id="113" w:name="_Toc11447"/>
      <w:bookmarkStart w:id="114" w:name="_Toc287620673"/>
      <w:bookmarkStart w:id="115" w:name="_Toc287607734"/>
      <w:bookmarkStart w:id="116" w:name="_Toc2109"/>
      <w:bookmarkStart w:id="117" w:name="_Toc821"/>
      <w:bookmarkStart w:id="118" w:name="_Toc75856977"/>
      <w:bookmarkStart w:id="119" w:name="_Toc277082542"/>
      <w:bookmarkStart w:id="120" w:name="_Toc6839"/>
      <w:bookmarkStart w:id="121" w:name="_Toc16061"/>
      <w:bookmarkStart w:id="122" w:name="_Toc430530422"/>
      <w:r>
        <w:rPr>
          <w:rFonts w:ascii="宋体" w:hAnsi="宋体"/>
          <w:snapToGrid w:val="0"/>
          <w:sz w:val="28"/>
          <w:szCs w:val="28"/>
          <w:highlight w:val="none"/>
        </w:rPr>
        <w:t>7. 联系方式</w:t>
      </w:r>
      <w:bookmarkEnd w:id="111"/>
      <w:bookmarkEnd w:id="112"/>
      <w:bookmarkEnd w:id="113"/>
      <w:bookmarkEnd w:id="114"/>
      <w:bookmarkEnd w:id="115"/>
      <w:bookmarkEnd w:id="116"/>
      <w:bookmarkEnd w:id="117"/>
      <w:bookmarkEnd w:id="118"/>
      <w:bookmarkEnd w:id="119"/>
      <w:bookmarkEnd w:id="120"/>
      <w:bookmarkEnd w:id="121"/>
      <w:bookmarkEnd w:id="122"/>
    </w:p>
    <w:p>
      <w:pPr>
        <w:pageBreakBefore w:val="0"/>
        <w:widowControl w:val="0"/>
        <w:tabs>
          <w:tab w:val="left" w:pos="5140"/>
          <w:tab w:val="left" w:pos="85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招 标 人：</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招标代理机构：</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地    址：</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地    址：</w:t>
      </w:r>
      <w:r>
        <w:rPr>
          <w:rFonts w:ascii="宋体" w:hAnsi="宋体"/>
          <w:snapToGrid w:val="0"/>
          <w:kern w:val="0"/>
          <w:position w:val="-3"/>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position w:val="-3"/>
          <w:szCs w:val="21"/>
          <w:highlight w:val="none"/>
        </w:rPr>
        <w:t>邮    编：</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w:t>
      </w:r>
      <w:r>
        <w:rPr>
          <w:rFonts w:ascii="宋体" w:hAnsi="宋体"/>
          <w:snapToGrid w:val="0"/>
          <w:kern w:val="0"/>
          <w:position w:val="-3"/>
          <w:szCs w:val="21"/>
          <w:highlight w:val="none"/>
        </w:rPr>
        <w:t>邮    编：</w:t>
      </w:r>
      <w:r>
        <w:rPr>
          <w:rFonts w:ascii="宋体" w:hAnsi="宋体"/>
          <w:snapToGrid w:val="0"/>
          <w:kern w:val="0"/>
          <w:position w:val="-3"/>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联 系 人：</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联 系 人：</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电    话：</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电    话：</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ascii="宋体" w:hAnsi="宋体"/>
          <w:snapToGrid w:val="0"/>
          <w:kern w:val="0"/>
          <w:szCs w:val="21"/>
          <w:highlight w:val="none"/>
        </w:rPr>
        <w:t>传    真：</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传    真：</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电子邮件：</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电子邮件：</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开户银行：</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开户银行：</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ascii="宋体" w:hAnsi="宋体"/>
          <w:snapToGrid w:val="0"/>
          <w:kern w:val="0"/>
          <w:szCs w:val="21"/>
          <w:highlight w:val="none"/>
        </w:rPr>
        <w:t>账    号：</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账    号：</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jc w:val="left"/>
        <w:textAlignment w:val="auto"/>
        <w:rPr>
          <w:rFonts w:ascii="宋体" w:hAnsi="宋体"/>
          <w:snapToGrid w:val="0"/>
          <w:kern w:val="0"/>
          <w:szCs w:val="21"/>
          <w:highlight w:val="none"/>
          <w:u w:val="single"/>
        </w:rPr>
      </w:pPr>
    </w:p>
    <w:p>
      <w:pPr>
        <w:pageBreakBefore w:val="0"/>
        <w:widowControl w:val="0"/>
        <w:kinsoku/>
        <w:wordWrap/>
        <w:overflowPunct/>
        <w:topLinePunct w:val="0"/>
        <w:autoSpaceDE w:val="0"/>
        <w:autoSpaceDN w:val="0"/>
        <w:bidi w:val="0"/>
        <w:adjustRightInd w:val="0"/>
        <w:snapToGrid w:val="0"/>
        <w:spacing w:line="360" w:lineRule="auto"/>
        <w:ind w:firstLine="3906" w:firstLineChars="1860"/>
        <w:jc w:val="right"/>
        <w:textAlignment w:val="auto"/>
        <w:rPr>
          <w:rFonts w:ascii="宋体" w:hAnsi="宋体"/>
          <w:snapToGrid w:val="0"/>
          <w:kern w:val="0"/>
          <w:sz w:val="20"/>
          <w:szCs w:val="20"/>
          <w:highlight w:val="none"/>
        </w:rPr>
      </w:pPr>
      <w:r>
        <w:rPr>
          <w:rFonts w:ascii="宋体" w:hAnsi="宋体"/>
          <w:snapToGrid w:val="0"/>
          <w:kern w:val="0"/>
          <w:szCs w:val="21"/>
          <w:highlight w:val="none"/>
          <w:u w:val="single"/>
        </w:rPr>
        <w:t xml:space="preserve">         </w:t>
      </w:r>
      <w:r>
        <w:rPr>
          <w:rFonts w:ascii="宋体" w:hAnsi="宋体"/>
          <w:snapToGrid w:val="0"/>
          <w:kern w:val="0"/>
          <w:szCs w:val="21"/>
          <w:highlight w:val="none"/>
        </w:rPr>
        <w:t>年</w:t>
      </w:r>
      <w:r>
        <w:rPr>
          <w:rFonts w:ascii="宋体" w:hAnsi="宋体"/>
          <w:snapToGrid w:val="0"/>
          <w:kern w:val="0"/>
          <w:szCs w:val="21"/>
          <w:highlight w:val="none"/>
          <w:u w:val="single"/>
        </w:rPr>
        <w:t xml:space="preserve">      </w:t>
      </w:r>
      <w:r>
        <w:rPr>
          <w:rFonts w:ascii="宋体" w:hAnsi="宋体"/>
          <w:snapToGrid w:val="0"/>
          <w:kern w:val="0"/>
          <w:szCs w:val="21"/>
          <w:highlight w:val="none"/>
        </w:rPr>
        <w:t>月</w:t>
      </w:r>
      <w:r>
        <w:rPr>
          <w:rFonts w:ascii="宋体" w:hAnsi="宋体"/>
          <w:snapToGrid w:val="0"/>
          <w:kern w:val="0"/>
          <w:szCs w:val="21"/>
          <w:highlight w:val="none"/>
          <w:u w:val="single"/>
        </w:rPr>
        <w:t xml:space="preserve">      </w:t>
      </w:r>
      <w:r>
        <w:rPr>
          <w:rFonts w:ascii="宋体" w:hAnsi="宋体"/>
          <w:snapToGrid w:val="0"/>
          <w:kern w:val="0"/>
          <w:szCs w:val="21"/>
          <w:highlight w:val="none"/>
        </w:rPr>
        <w:t>日</w:t>
      </w:r>
      <w:r>
        <w:rPr>
          <w:rFonts w:hint="eastAsia" w:ascii="宋体" w:hAnsi="宋体"/>
          <w:snapToGrid w:val="0"/>
          <w:kern w:val="0"/>
          <w:szCs w:val="21"/>
          <w:highlight w:val="none"/>
        </w:rPr>
        <w:t xml:space="preserve">  </w:t>
      </w:r>
    </w:p>
    <w:p>
      <w:pPr>
        <w:tabs>
          <w:tab w:val="left" w:pos="5140"/>
          <w:tab w:val="left" w:pos="8420"/>
        </w:tabs>
        <w:autoSpaceDE w:val="0"/>
        <w:autoSpaceDN w:val="0"/>
        <w:adjustRightInd w:val="0"/>
        <w:snapToGrid w:val="0"/>
        <w:spacing w:before="0" w:after="0" w:line="400" w:lineRule="exact"/>
        <w:jc w:val="left"/>
        <w:rPr>
          <w:rFonts w:ascii="宋体" w:hAnsi="宋体"/>
          <w:snapToGrid w:val="0"/>
          <w:kern w:val="0"/>
          <w:szCs w:val="21"/>
          <w:highlight w:val="none"/>
        </w:rPr>
      </w:pPr>
      <w:r>
        <w:rPr>
          <w:rFonts w:ascii="宋体" w:hAnsi="宋体"/>
          <w:snapToGrid w:val="0"/>
          <w:kern w:val="0"/>
          <w:szCs w:val="21"/>
          <w:highlight w:val="none"/>
        </w:rPr>
        <w:br w:type="page"/>
      </w:r>
      <w:bookmarkStart w:id="123" w:name="_Toc224103306"/>
      <w:bookmarkStart w:id="124" w:name="_Toc287620674"/>
      <w:bookmarkStart w:id="125" w:name="_Toc287607735"/>
      <w:bookmarkStart w:id="126" w:name="_Toc430530423"/>
    </w:p>
    <w:p>
      <w:pPr>
        <w:pStyle w:val="3"/>
        <w:spacing w:line="360" w:lineRule="auto"/>
        <w:jc w:val="center"/>
        <w:rPr>
          <w:rFonts w:ascii="宋体" w:hAnsi="宋体"/>
          <w:snapToGrid w:val="0"/>
          <w:highlight w:val="none"/>
        </w:rPr>
      </w:pPr>
      <w:bookmarkStart w:id="127" w:name="_Toc19452"/>
      <w:bookmarkStart w:id="128" w:name="_Toc17545"/>
      <w:bookmarkStart w:id="129" w:name="_Toc15802"/>
      <w:bookmarkStart w:id="130" w:name="_Toc7685"/>
      <w:bookmarkStart w:id="131" w:name="_Toc28723"/>
      <w:bookmarkStart w:id="132" w:name="_Toc509218699"/>
      <w:bookmarkStart w:id="133" w:name="_Toc75856978"/>
      <w:r>
        <w:rPr>
          <w:rFonts w:ascii="宋体" w:hAnsi="宋体"/>
          <w:snapToGrid w:val="0"/>
          <w:highlight w:val="none"/>
        </w:rPr>
        <w:t>第一章  投标邀请书（</w:t>
      </w:r>
      <w:r>
        <w:rPr>
          <w:rFonts w:hint="eastAsia" w:ascii="宋体" w:hAnsi="宋体"/>
          <w:snapToGrid w:val="0"/>
          <w:highlight w:val="none"/>
        </w:rPr>
        <w:t>适用于邀请招标</w:t>
      </w:r>
      <w:r>
        <w:rPr>
          <w:rFonts w:ascii="宋体" w:hAnsi="宋体"/>
          <w:snapToGrid w:val="0"/>
          <w:highlight w:val="none"/>
        </w:rPr>
        <w:t>）</w:t>
      </w:r>
      <w:bookmarkEnd w:id="123"/>
      <w:bookmarkEnd w:id="124"/>
      <w:bookmarkEnd w:id="125"/>
      <w:bookmarkEnd w:id="126"/>
      <w:bookmarkEnd w:id="127"/>
      <w:bookmarkEnd w:id="128"/>
      <w:bookmarkEnd w:id="129"/>
      <w:bookmarkEnd w:id="130"/>
      <w:bookmarkEnd w:id="131"/>
      <w:bookmarkEnd w:id="132"/>
      <w:bookmarkEnd w:id="133"/>
    </w:p>
    <w:p>
      <w:pPr>
        <w:pageBreakBefore w:val="0"/>
        <w:widowControl w:val="0"/>
        <w:tabs>
          <w:tab w:val="left" w:pos="3425"/>
          <w:tab w:val="left" w:pos="5520"/>
        </w:tabs>
        <w:kinsoku/>
        <w:wordWrap/>
        <w:overflowPunct/>
        <w:topLinePunct w:val="0"/>
        <w:autoSpaceDE w:val="0"/>
        <w:autoSpaceDN w:val="0"/>
        <w:bidi w:val="0"/>
        <w:adjustRightInd w:val="0"/>
        <w:snapToGrid w:val="0"/>
        <w:spacing w:line="360" w:lineRule="auto"/>
        <w:jc w:val="center"/>
        <w:textAlignment w:val="auto"/>
        <w:rPr>
          <w:rFonts w:ascii="宋体" w:hAnsi="宋体"/>
          <w:kern w:val="0"/>
          <w:sz w:val="28"/>
          <w:szCs w:val="28"/>
          <w:highlight w:val="none"/>
        </w:rPr>
      </w:pPr>
      <w:r>
        <w:rPr>
          <w:rFonts w:hint="eastAsia" w:ascii="宋体" w:hAnsi="宋体"/>
          <w:snapToGrid w:val="0"/>
          <w:kern w:val="0"/>
          <w:szCs w:val="21"/>
          <w:highlight w:val="none"/>
          <w:u w:val="single"/>
        </w:rPr>
        <w:t xml:space="preserve">                 </w:t>
      </w:r>
      <w:r>
        <w:rPr>
          <w:rFonts w:ascii="宋体" w:hAnsi="宋体"/>
          <w:sz w:val="28"/>
          <w:szCs w:val="28"/>
          <w:highlight w:val="none"/>
          <w:u w:val="single"/>
        </w:rPr>
        <w:t>（项目名称）</w:t>
      </w:r>
      <w:r>
        <w:rPr>
          <w:rFonts w:ascii="宋体" w:hAnsi="宋体"/>
          <w:w w:val="99"/>
          <w:kern w:val="0"/>
          <w:sz w:val="28"/>
          <w:szCs w:val="28"/>
          <w:highlight w:val="none"/>
        </w:rPr>
        <w:t>投标邀请书</w:t>
      </w:r>
    </w:p>
    <w:p>
      <w:pPr>
        <w:pageBreakBefore w:val="0"/>
        <w:widowControl w:val="0"/>
        <w:tabs>
          <w:tab w:val="left" w:pos="2940"/>
        </w:tabs>
        <w:kinsoku/>
        <w:wordWrap/>
        <w:overflowPunct/>
        <w:topLinePunct w:val="0"/>
        <w:autoSpaceDE w:val="0"/>
        <w:autoSpaceDN w:val="0"/>
        <w:bidi w:val="0"/>
        <w:adjustRightInd w:val="0"/>
        <w:snapToGrid w:val="0"/>
        <w:spacing w:line="360" w:lineRule="auto"/>
        <w:jc w:val="left"/>
        <w:textAlignment w:val="auto"/>
        <w:rPr>
          <w:rFonts w:ascii="宋体" w:hAnsi="宋体"/>
          <w:b/>
          <w:snapToGrid w:val="0"/>
          <w:sz w:val="28"/>
          <w:szCs w:val="28"/>
          <w:highlight w:val="none"/>
        </w:rPr>
      </w:pP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（被邀请单位名称）</w:t>
      </w:r>
      <w:r>
        <w:rPr>
          <w:rFonts w:ascii="宋体" w:hAnsi="宋体"/>
          <w:b/>
          <w:snapToGrid w:val="0"/>
          <w:kern w:val="0"/>
          <w:szCs w:val="21"/>
          <w:highlight w:val="none"/>
        </w:rPr>
        <w:t>：</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134" w:name="_Toc287607736"/>
      <w:bookmarkStart w:id="135" w:name="_Toc277082543"/>
      <w:bookmarkStart w:id="136" w:name="_Toc30848"/>
      <w:bookmarkStart w:id="137" w:name="_Toc23953"/>
      <w:bookmarkStart w:id="138" w:name="_Toc224103307"/>
      <w:bookmarkStart w:id="139" w:name="_Toc430530424"/>
      <w:bookmarkStart w:id="140" w:name="_Toc75856979"/>
      <w:bookmarkStart w:id="141" w:name="_Toc509218700"/>
      <w:bookmarkStart w:id="142" w:name="_Toc813"/>
      <w:bookmarkStart w:id="143" w:name="_Toc32699"/>
      <w:bookmarkStart w:id="144" w:name="_Toc1285"/>
      <w:bookmarkStart w:id="145" w:name="_Toc287620675"/>
      <w:r>
        <w:rPr>
          <w:rFonts w:ascii="宋体" w:hAnsi="宋体"/>
          <w:snapToGrid w:val="0"/>
          <w:sz w:val="28"/>
          <w:szCs w:val="28"/>
          <w:highlight w:val="none"/>
        </w:rPr>
        <w:t>1. 招标条件</w:t>
      </w:r>
      <w:bookmarkEnd w:id="134"/>
      <w:bookmarkEnd w:id="135"/>
      <w:bookmarkEnd w:id="136"/>
      <w:bookmarkEnd w:id="137"/>
      <w:bookmarkEnd w:id="138"/>
      <w:bookmarkEnd w:id="139"/>
      <w:bookmarkEnd w:id="140"/>
      <w:bookmarkEnd w:id="141"/>
      <w:bookmarkEnd w:id="142"/>
      <w:bookmarkEnd w:id="143"/>
      <w:bookmarkEnd w:id="144"/>
      <w:bookmarkEnd w:id="145"/>
    </w:p>
    <w:p>
      <w:pPr>
        <w:pageBreakBefore w:val="0"/>
        <w:widowControl w:val="0"/>
        <w:tabs>
          <w:tab w:val="left" w:pos="4305"/>
          <w:tab w:val="left" w:pos="4640"/>
          <w:tab w:val="left" w:pos="7240"/>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ascii="宋体" w:hAnsi="宋体"/>
          <w:snapToGrid w:val="0"/>
          <w:kern w:val="0"/>
          <w:szCs w:val="21"/>
          <w:highlight w:val="none"/>
        </w:rPr>
        <w:t>本招标项目</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w:t>
      </w:r>
      <w:r>
        <w:rPr>
          <w:rFonts w:hint="eastAsia" w:ascii="宋体" w:hAnsi="宋体"/>
          <w:snapToGrid w:val="0"/>
          <w:kern w:val="0"/>
          <w:szCs w:val="21"/>
          <w:highlight w:val="none"/>
          <w:u w:val="single"/>
        </w:rPr>
        <w:t>工程</w:t>
      </w:r>
      <w:r>
        <w:rPr>
          <w:rFonts w:ascii="宋体" w:hAnsi="宋体"/>
          <w:snapToGrid w:val="0"/>
          <w:kern w:val="0"/>
          <w:szCs w:val="21"/>
          <w:highlight w:val="none"/>
          <w:u w:val="single"/>
        </w:rPr>
        <w:t>名称）</w:t>
      </w:r>
      <w:r>
        <w:rPr>
          <w:rFonts w:ascii="宋体" w:hAnsi="宋体"/>
          <w:snapToGrid w:val="0"/>
          <w:kern w:val="0"/>
          <w:szCs w:val="21"/>
          <w:highlight w:val="none"/>
        </w:rPr>
        <w:t>已由</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（项目审批、 核准</w:t>
      </w:r>
      <w:r>
        <w:rPr>
          <w:rFonts w:hint="eastAsia" w:ascii="宋体" w:hAnsi="宋体"/>
          <w:snapToGrid w:val="0"/>
          <w:kern w:val="0"/>
          <w:szCs w:val="21"/>
          <w:highlight w:val="none"/>
          <w:u w:val="single"/>
        </w:rPr>
        <w:t>、</w:t>
      </w:r>
      <w:r>
        <w:rPr>
          <w:rFonts w:ascii="宋体" w:hAnsi="宋体"/>
          <w:snapToGrid w:val="0"/>
          <w:kern w:val="0"/>
          <w:szCs w:val="21"/>
          <w:highlight w:val="none"/>
          <w:u w:val="single"/>
        </w:rPr>
        <w:t>备案机关或相关部门名称）</w:t>
      </w:r>
      <w:r>
        <w:rPr>
          <w:rFonts w:ascii="宋体" w:hAnsi="宋体"/>
          <w:snapToGrid w:val="0"/>
          <w:kern w:val="0"/>
          <w:szCs w:val="21"/>
          <w:highlight w:val="none"/>
        </w:rPr>
        <w:t>以</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（批文名称及编号）</w:t>
      </w:r>
      <w:r>
        <w:rPr>
          <w:rFonts w:ascii="宋体" w:hAnsi="宋体"/>
          <w:snapToGrid w:val="0"/>
          <w:kern w:val="0"/>
          <w:szCs w:val="21"/>
          <w:highlight w:val="none"/>
        </w:rPr>
        <w:t>批准建设，项目业主为</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，建设资金来自</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（资金来源）</w:t>
      </w:r>
      <w:r>
        <w:rPr>
          <w:rFonts w:ascii="宋体" w:hAnsi="宋体"/>
          <w:snapToGrid w:val="0"/>
          <w:kern w:val="0"/>
          <w:szCs w:val="21"/>
          <w:highlight w:val="none"/>
        </w:rPr>
        <w:t>，项目出资比例为</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，招标人为</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。项目已具备招标条件，现邀请你单位参加</w:t>
      </w:r>
      <w:r>
        <w:rPr>
          <w:rFonts w:hint="eastAsia" w:ascii="宋体" w:hAnsi="宋体"/>
          <w:snapToGrid w:val="0"/>
          <w:kern w:val="0"/>
          <w:szCs w:val="21"/>
          <w:highlight w:val="none"/>
          <w:u w:val="single"/>
        </w:rPr>
        <w:t>该工程的勘察</w:t>
      </w:r>
      <w:r>
        <w:rPr>
          <w:rFonts w:ascii="宋体" w:hAnsi="宋体"/>
          <w:snapToGrid w:val="0"/>
          <w:kern w:val="0"/>
          <w:szCs w:val="21"/>
          <w:highlight w:val="none"/>
        </w:rPr>
        <w:t>投标。</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146" w:name="_Toc287607737"/>
      <w:bookmarkStart w:id="147" w:name="_Toc430530425"/>
      <w:bookmarkStart w:id="148" w:name="_Toc11986"/>
      <w:bookmarkStart w:id="149" w:name="_Toc75856980"/>
      <w:bookmarkStart w:id="150" w:name="_Toc17762"/>
      <w:bookmarkStart w:id="151" w:name="_Toc29899"/>
      <w:bookmarkStart w:id="152" w:name="_Toc4468"/>
      <w:bookmarkStart w:id="153" w:name="_Toc277082544"/>
      <w:bookmarkStart w:id="154" w:name="_Toc6949"/>
      <w:bookmarkStart w:id="155" w:name="_Toc224103308"/>
      <w:bookmarkStart w:id="156" w:name="_Toc287620676"/>
      <w:bookmarkStart w:id="157" w:name="_Toc509218701"/>
      <w:r>
        <w:rPr>
          <w:rFonts w:ascii="宋体" w:hAnsi="宋体"/>
          <w:snapToGrid w:val="0"/>
          <w:sz w:val="28"/>
          <w:szCs w:val="28"/>
          <w:highlight w:val="none"/>
        </w:rPr>
        <w:t>2. 项目概况与招标范围</w:t>
      </w:r>
      <w:bookmarkEnd w:id="146"/>
      <w:bookmarkEnd w:id="147"/>
      <w:bookmarkEnd w:id="148"/>
      <w:bookmarkEnd w:id="149"/>
      <w:bookmarkEnd w:id="150"/>
      <w:bookmarkEnd w:id="151"/>
      <w:bookmarkEnd w:id="152"/>
      <w:bookmarkEnd w:id="153"/>
      <w:bookmarkEnd w:id="154"/>
      <w:bookmarkEnd w:id="155"/>
      <w:bookmarkEnd w:id="156"/>
      <w:bookmarkEnd w:id="157"/>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hint="eastAsia" w:ascii="宋体" w:hAnsi="宋体"/>
          <w:snapToGrid w:val="0"/>
          <w:kern w:val="0"/>
          <w:szCs w:val="21"/>
          <w:highlight w:val="none"/>
        </w:rPr>
        <w:t>2.1 建设地点：</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2.2 项目概况与建设规模：</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i/>
          <w:snapToGrid w:val="0"/>
          <w:kern w:val="0"/>
          <w:szCs w:val="21"/>
          <w:highlight w:val="none"/>
        </w:rPr>
      </w:pPr>
      <w:r>
        <w:rPr>
          <w:rFonts w:hint="eastAsia" w:ascii="宋体" w:hAnsi="宋体"/>
          <w:i/>
          <w:snapToGrid w:val="0"/>
          <w:kern w:val="0"/>
          <w:szCs w:val="21"/>
          <w:highlight w:val="none"/>
        </w:rPr>
        <w:t>[提示：</w:t>
      </w:r>
      <w:r>
        <w:rPr>
          <w:rFonts w:hint="eastAsia" w:ascii="宋体" w:hAnsi="宋体"/>
          <w:i/>
          <w:szCs w:val="21"/>
          <w:highlight w:val="none"/>
        </w:rPr>
        <w:t>说明本项目的项目性质、建设规模、勘察等级、设计规模或等级、抗震设防烈度及防洪等级</w:t>
      </w:r>
      <w:r>
        <w:rPr>
          <w:rFonts w:hint="eastAsia" w:ascii="宋体" w:hAnsi="宋体"/>
          <w:i/>
          <w:snapToGrid w:val="0"/>
          <w:kern w:val="0"/>
          <w:szCs w:val="21"/>
          <w:highlight w:val="none"/>
        </w:rPr>
        <w:t>等。若设置投标人业绩资格或评分要求，应体现上述对应的规模参数。]</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szCs w:val="21"/>
          <w:highlight w:val="none"/>
          <w:u w:val="single"/>
        </w:rPr>
      </w:pPr>
      <w:r>
        <w:rPr>
          <w:rFonts w:hint="eastAsia" w:ascii="宋体" w:hAnsi="宋体"/>
          <w:snapToGrid w:val="0"/>
          <w:kern w:val="0"/>
          <w:szCs w:val="21"/>
          <w:highlight w:val="none"/>
        </w:rPr>
        <w:t>2.3 □本次招标项目</w:t>
      </w:r>
      <w:r>
        <w:rPr>
          <w:rFonts w:hint="eastAsia" w:ascii="宋体" w:hAnsi="宋体"/>
          <w:szCs w:val="21"/>
          <w:highlight w:val="none"/>
        </w:rPr>
        <w:t>投资估算金额：</w:t>
      </w:r>
      <w:r>
        <w:rPr>
          <w:rFonts w:hint="eastAsia" w:ascii="宋体" w:hAnsi="宋体"/>
          <w:szCs w:val="21"/>
          <w:highlight w:val="none"/>
          <w:u w:val="single"/>
        </w:rPr>
        <w:t xml:space="preserve">                    </w:t>
      </w:r>
    </w:p>
    <w:p>
      <w:pPr>
        <w:pageBreakBefore w:val="0"/>
        <w:widowControl w:val="0"/>
        <w:kinsoku/>
        <w:wordWrap/>
        <w:overflowPunct/>
        <w:topLinePunct w:val="0"/>
        <w:autoSpaceDE w:val="0"/>
        <w:autoSpaceDN w:val="0"/>
        <w:bidi w:val="0"/>
        <w:adjustRightInd w:val="0"/>
        <w:snapToGrid w:val="0"/>
        <w:spacing w:line="360" w:lineRule="auto"/>
        <w:ind w:firstLine="840" w:firstLineChars="400"/>
        <w:textAlignment w:val="auto"/>
        <w:rPr>
          <w:rFonts w:hint="eastAsia" w:ascii="宋体" w:hAnsi="宋体"/>
          <w:iCs/>
          <w:szCs w:val="21"/>
          <w:highlight w:val="none"/>
        </w:rPr>
      </w:pPr>
      <w:r>
        <w:rPr>
          <w:rFonts w:hint="eastAsia" w:ascii="宋体" w:hAnsi="宋体"/>
          <w:snapToGrid w:val="0"/>
          <w:kern w:val="0"/>
          <w:szCs w:val="21"/>
          <w:highlight w:val="none"/>
        </w:rPr>
        <w:t>□本次招标项目</w:t>
      </w:r>
      <w:r>
        <w:rPr>
          <w:rFonts w:hint="eastAsia" w:ascii="宋体" w:hAnsi="宋体"/>
          <w:iCs/>
          <w:szCs w:val="21"/>
          <w:highlight w:val="none"/>
        </w:rPr>
        <w:t>工程费估算金额</w:t>
      </w:r>
      <w:r>
        <w:rPr>
          <w:rFonts w:hint="eastAsia" w:ascii="宋体" w:hAnsi="宋体"/>
          <w:szCs w:val="21"/>
          <w:highlight w:val="none"/>
        </w:rPr>
        <w:t>：</w:t>
      </w:r>
      <w:r>
        <w:rPr>
          <w:rFonts w:hint="eastAsia" w:ascii="宋体" w:hAnsi="宋体"/>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840" w:firstLineChars="400"/>
        <w:jc w:val="left"/>
        <w:textAlignment w:val="auto"/>
        <w:rPr>
          <w:rFonts w:ascii="宋体" w:hAnsi="宋体"/>
          <w:snapToGrid w:val="0"/>
          <w:kern w:val="0"/>
          <w:szCs w:val="21"/>
          <w:highlight w:val="none"/>
          <w:u w:val="single"/>
        </w:rPr>
      </w:pPr>
      <w:r>
        <w:rPr>
          <w:rFonts w:hint="eastAsia" w:ascii="宋体" w:hAnsi="宋体"/>
          <w:snapToGrid w:val="0"/>
          <w:kern w:val="0"/>
          <w:szCs w:val="21"/>
          <w:highlight w:val="none"/>
        </w:rPr>
        <w:t>□本次招标项目勘察</w:t>
      </w:r>
      <w:r>
        <w:rPr>
          <w:rFonts w:hint="eastAsia" w:ascii="宋体" w:hAnsi="宋体"/>
          <w:szCs w:val="21"/>
          <w:highlight w:val="none"/>
        </w:rPr>
        <w:t>合同估算</w:t>
      </w:r>
      <w:r>
        <w:rPr>
          <w:rFonts w:hint="eastAsia" w:ascii="宋体" w:hAnsi="宋体"/>
          <w:szCs w:val="21"/>
          <w:highlight w:val="none"/>
          <w:lang w:val="en-US" w:eastAsia="zh-CN"/>
        </w:rPr>
        <w:t>金</w:t>
      </w:r>
      <w:r>
        <w:rPr>
          <w:rFonts w:hint="eastAsia" w:ascii="宋体" w:hAnsi="宋体"/>
          <w:szCs w:val="21"/>
          <w:highlight w:val="none"/>
        </w:rPr>
        <w:t>额：</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hint="eastAsia" w:ascii="宋体" w:hAnsi="宋体"/>
          <w:snapToGrid w:val="0"/>
          <w:kern w:val="0"/>
          <w:szCs w:val="21"/>
          <w:highlight w:val="none"/>
        </w:rPr>
        <w:t>2.4 招标范围：</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hint="eastAsia" w:ascii="宋体" w:hAnsi="宋体"/>
          <w:i/>
          <w:snapToGrid w:val="0"/>
          <w:kern w:val="0"/>
          <w:szCs w:val="21"/>
          <w:highlight w:val="none"/>
        </w:rPr>
        <w:t>[提示：</w:t>
      </w:r>
      <w:r>
        <w:rPr>
          <w:rFonts w:ascii="宋体" w:hAnsi="宋体"/>
          <w:i/>
          <w:szCs w:val="21"/>
          <w:highlight w:val="none"/>
        </w:rPr>
        <w:t>招标范围应准确明了，</w:t>
      </w:r>
      <w:r>
        <w:rPr>
          <w:rFonts w:hint="eastAsia" w:ascii="宋体" w:hAnsi="宋体"/>
          <w:i/>
          <w:szCs w:val="21"/>
          <w:highlight w:val="none"/>
        </w:rPr>
        <w:t>按照项目审批、核准、备案文件</w:t>
      </w:r>
      <w:r>
        <w:rPr>
          <w:rFonts w:hint="eastAsia" w:ascii="宋体" w:hAnsi="宋体"/>
          <w:i/>
          <w:szCs w:val="21"/>
          <w:highlight w:val="none"/>
          <w:lang w:val="en-US" w:eastAsia="zh-CN"/>
        </w:rPr>
        <w:t>及相关文件</w:t>
      </w:r>
      <w:r>
        <w:rPr>
          <w:rFonts w:ascii="宋体" w:hAnsi="宋体"/>
          <w:i/>
          <w:szCs w:val="21"/>
          <w:highlight w:val="none"/>
        </w:rPr>
        <w:t>采用工程专业术语</w:t>
      </w:r>
      <w:r>
        <w:rPr>
          <w:rFonts w:hint="eastAsia" w:ascii="宋体" w:hAnsi="宋体"/>
          <w:i/>
          <w:szCs w:val="21"/>
          <w:highlight w:val="none"/>
        </w:rPr>
        <w:t>进行</w:t>
      </w:r>
      <w:r>
        <w:rPr>
          <w:rFonts w:ascii="宋体" w:hAnsi="宋体"/>
          <w:i/>
          <w:szCs w:val="21"/>
          <w:highlight w:val="none"/>
        </w:rPr>
        <w:t>填写</w:t>
      </w:r>
      <w:r>
        <w:rPr>
          <w:rFonts w:hint="eastAsia" w:ascii="宋体" w:hAnsi="宋体"/>
          <w:i/>
          <w:szCs w:val="21"/>
          <w:highlight w:val="none"/>
        </w:rPr>
        <w:t>。</w:t>
      </w:r>
      <w:r>
        <w:rPr>
          <w:rFonts w:hint="eastAsia" w:ascii="宋体" w:hAnsi="宋体"/>
          <w:i/>
          <w:snapToGrid w:val="0"/>
          <w:kern w:val="0"/>
          <w:szCs w:val="21"/>
          <w:highlight w:val="none"/>
        </w:rPr>
        <w:t>]</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hint="eastAsia" w:ascii="宋体" w:hAnsi="宋体"/>
          <w:snapToGrid w:val="0"/>
          <w:kern w:val="0"/>
          <w:szCs w:val="21"/>
          <w:highlight w:val="none"/>
        </w:rPr>
        <w:t>2.5 勘察服务期限：</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2.6 标段划分（如有）：</w:t>
      </w:r>
      <w:r>
        <w:rPr>
          <w:rFonts w:hint="eastAsia" w:ascii="宋体" w:hAnsi="宋体"/>
          <w:snapToGrid w:val="0"/>
          <w:kern w:val="0"/>
          <w:szCs w:val="21"/>
          <w:highlight w:val="none"/>
          <w:u w:val="single"/>
        </w:rPr>
        <w:t xml:space="preserve">        </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2.7 其他：</w:t>
      </w:r>
      <w:r>
        <w:rPr>
          <w:rFonts w:hint="eastAsia" w:ascii="宋体" w:hAnsi="宋体"/>
          <w:snapToGrid w:val="0"/>
          <w:kern w:val="0"/>
          <w:szCs w:val="21"/>
          <w:highlight w:val="none"/>
          <w:u w:val="single"/>
        </w:rPr>
        <w:t xml:space="preserve">        </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158" w:name="_Toc22841"/>
      <w:bookmarkStart w:id="159" w:name="_Toc32449"/>
      <w:bookmarkStart w:id="160" w:name="_Toc10545"/>
      <w:bookmarkStart w:id="161" w:name="_Toc6401"/>
      <w:bookmarkStart w:id="162" w:name="_Toc287620677"/>
      <w:bookmarkStart w:id="163" w:name="_Toc287607738"/>
      <w:bookmarkStart w:id="164" w:name="_Toc75856981"/>
      <w:bookmarkStart w:id="165" w:name="_Toc430530426"/>
      <w:bookmarkStart w:id="166" w:name="_Toc509218702"/>
      <w:bookmarkStart w:id="167" w:name="_Toc1453"/>
      <w:bookmarkStart w:id="168" w:name="_Toc277082545"/>
      <w:bookmarkStart w:id="169" w:name="_Toc224103309"/>
      <w:r>
        <w:rPr>
          <w:rFonts w:ascii="宋体" w:hAnsi="宋体"/>
          <w:snapToGrid w:val="0"/>
          <w:sz w:val="28"/>
          <w:szCs w:val="28"/>
          <w:highlight w:val="none"/>
        </w:rPr>
        <w:t>3. 投标人资格要求</w:t>
      </w:r>
      <w:bookmarkEnd w:id="158"/>
      <w:bookmarkEnd w:id="159"/>
      <w:bookmarkEnd w:id="160"/>
      <w:bookmarkEnd w:id="161"/>
      <w:bookmarkEnd w:id="162"/>
      <w:bookmarkEnd w:id="163"/>
      <w:bookmarkEnd w:id="164"/>
      <w:bookmarkEnd w:id="165"/>
      <w:bookmarkEnd w:id="166"/>
      <w:bookmarkEnd w:id="167"/>
      <w:bookmarkEnd w:id="168"/>
      <w:bookmarkEnd w:id="169"/>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3.1 本次招标要求投标人须具备</w:t>
      </w:r>
      <w:r>
        <w:rPr>
          <w:rFonts w:hint="eastAsia" w:ascii="宋体" w:hAnsi="宋体"/>
          <w:snapToGrid w:val="0"/>
          <w:kern w:val="0"/>
          <w:szCs w:val="21"/>
          <w:highlight w:val="none"/>
        </w:rPr>
        <w:t>以下条件：</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3.1.1 本次招标要求投标人具备的资质条件：</w:t>
      </w:r>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hint="eastAsia" w:ascii="宋体" w:hAnsi="宋体"/>
          <w:snapToGrid w:val="0"/>
          <w:kern w:val="0"/>
          <w:szCs w:val="21"/>
          <w:highlight w:val="none"/>
        </w:rPr>
        <w:t>投标人应具有建设行政主管部门颁发的下列资质之一：</w:t>
      </w:r>
    </w:p>
    <w:p>
      <w:pPr>
        <w:pageBreakBefore w:val="0"/>
        <w:widowControl w:val="0"/>
        <w:kinsoku/>
        <w:wordWrap/>
        <w:overflowPunct/>
        <w:topLinePunct w:val="0"/>
        <w:autoSpaceDE w:val="0"/>
        <w:autoSpaceDN w:val="0"/>
        <w:bidi w:val="0"/>
        <w:adjustRightInd w:val="0"/>
        <w:snapToGrid w:val="0"/>
        <w:spacing w:line="360" w:lineRule="auto"/>
        <w:ind w:firstLine="630" w:firstLineChars="300"/>
        <w:textAlignment w:val="auto"/>
        <w:rPr>
          <w:rFonts w:ascii="宋体" w:hAnsi="宋体"/>
          <w:szCs w:val="21"/>
          <w:highlight w:val="none"/>
        </w:rPr>
      </w:pPr>
      <w:r>
        <w:rPr>
          <w:rFonts w:hint="eastAsia" w:ascii="宋体" w:hAnsi="宋体"/>
          <w:szCs w:val="21"/>
          <w:highlight w:val="none"/>
        </w:rPr>
        <w:t>①工程勘察综合甲级资质。</w:t>
      </w:r>
    </w:p>
    <w:p>
      <w:pPr>
        <w:pageBreakBefore w:val="0"/>
        <w:widowControl w:val="0"/>
        <w:kinsoku/>
        <w:wordWrap/>
        <w:overflowPunct/>
        <w:topLinePunct w:val="0"/>
        <w:autoSpaceDE w:val="0"/>
        <w:autoSpaceDN w:val="0"/>
        <w:bidi w:val="0"/>
        <w:adjustRightInd w:val="0"/>
        <w:snapToGrid w:val="0"/>
        <w:spacing w:line="360" w:lineRule="auto"/>
        <w:ind w:firstLine="630" w:firstLineChars="300"/>
        <w:textAlignment w:val="auto"/>
        <w:rPr>
          <w:rFonts w:ascii="宋体" w:hAnsi="宋体"/>
          <w:szCs w:val="21"/>
          <w:highlight w:val="none"/>
        </w:rPr>
      </w:pPr>
      <w:r>
        <w:rPr>
          <w:rFonts w:hint="eastAsia" w:ascii="宋体" w:hAnsi="宋体"/>
          <w:szCs w:val="21"/>
          <w:highlight w:val="none"/>
        </w:rPr>
        <w:t>②工程勘察专业类</w:t>
      </w:r>
      <w:r>
        <w:rPr>
          <w:rFonts w:hint="eastAsia" w:ascii="宋体" w:hAnsi="宋体"/>
          <w:szCs w:val="21"/>
          <w:highlight w:val="none"/>
          <w:u w:val="single"/>
        </w:rPr>
        <w:t xml:space="preserve">          级及以上</w:t>
      </w:r>
      <w:r>
        <w:rPr>
          <w:rFonts w:hint="eastAsia" w:ascii="宋体" w:hAnsi="宋体"/>
          <w:szCs w:val="21"/>
          <w:highlight w:val="none"/>
        </w:rPr>
        <w:t>资质</w:t>
      </w:r>
      <w:r>
        <w:rPr>
          <w:rFonts w:ascii="宋体" w:hAnsi="宋体"/>
          <w:szCs w:val="21"/>
          <w:highlight w:val="none"/>
        </w:rPr>
        <w:t>。</w:t>
      </w:r>
      <w:r>
        <w:rPr>
          <w:rFonts w:hint="eastAsia" w:ascii="宋体" w:hAnsi="宋体"/>
          <w:i/>
          <w:szCs w:val="21"/>
          <w:highlight w:val="none"/>
        </w:rPr>
        <w:t>[</w:t>
      </w:r>
      <w:r>
        <w:rPr>
          <w:rFonts w:hint="eastAsia" w:ascii="宋体" w:hAnsi="宋体"/>
          <w:i/>
          <w:szCs w:val="21"/>
          <w:highlight w:val="none"/>
          <w:lang w:eastAsia="zh-CN"/>
        </w:rPr>
        <w:t>提示：</w:t>
      </w:r>
      <w:r>
        <w:rPr>
          <w:rFonts w:hint="eastAsia" w:ascii="宋体" w:hAnsi="宋体"/>
          <w:i/>
          <w:szCs w:val="21"/>
          <w:highlight w:val="none"/>
        </w:rPr>
        <w:t>根据项目实际需求可增加勘察专业类资质。]</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i/>
          <w:szCs w:val="21"/>
          <w:highlight w:val="none"/>
        </w:rPr>
      </w:pPr>
      <w:r>
        <w:rPr>
          <w:rFonts w:hint="eastAsia" w:ascii="宋体" w:hAnsi="宋体"/>
          <w:i/>
          <w:szCs w:val="21"/>
          <w:highlight w:val="none"/>
        </w:rPr>
        <w:t xml:space="preserve"> [提示：资质的设定应执行《住房和城乡建设部关于印发&lt;工程勘察资质标准&gt;的通知》（建市</w:t>
      </w:r>
      <w:r>
        <w:rPr>
          <w:rFonts w:hint="eastAsia" w:ascii="宋体" w:hAnsi="宋体"/>
          <w:i/>
          <w:szCs w:val="21"/>
          <w:highlight w:val="none"/>
          <w:lang w:eastAsia="zh-CN"/>
        </w:rPr>
        <w:t>〔2013〕</w:t>
      </w:r>
      <w:r>
        <w:rPr>
          <w:rFonts w:hint="eastAsia" w:ascii="宋体" w:hAnsi="宋体"/>
          <w:i/>
          <w:szCs w:val="21"/>
          <w:highlight w:val="none"/>
        </w:rPr>
        <w:t>9号）及其修订、配套、补充文件的现行规定。]</w:t>
      </w:r>
    </w:p>
    <w:p>
      <w:pPr>
        <w:pageBreakBefore w:val="0"/>
        <w:widowControl w:val="0"/>
        <w:tabs>
          <w:tab w:val="left" w:pos="3840"/>
          <w:tab w:val="left" w:pos="5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3.1.2 投标人还应在人员、业绩、设备、资金等方面具有相应的勘察能力，详见招标文件第二章投标人须知前附表第1.4.1项内容。</w:t>
      </w:r>
    </w:p>
    <w:p>
      <w:pPr>
        <w:pageBreakBefore w:val="0"/>
        <w:widowControl w:val="0"/>
        <w:tabs>
          <w:tab w:val="left" w:pos="2060"/>
          <w:tab w:val="left" w:pos="8205"/>
        </w:tabs>
        <w:kinsoku/>
        <w:wordWrap/>
        <w:overflowPunct/>
        <w:topLinePunct w:val="0"/>
        <w:autoSpaceDE w:val="0"/>
        <w:autoSpaceDN w:val="0"/>
        <w:bidi w:val="0"/>
        <w:adjustRightInd w:val="0"/>
        <w:snapToGrid w:val="0"/>
        <w:spacing w:line="360" w:lineRule="auto"/>
        <w:ind w:firstLine="405" w:firstLineChars="193"/>
        <w:jc w:val="left"/>
        <w:textAlignment w:val="auto"/>
        <w:rPr>
          <w:rFonts w:ascii="宋体" w:hAnsi="宋体"/>
          <w:snapToGrid w:val="0"/>
          <w:kern w:val="0"/>
          <w:szCs w:val="21"/>
          <w:highlight w:val="none"/>
        </w:rPr>
      </w:pPr>
      <w:r>
        <w:rPr>
          <w:rFonts w:ascii="宋体" w:hAnsi="宋体"/>
          <w:snapToGrid w:val="0"/>
          <w:kern w:val="0"/>
          <w:szCs w:val="21"/>
          <w:highlight w:val="none"/>
        </w:rPr>
        <w:t>3.2 你单位</w:t>
      </w:r>
      <w:r>
        <w:rPr>
          <w:rFonts w:hint="eastAsia" w:ascii="宋体" w:hAnsi="宋体"/>
          <w:snapToGrid w:val="0"/>
          <w:kern w:val="0"/>
          <w:szCs w:val="21"/>
          <w:highlight w:val="none"/>
        </w:rPr>
        <w:t>□可以 □不可以</w:t>
      </w:r>
      <w:r>
        <w:rPr>
          <w:rFonts w:ascii="宋体" w:hAnsi="宋体"/>
          <w:snapToGrid w:val="0"/>
          <w:kern w:val="0"/>
          <w:szCs w:val="21"/>
          <w:highlight w:val="none"/>
        </w:rPr>
        <w:t>组成联合体投标。联合体投标的，应满足下列要求：</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170" w:name="_Toc75856982"/>
      <w:bookmarkStart w:id="171" w:name="_Toc19046"/>
      <w:bookmarkStart w:id="172" w:name="_Toc14438"/>
      <w:bookmarkStart w:id="173" w:name="_Toc430530427"/>
      <w:bookmarkStart w:id="174" w:name="_Toc509218703"/>
      <w:bookmarkStart w:id="175" w:name="_Toc7890"/>
      <w:bookmarkStart w:id="176" w:name="_Toc277082546"/>
      <w:bookmarkStart w:id="177" w:name="_Toc27755"/>
      <w:bookmarkStart w:id="178" w:name="_Toc287607739"/>
      <w:bookmarkStart w:id="179" w:name="_Toc287620678"/>
      <w:bookmarkStart w:id="180" w:name="_Toc224103310"/>
      <w:bookmarkStart w:id="181" w:name="_Toc30331"/>
      <w:r>
        <w:rPr>
          <w:rFonts w:ascii="宋体" w:hAnsi="宋体"/>
          <w:snapToGrid w:val="0"/>
          <w:sz w:val="28"/>
          <w:szCs w:val="28"/>
          <w:highlight w:val="none"/>
        </w:rPr>
        <w:t>4. 招标文件的获取</w:t>
      </w:r>
      <w:bookmarkEnd w:id="170"/>
      <w:bookmarkEnd w:id="171"/>
      <w:bookmarkEnd w:id="172"/>
      <w:bookmarkEnd w:id="173"/>
      <w:bookmarkEnd w:id="174"/>
      <w:bookmarkEnd w:id="175"/>
      <w:bookmarkEnd w:id="176"/>
      <w:bookmarkEnd w:id="177"/>
      <w:bookmarkEnd w:id="178"/>
      <w:bookmarkEnd w:id="179"/>
      <w:bookmarkEnd w:id="180"/>
      <w:bookmarkEnd w:id="181"/>
    </w:p>
    <w:p>
      <w:pPr>
        <w:pageBreakBefore w:val="0"/>
        <w:widowControl w:val="0"/>
        <w:tabs>
          <w:tab w:val="left" w:pos="525"/>
          <w:tab w:val="left" w:pos="5080"/>
        </w:tabs>
        <w:kinsoku/>
        <w:wordWrap/>
        <w:overflowPunct/>
        <w:topLinePunct w:val="0"/>
        <w:autoSpaceDE w:val="0"/>
        <w:autoSpaceDN w:val="0"/>
        <w:bidi w:val="0"/>
        <w:adjustRightInd w:val="0"/>
        <w:snapToGrid w:val="0"/>
        <w:spacing w:line="360" w:lineRule="auto"/>
        <w:ind w:firstLine="424" w:firstLineChars="202"/>
        <w:textAlignment w:val="auto"/>
        <w:rPr>
          <w:rFonts w:ascii="宋体" w:hAnsi="宋体"/>
          <w:snapToGrid w:val="0"/>
          <w:kern w:val="0"/>
          <w:szCs w:val="21"/>
          <w:highlight w:val="none"/>
        </w:rPr>
      </w:pPr>
      <w:bookmarkStart w:id="182" w:name="_Toc287620679"/>
      <w:bookmarkStart w:id="183" w:name="_Toc224103311"/>
      <w:bookmarkStart w:id="184" w:name="_Toc287607740"/>
      <w:bookmarkStart w:id="185" w:name="_Toc277082547"/>
      <w:r>
        <w:rPr>
          <w:rFonts w:ascii="宋体" w:hAnsi="宋体"/>
          <w:snapToGrid w:val="0"/>
          <w:kern w:val="0"/>
          <w:szCs w:val="21"/>
          <w:highlight w:val="none"/>
        </w:rPr>
        <w:t>4.</w:t>
      </w:r>
      <w:r>
        <w:rPr>
          <w:rFonts w:hint="eastAsia" w:ascii="宋体" w:hAnsi="宋体"/>
          <w:snapToGrid w:val="0"/>
          <w:kern w:val="0"/>
          <w:szCs w:val="21"/>
          <w:highlight w:val="none"/>
        </w:rPr>
        <w:t>1 本招标项目采用全流程电子招投标，招标人</w:t>
      </w:r>
      <w:r>
        <w:rPr>
          <w:rFonts w:ascii="宋体" w:hAnsi="宋体"/>
          <w:snapToGrid w:val="0"/>
          <w:kern w:val="0"/>
          <w:szCs w:val="21"/>
          <w:highlight w:val="none"/>
        </w:rPr>
        <w:t>必须将招标文件</w:t>
      </w:r>
      <w:r>
        <w:rPr>
          <w:rFonts w:hint="eastAsia" w:ascii="宋体" w:hAnsi="宋体"/>
          <w:snapToGrid w:val="0"/>
          <w:kern w:val="0"/>
          <w:szCs w:val="21"/>
          <w:highlight w:val="none"/>
        </w:rPr>
        <w:t>及其附件</w:t>
      </w:r>
      <w:r>
        <w:rPr>
          <w:rFonts w:ascii="宋体" w:hAnsi="宋体"/>
          <w:snapToGrid w:val="0"/>
          <w:kern w:val="0"/>
          <w:szCs w:val="21"/>
          <w:highlight w:val="none"/>
        </w:rPr>
        <w:t>、澄清、修改、补充通知、最高限价通知等全部招标资料</w:t>
      </w:r>
      <w:r>
        <w:rPr>
          <w:rFonts w:hint="eastAsia" w:ascii="宋体" w:hAnsi="宋体"/>
          <w:snapToGrid w:val="0"/>
          <w:kern w:val="0"/>
          <w:szCs w:val="21"/>
          <w:highlight w:val="none"/>
        </w:rPr>
        <w:t>通过重庆市电子招投标系统</w:t>
      </w:r>
      <w:r>
        <w:rPr>
          <w:rFonts w:ascii="宋体" w:hAnsi="宋体"/>
          <w:snapToGrid w:val="0"/>
          <w:kern w:val="0"/>
          <w:szCs w:val="21"/>
          <w:highlight w:val="none"/>
        </w:rPr>
        <w:t>送达所有被邀请投标人。</w:t>
      </w:r>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ascii="宋体" w:hAnsi="宋体"/>
          <w:snapToGrid w:val="0"/>
          <w:kern w:val="0"/>
          <w:szCs w:val="21"/>
          <w:highlight w:val="none"/>
        </w:rPr>
        <w:t>4.</w:t>
      </w:r>
      <w:r>
        <w:rPr>
          <w:rFonts w:hint="eastAsia" w:ascii="宋体" w:hAnsi="宋体"/>
          <w:snapToGrid w:val="0"/>
          <w:kern w:val="0"/>
          <w:szCs w:val="21"/>
          <w:highlight w:val="none"/>
        </w:rPr>
        <w:t>2 投标人</w:t>
      </w:r>
      <w:r>
        <w:rPr>
          <w:rFonts w:hint="eastAsia" w:ascii="宋体" w:hAnsi="宋体"/>
          <w:snapToGrid w:val="0"/>
          <w:color w:val="auto"/>
          <w:kern w:val="0"/>
          <w:szCs w:val="21"/>
          <w:highlight w:val="none"/>
          <w:lang w:val="en-US" w:eastAsia="zh-CN"/>
        </w:rPr>
        <w:t>可在附件投标邀请书规定的时限内</w:t>
      </w:r>
      <w:r>
        <w:rPr>
          <w:rFonts w:hint="eastAsia" w:ascii="宋体" w:hAnsi="宋体"/>
          <w:snapToGrid w:val="0"/>
          <w:kern w:val="0"/>
          <w:szCs w:val="21"/>
          <w:highlight w:val="none"/>
        </w:rPr>
        <w:t>通过重庆市电子招投标系统对本项目招标文件提出疑问，提问时间从收到推送的招标文件起至</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年</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月</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日</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时</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分</w:t>
      </w:r>
      <w:r>
        <w:rPr>
          <w:rFonts w:hint="eastAsia" w:ascii="宋体" w:hAnsi="宋体"/>
          <w:snapToGrid w:val="0"/>
          <w:kern w:val="0"/>
          <w:szCs w:val="21"/>
          <w:highlight w:val="none"/>
        </w:rPr>
        <w:t>（北京时间）前。</w:t>
      </w:r>
    </w:p>
    <w:p>
      <w:pPr>
        <w:pageBreakBefore w:val="0"/>
        <w:widowControl w:val="0"/>
        <w:tabs>
          <w:tab w:val="left" w:pos="2420"/>
          <w:tab w:val="left" w:pos="5445"/>
        </w:tabs>
        <w:kinsoku/>
        <w:wordWrap/>
        <w:overflowPunct/>
        <w:topLinePunct w:val="0"/>
        <w:autoSpaceDE w:val="0"/>
        <w:autoSpaceDN w:val="0"/>
        <w:bidi w:val="0"/>
        <w:adjustRightInd w:val="0"/>
        <w:snapToGrid w:val="0"/>
        <w:spacing w:line="360" w:lineRule="auto"/>
        <w:ind w:firstLine="420"/>
        <w:textAlignment w:val="auto"/>
        <w:rPr>
          <w:rFonts w:ascii="宋体" w:hAnsi="宋体"/>
          <w:snapToGrid w:val="0"/>
          <w:kern w:val="0"/>
          <w:szCs w:val="21"/>
          <w:highlight w:val="none"/>
        </w:rPr>
      </w:pPr>
      <w:r>
        <w:rPr>
          <w:rFonts w:ascii="宋体" w:hAnsi="宋体"/>
          <w:snapToGrid w:val="0"/>
          <w:kern w:val="0"/>
          <w:szCs w:val="21"/>
          <w:highlight w:val="none"/>
        </w:rPr>
        <w:t>4.</w:t>
      </w:r>
      <w:r>
        <w:rPr>
          <w:rFonts w:hint="eastAsia" w:ascii="宋体" w:hAnsi="宋体"/>
          <w:snapToGrid w:val="0"/>
          <w:kern w:val="0"/>
          <w:szCs w:val="21"/>
          <w:highlight w:val="none"/>
        </w:rPr>
        <w:t>3 招标人应</w:t>
      </w:r>
      <w:r>
        <w:rPr>
          <w:rFonts w:hint="eastAsia" w:ascii="宋体" w:hAnsi="宋体"/>
          <w:snapToGrid w:val="0"/>
          <w:color w:val="auto"/>
          <w:kern w:val="0"/>
          <w:szCs w:val="21"/>
          <w:highlight w:val="none"/>
          <w:lang w:val="en-US" w:eastAsia="zh-CN"/>
        </w:rPr>
        <w:t>在附件投标邀请书规定的时限内</w:t>
      </w:r>
      <w:r>
        <w:rPr>
          <w:rFonts w:hint="eastAsia" w:ascii="宋体" w:hAnsi="宋体"/>
          <w:snapToGrid w:val="0"/>
          <w:kern w:val="0"/>
          <w:szCs w:val="21"/>
          <w:highlight w:val="none"/>
        </w:rPr>
        <w:t>通过重庆市电子招投标系统发布澄清或修改</w:t>
      </w:r>
      <w:r>
        <w:rPr>
          <w:rFonts w:ascii="宋体" w:hAnsi="宋体"/>
          <w:snapToGrid w:val="0"/>
          <w:kern w:val="0"/>
          <w:szCs w:val="21"/>
          <w:highlight w:val="none"/>
        </w:rPr>
        <w:t>。</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186" w:name="_Toc30125"/>
      <w:bookmarkStart w:id="187" w:name="_Toc32587"/>
      <w:bookmarkStart w:id="188" w:name="_Toc75856983"/>
      <w:bookmarkStart w:id="189" w:name="_Toc430530428"/>
      <w:bookmarkStart w:id="190" w:name="_Toc509218704"/>
      <w:bookmarkStart w:id="191" w:name="_Toc8714"/>
      <w:bookmarkStart w:id="192" w:name="_Toc12614"/>
      <w:bookmarkStart w:id="193" w:name="_Toc31671"/>
      <w:r>
        <w:rPr>
          <w:rFonts w:ascii="宋体" w:hAnsi="宋体"/>
          <w:snapToGrid w:val="0"/>
          <w:sz w:val="28"/>
          <w:szCs w:val="28"/>
          <w:highlight w:val="none"/>
        </w:rPr>
        <w:t>5. 投标文件的递交</w:t>
      </w:r>
      <w:bookmarkEnd w:id="182"/>
      <w:bookmarkEnd w:id="183"/>
      <w:bookmarkEnd w:id="184"/>
      <w:bookmarkEnd w:id="185"/>
      <w:bookmarkEnd w:id="186"/>
      <w:bookmarkEnd w:id="187"/>
      <w:bookmarkEnd w:id="188"/>
      <w:bookmarkEnd w:id="189"/>
      <w:bookmarkEnd w:id="190"/>
      <w:bookmarkEnd w:id="191"/>
      <w:bookmarkEnd w:id="192"/>
      <w:bookmarkEnd w:id="193"/>
    </w:p>
    <w:p>
      <w:pPr>
        <w:pageBreakBefore w:val="0"/>
        <w:widowControl w:val="0"/>
        <w:tabs>
          <w:tab w:val="left" w:pos="1580"/>
          <w:tab w:val="left" w:pos="6000"/>
          <w:tab w:val="left" w:pos="6320"/>
          <w:tab w:val="left" w:pos="6887"/>
          <w:tab w:val="left" w:pos="7475"/>
        </w:tabs>
        <w:kinsoku/>
        <w:wordWrap/>
        <w:overflowPunct/>
        <w:topLinePunct w:val="0"/>
        <w:autoSpaceDE w:val="0"/>
        <w:autoSpaceDN w:val="0"/>
        <w:bidi w:val="0"/>
        <w:adjustRightInd w:val="0"/>
        <w:snapToGrid w:val="0"/>
        <w:spacing w:line="360" w:lineRule="auto"/>
        <w:ind w:firstLine="390" w:firstLineChars="186"/>
        <w:jc w:val="left"/>
        <w:textAlignment w:val="auto"/>
        <w:rPr>
          <w:rFonts w:ascii="宋体" w:hAnsi="宋体"/>
          <w:snapToGrid w:val="0"/>
          <w:kern w:val="0"/>
          <w:szCs w:val="21"/>
          <w:highlight w:val="none"/>
        </w:rPr>
      </w:pPr>
      <w:r>
        <w:rPr>
          <w:rFonts w:ascii="宋体" w:hAnsi="宋体"/>
          <w:snapToGrid w:val="0"/>
          <w:kern w:val="0"/>
          <w:szCs w:val="21"/>
          <w:highlight w:val="none"/>
        </w:rPr>
        <w:t>5.1 投标文件递交的截止时间（投标截止时间，下同）</w:t>
      </w:r>
      <w:r>
        <w:rPr>
          <w:rFonts w:hint="eastAsia" w:ascii="宋体" w:hAnsi="宋体"/>
          <w:snapToGrid w:val="0"/>
          <w:color w:val="auto"/>
          <w:kern w:val="0"/>
          <w:szCs w:val="21"/>
          <w:highlight w:val="none"/>
        </w:rPr>
        <w:t>详见附件</w:t>
      </w:r>
      <w:r>
        <w:rPr>
          <w:rFonts w:hint="eastAsia" w:ascii="宋体" w:hAnsi="宋体"/>
          <w:snapToGrid w:val="0"/>
          <w:color w:val="auto"/>
          <w:kern w:val="0"/>
          <w:szCs w:val="21"/>
          <w:highlight w:val="none"/>
          <w:lang w:val="en-US" w:eastAsia="zh-CN"/>
        </w:rPr>
        <w:t>投标邀请书</w:t>
      </w:r>
      <w:r>
        <w:rPr>
          <w:rFonts w:hint="eastAsia" w:ascii="宋体" w:hAnsi="宋体"/>
          <w:snapToGrid w:val="0"/>
          <w:color w:val="auto"/>
          <w:kern w:val="0"/>
          <w:szCs w:val="21"/>
          <w:highlight w:val="none"/>
        </w:rPr>
        <w:t>规定的投标截止时间</w:t>
      </w:r>
      <w:r>
        <w:rPr>
          <w:rFonts w:ascii="宋体" w:hAnsi="宋体"/>
          <w:snapToGrid w:val="0"/>
          <w:kern w:val="0"/>
          <w:szCs w:val="21"/>
          <w:highlight w:val="none"/>
        </w:rPr>
        <w:t>，</w:t>
      </w:r>
      <w:r>
        <w:rPr>
          <w:rFonts w:hint="eastAsia" w:ascii="宋体" w:hAnsi="宋体"/>
          <w:snapToGrid w:val="0"/>
          <w:kern w:val="0"/>
          <w:szCs w:val="21"/>
          <w:highlight w:val="none"/>
        </w:rPr>
        <w:t>投标人应当在投标截止时间前，通过互联网使用CA数字证书登录重庆市电子招投标系统（https://ztb.cqggzy.com/CQTPBidder/memberLogin，下同），将加密的电子投标文件上传。</w:t>
      </w:r>
    </w:p>
    <w:p>
      <w:pPr>
        <w:pageBreakBefore w:val="0"/>
        <w:widowControl w:val="0"/>
        <w:kinsoku/>
        <w:wordWrap/>
        <w:overflowPunct/>
        <w:topLinePunct w:val="0"/>
        <w:autoSpaceDE w:val="0"/>
        <w:autoSpaceDN w:val="0"/>
        <w:bidi w:val="0"/>
        <w:adjustRightInd w:val="0"/>
        <w:snapToGrid w:val="0"/>
        <w:spacing w:line="360" w:lineRule="auto"/>
        <w:ind w:firstLine="390" w:firstLineChars="186"/>
        <w:jc w:val="left"/>
        <w:textAlignment w:val="auto"/>
        <w:rPr>
          <w:rFonts w:ascii="宋体" w:hAnsi="宋体"/>
          <w:snapToGrid w:val="0"/>
          <w:kern w:val="0"/>
          <w:szCs w:val="21"/>
          <w:highlight w:val="none"/>
        </w:rPr>
      </w:pPr>
      <w:r>
        <w:rPr>
          <w:rFonts w:ascii="宋体" w:hAnsi="宋体"/>
          <w:snapToGrid w:val="0"/>
          <w:kern w:val="0"/>
          <w:szCs w:val="21"/>
          <w:highlight w:val="none"/>
        </w:rPr>
        <w:t xml:space="preserve">5.2 </w:t>
      </w:r>
      <w:r>
        <w:rPr>
          <w:rFonts w:hint="eastAsia" w:ascii="宋体" w:hAnsi="宋体"/>
          <w:snapToGrid w:val="0"/>
          <w:kern w:val="0"/>
          <w:szCs w:val="21"/>
          <w:highlight w:val="none"/>
        </w:rPr>
        <w:t>未按要求加密的电子投标文件，将无法上传至重庆市电子招投标系统，逾期未完成上传投标文件的，视为撤回投标文件。</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194" w:name="_Toc224103312"/>
      <w:bookmarkStart w:id="195" w:name="_Toc287607741"/>
      <w:bookmarkStart w:id="196" w:name="_Toc509218705"/>
      <w:bookmarkStart w:id="197" w:name="_Toc430530429"/>
      <w:bookmarkStart w:id="198" w:name="_Toc19555"/>
      <w:bookmarkStart w:id="199" w:name="_Toc75856984"/>
      <w:bookmarkStart w:id="200" w:name="_Toc31390"/>
      <w:bookmarkStart w:id="201" w:name="_Toc30807"/>
      <w:bookmarkStart w:id="202" w:name="_Toc287620680"/>
      <w:bookmarkStart w:id="203" w:name="_Toc25834"/>
      <w:bookmarkStart w:id="204" w:name="_Toc277082548"/>
      <w:bookmarkStart w:id="205" w:name="_Toc24971"/>
      <w:r>
        <w:rPr>
          <w:rFonts w:ascii="宋体" w:hAnsi="宋体"/>
          <w:snapToGrid w:val="0"/>
          <w:sz w:val="28"/>
          <w:szCs w:val="28"/>
          <w:highlight w:val="none"/>
        </w:rPr>
        <w:t>6. 确认</w:t>
      </w:r>
      <w:bookmarkEnd w:id="194"/>
      <w:bookmarkEnd w:id="195"/>
      <w:bookmarkEnd w:id="196"/>
      <w:bookmarkEnd w:id="197"/>
      <w:bookmarkEnd w:id="198"/>
      <w:bookmarkEnd w:id="199"/>
      <w:bookmarkEnd w:id="200"/>
      <w:bookmarkEnd w:id="201"/>
      <w:bookmarkEnd w:id="202"/>
      <w:bookmarkEnd w:id="203"/>
      <w:bookmarkEnd w:id="204"/>
      <w:bookmarkEnd w:id="205"/>
    </w:p>
    <w:p>
      <w:pPr>
        <w:pageBreakBefore w:val="0"/>
        <w:widowControl w:val="0"/>
        <w:tabs>
          <w:tab w:val="left" w:pos="633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hint="eastAsia" w:ascii="宋体" w:hAnsi="宋体"/>
          <w:snapToGrid w:val="0"/>
          <w:kern w:val="0"/>
          <w:szCs w:val="21"/>
          <w:highlight w:val="none"/>
        </w:rPr>
        <w:t>本招标项目采用全流程电子招投标，被邀请投标人通过重庆市电子招投标系统确认。</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宋体" w:hAnsi="宋体"/>
          <w:snapToGrid w:val="0"/>
          <w:sz w:val="28"/>
          <w:szCs w:val="28"/>
          <w:highlight w:val="none"/>
        </w:rPr>
      </w:pPr>
      <w:bookmarkStart w:id="206" w:name="_Toc277082549"/>
      <w:bookmarkStart w:id="207" w:name="_Toc3910"/>
      <w:bookmarkStart w:id="208" w:name="_Toc224103313"/>
      <w:bookmarkStart w:id="209" w:name="_Toc75856985"/>
      <w:bookmarkStart w:id="210" w:name="_Toc287607742"/>
      <w:bookmarkStart w:id="211" w:name="_Toc287620681"/>
      <w:bookmarkStart w:id="212" w:name="_Toc4366"/>
      <w:bookmarkStart w:id="213" w:name="_Toc20173"/>
      <w:bookmarkStart w:id="214" w:name="_Toc17489"/>
      <w:bookmarkStart w:id="215" w:name="_Toc29213"/>
      <w:bookmarkStart w:id="216" w:name="_Toc509218706"/>
      <w:bookmarkStart w:id="217" w:name="_Toc430530430"/>
      <w:r>
        <w:rPr>
          <w:rFonts w:hint="eastAsia" w:ascii="宋体" w:hAnsi="宋体"/>
          <w:snapToGrid w:val="0"/>
          <w:sz w:val="28"/>
          <w:szCs w:val="28"/>
          <w:highlight w:val="none"/>
        </w:rPr>
        <w:t>7</w:t>
      </w:r>
      <w:r>
        <w:rPr>
          <w:rFonts w:ascii="宋体" w:hAnsi="宋体"/>
          <w:snapToGrid w:val="0"/>
          <w:sz w:val="28"/>
          <w:szCs w:val="28"/>
          <w:highlight w:val="none"/>
        </w:rPr>
        <w:t>. 联系方式</w:t>
      </w:r>
      <w:bookmarkEnd w:id="206"/>
      <w:bookmarkEnd w:id="207"/>
      <w:bookmarkEnd w:id="208"/>
      <w:bookmarkEnd w:id="209"/>
      <w:bookmarkEnd w:id="210"/>
      <w:bookmarkEnd w:id="211"/>
      <w:bookmarkEnd w:id="212"/>
      <w:bookmarkEnd w:id="213"/>
      <w:bookmarkEnd w:id="214"/>
      <w:bookmarkEnd w:id="215"/>
      <w:bookmarkEnd w:id="216"/>
      <w:bookmarkEnd w:id="217"/>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招 标 人：</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招标代理机构：</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地    址：</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地    址：  </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position w:val="-3"/>
          <w:szCs w:val="21"/>
          <w:highlight w:val="none"/>
        </w:rPr>
        <w:t>邮    编：</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w:t>
      </w:r>
      <w:r>
        <w:rPr>
          <w:rFonts w:ascii="宋体" w:hAnsi="宋体"/>
          <w:snapToGrid w:val="0"/>
          <w:kern w:val="0"/>
          <w:position w:val="-3"/>
          <w:szCs w:val="21"/>
          <w:highlight w:val="none"/>
        </w:rPr>
        <w:t>邮    编：</w:t>
      </w:r>
      <w:r>
        <w:rPr>
          <w:rFonts w:ascii="宋体" w:hAnsi="宋体"/>
          <w:snapToGrid w:val="0"/>
          <w:kern w:val="0"/>
          <w:position w:val="-3"/>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联 系 人：</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联 系 人：</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电    话：</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电    话：</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ascii="宋体" w:hAnsi="宋体"/>
          <w:snapToGrid w:val="0"/>
          <w:kern w:val="0"/>
          <w:szCs w:val="21"/>
          <w:highlight w:val="none"/>
        </w:rPr>
        <w:t>传    真：</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传    真：</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电子邮件：</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电子邮件：</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rPr>
      </w:pPr>
      <w:r>
        <w:rPr>
          <w:rFonts w:ascii="宋体" w:hAnsi="宋体"/>
          <w:snapToGrid w:val="0"/>
          <w:kern w:val="0"/>
          <w:szCs w:val="21"/>
          <w:highlight w:val="none"/>
        </w:rPr>
        <w:t>开户银行：</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开户银行：</w:t>
      </w:r>
      <w:r>
        <w:rPr>
          <w:rFonts w:ascii="宋体" w:hAnsi="宋体"/>
          <w:snapToGrid w:val="0"/>
          <w:kern w:val="0"/>
          <w:szCs w:val="21"/>
          <w:highlight w:val="none"/>
          <w:u w:val="single"/>
        </w:rPr>
        <w:t xml:space="preserve">                                </w:t>
      </w:r>
    </w:p>
    <w:p>
      <w:pPr>
        <w:pageBreakBefore w:val="0"/>
        <w:widowControl w:val="0"/>
        <w:tabs>
          <w:tab w:val="left" w:pos="5140"/>
          <w:tab w:val="left" w:pos="84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snapToGrid w:val="0"/>
          <w:kern w:val="0"/>
          <w:szCs w:val="21"/>
          <w:highlight w:val="none"/>
          <w:u w:val="single"/>
        </w:rPr>
      </w:pPr>
      <w:r>
        <w:rPr>
          <w:rFonts w:ascii="宋体" w:hAnsi="宋体"/>
          <w:snapToGrid w:val="0"/>
          <w:kern w:val="0"/>
          <w:szCs w:val="21"/>
          <w:highlight w:val="none"/>
        </w:rPr>
        <w:t>账    号：</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     账    号：</w:t>
      </w:r>
      <w:r>
        <w:rPr>
          <w:rFonts w:ascii="宋体" w:hAnsi="宋体"/>
          <w:snapToGrid w:val="0"/>
          <w:kern w:val="0"/>
          <w:szCs w:val="21"/>
          <w:highlight w:val="none"/>
          <w:u w:val="single"/>
        </w:rPr>
        <w:t xml:space="preserve">                                </w:t>
      </w:r>
    </w:p>
    <w:p>
      <w:pPr>
        <w:pStyle w:val="2"/>
      </w:pPr>
    </w:p>
    <w:p>
      <w:pPr>
        <w:pageBreakBefore w:val="0"/>
        <w:widowControl w:val="0"/>
        <w:kinsoku/>
        <w:wordWrap/>
        <w:overflowPunct/>
        <w:topLinePunct w:val="0"/>
        <w:autoSpaceDE w:val="0"/>
        <w:autoSpaceDN w:val="0"/>
        <w:bidi w:val="0"/>
        <w:adjustRightInd w:val="0"/>
        <w:snapToGrid w:val="0"/>
        <w:spacing w:line="360" w:lineRule="auto"/>
        <w:jc w:val="right"/>
        <w:textAlignment w:val="auto"/>
        <w:rPr>
          <w:rFonts w:ascii="宋体" w:hAnsi="宋体"/>
          <w:snapToGrid w:val="0"/>
          <w:kern w:val="0"/>
          <w:sz w:val="20"/>
          <w:szCs w:val="20"/>
          <w:highlight w:val="none"/>
        </w:rPr>
      </w:pPr>
      <w:r>
        <w:rPr>
          <w:rFonts w:ascii="宋体" w:hAnsi="宋体"/>
          <w:snapToGrid w:val="0"/>
          <w:kern w:val="0"/>
          <w:szCs w:val="21"/>
          <w:highlight w:val="none"/>
          <w:u w:val="single"/>
        </w:rPr>
        <w:t xml:space="preserve">         </w:t>
      </w:r>
      <w:r>
        <w:rPr>
          <w:rFonts w:ascii="宋体" w:hAnsi="宋体"/>
          <w:snapToGrid w:val="0"/>
          <w:kern w:val="0"/>
          <w:szCs w:val="21"/>
          <w:highlight w:val="none"/>
        </w:rPr>
        <w:t>年</w:t>
      </w:r>
      <w:r>
        <w:rPr>
          <w:rFonts w:ascii="宋体" w:hAnsi="宋体"/>
          <w:snapToGrid w:val="0"/>
          <w:kern w:val="0"/>
          <w:szCs w:val="21"/>
          <w:highlight w:val="none"/>
          <w:u w:val="single"/>
        </w:rPr>
        <w:t xml:space="preserve">      </w:t>
      </w:r>
      <w:r>
        <w:rPr>
          <w:rFonts w:ascii="宋体" w:hAnsi="宋体"/>
          <w:snapToGrid w:val="0"/>
          <w:kern w:val="0"/>
          <w:szCs w:val="21"/>
          <w:highlight w:val="none"/>
        </w:rPr>
        <w:t>月</w:t>
      </w:r>
      <w:r>
        <w:rPr>
          <w:rFonts w:ascii="宋体" w:hAnsi="宋体"/>
          <w:snapToGrid w:val="0"/>
          <w:kern w:val="0"/>
          <w:szCs w:val="21"/>
          <w:highlight w:val="none"/>
          <w:u w:val="single"/>
        </w:rPr>
        <w:t xml:space="preserve">      </w:t>
      </w:r>
      <w:r>
        <w:rPr>
          <w:rFonts w:ascii="宋体" w:hAnsi="宋体"/>
          <w:snapToGrid w:val="0"/>
          <w:kern w:val="0"/>
          <w:szCs w:val="21"/>
          <w:highlight w:val="none"/>
        </w:rPr>
        <w:t xml:space="preserve">日  </w:t>
      </w:r>
    </w:p>
    <w:p>
      <w:pPr>
        <w:pStyle w:val="3"/>
        <w:spacing w:line="360" w:lineRule="auto"/>
        <w:jc w:val="center"/>
        <w:rPr>
          <w:rFonts w:ascii="宋体" w:hAnsi="宋体"/>
          <w:bCs w:val="0"/>
          <w:snapToGrid w:val="0"/>
          <w:kern w:val="0"/>
          <w:highlight w:val="none"/>
        </w:rPr>
      </w:pPr>
      <w:bookmarkStart w:id="218" w:name="_Toc430530432"/>
      <w:bookmarkStart w:id="219" w:name="_Toc287620683"/>
      <w:bookmarkStart w:id="220" w:name="_Toc224103315"/>
      <w:bookmarkStart w:id="221" w:name="_Toc287607744"/>
      <w:r>
        <w:rPr>
          <w:rFonts w:ascii="宋体" w:hAnsi="宋体"/>
          <w:bCs w:val="0"/>
          <w:snapToGrid w:val="0"/>
          <w:kern w:val="0"/>
          <w:highlight w:val="none"/>
        </w:rPr>
        <w:br w:type="page"/>
      </w:r>
      <w:bookmarkStart w:id="222" w:name="_Toc17048"/>
      <w:bookmarkStart w:id="223" w:name="_Toc12319"/>
      <w:bookmarkStart w:id="224" w:name="_Toc32420"/>
      <w:bookmarkStart w:id="225" w:name="_Toc75856986"/>
      <w:bookmarkStart w:id="226" w:name="_Toc28982"/>
      <w:bookmarkStart w:id="227" w:name="_Toc16993"/>
      <w:r>
        <w:rPr>
          <w:rFonts w:ascii="宋体" w:hAnsi="宋体"/>
          <w:snapToGrid w:val="0"/>
          <w:kern w:val="0"/>
          <w:highlight w:val="none"/>
        </w:rPr>
        <w:t>第二章  投标人须知</w:t>
      </w:r>
      <w:bookmarkEnd w:id="218"/>
      <w:bookmarkEnd w:id="219"/>
      <w:bookmarkEnd w:id="220"/>
      <w:bookmarkEnd w:id="221"/>
      <w:bookmarkEnd w:id="222"/>
      <w:bookmarkEnd w:id="223"/>
      <w:bookmarkEnd w:id="224"/>
      <w:bookmarkEnd w:id="225"/>
      <w:bookmarkEnd w:id="226"/>
      <w:bookmarkEnd w:id="227"/>
      <w:bookmarkStart w:id="228" w:name="_Toc277082551"/>
      <w:bookmarkStart w:id="229" w:name="_Toc430530433"/>
      <w:bookmarkStart w:id="230" w:name="_Toc224103316"/>
      <w:bookmarkStart w:id="231" w:name="_Toc287607745"/>
      <w:bookmarkStart w:id="232" w:name="_Toc287620684"/>
    </w:p>
    <w:p>
      <w:pPr>
        <w:pStyle w:val="4"/>
        <w:spacing w:before="100" w:after="100" w:line="360" w:lineRule="auto"/>
        <w:rPr>
          <w:rFonts w:ascii="宋体" w:hAnsi="宋体"/>
          <w:highlight w:val="none"/>
        </w:rPr>
      </w:pPr>
      <w:bookmarkStart w:id="233" w:name="_Toc16622"/>
      <w:bookmarkStart w:id="234" w:name="_Toc28738"/>
      <w:bookmarkStart w:id="235" w:name="_Toc12166"/>
      <w:bookmarkStart w:id="236" w:name="_Toc842"/>
      <w:bookmarkStart w:id="237" w:name="_Toc509218708"/>
      <w:bookmarkStart w:id="238" w:name="_Toc75856987"/>
      <w:bookmarkStart w:id="239" w:name="_Toc15427"/>
      <w:r>
        <w:rPr>
          <w:rFonts w:hint="eastAsia" w:ascii="宋体" w:hAnsi="宋体"/>
          <w:highlight w:val="none"/>
        </w:rPr>
        <w:t>投标人须知前附表</w:t>
      </w:r>
      <w:bookmarkEnd w:id="228"/>
      <w:bookmarkEnd w:id="229"/>
      <w:bookmarkEnd w:id="230"/>
      <w:bookmarkEnd w:id="231"/>
      <w:bookmarkEnd w:id="232"/>
      <w:bookmarkEnd w:id="233"/>
      <w:bookmarkEnd w:id="234"/>
      <w:bookmarkEnd w:id="235"/>
      <w:bookmarkEnd w:id="236"/>
      <w:bookmarkEnd w:id="237"/>
      <w:bookmarkEnd w:id="238"/>
      <w:bookmarkEnd w:id="239"/>
    </w:p>
    <w:p>
      <w:pPr>
        <w:spacing w:line="360" w:lineRule="auto"/>
        <w:ind w:firstLine="420" w:firstLineChars="200"/>
        <w:rPr>
          <w:rFonts w:ascii="宋体" w:hAnsi="宋体"/>
          <w:szCs w:val="21"/>
          <w:highlight w:val="none"/>
        </w:rPr>
      </w:pPr>
      <w:r>
        <w:rPr>
          <w:rFonts w:ascii="宋体" w:hAnsi="宋体"/>
          <w:szCs w:val="21"/>
          <w:highlight w:val="none"/>
        </w:rPr>
        <w:t>正文内容不允许修改。若投标人须知前附表与正文不一致的地方，以投标人须知前附表为准。</w:t>
      </w:r>
    </w:p>
    <w:tbl>
      <w:tblPr>
        <w:tblStyle w:val="55"/>
        <w:tblW w:w="9287"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644"/>
        <w:gridCol w:w="630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b/>
                <w:kern w:val="0"/>
                <w:sz w:val="21"/>
                <w:szCs w:val="21"/>
                <w:highlight w:val="none"/>
              </w:rPr>
            </w:pPr>
            <w:r>
              <w:rPr>
                <w:rFonts w:hint="eastAsia" w:asciiTheme="minorEastAsia" w:hAnsiTheme="minorEastAsia" w:eastAsiaTheme="minorEastAsia" w:cstheme="minorEastAsia"/>
                <w:b/>
                <w:kern w:val="0"/>
                <w:sz w:val="21"/>
                <w:szCs w:val="21"/>
                <w:highlight w:val="none"/>
              </w:rPr>
              <w:t>条 款 号</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b/>
                <w:kern w:val="0"/>
                <w:sz w:val="21"/>
                <w:szCs w:val="21"/>
                <w:highlight w:val="none"/>
              </w:rPr>
            </w:pPr>
            <w:r>
              <w:rPr>
                <w:rFonts w:hint="eastAsia" w:asciiTheme="minorEastAsia" w:hAnsiTheme="minorEastAsia" w:eastAsiaTheme="minorEastAsia" w:cstheme="minorEastAsia"/>
                <w:b/>
                <w:kern w:val="0"/>
                <w:sz w:val="21"/>
                <w:szCs w:val="21"/>
                <w:highlight w:val="none"/>
              </w:rPr>
              <w:t>条款名称</w:t>
            </w:r>
          </w:p>
        </w:tc>
        <w:tc>
          <w:tcPr>
            <w:tcW w:w="6308"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b/>
                <w:kern w:val="0"/>
                <w:sz w:val="21"/>
                <w:szCs w:val="21"/>
                <w:highlight w:val="none"/>
              </w:rPr>
            </w:pPr>
            <w:r>
              <w:rPr>
                <w:rFonts w:hint="eastAsia" w:asciiTheme="minorEastAsia" w:hAnsiTheme="minorEastAsia" w:eastAsiaTheme="minorEastAsia" w:cstheme="minorEastAsia"/>
                <w:b/>
                <w:kern w:val="0"/>
                <w:sz w:val="21"/>
                <w:szCs w:val="21"/>
                <w:highlight w:val="none"/>
              </w:rPr>
              <w:t>编  列  内  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招标人</w:t>
            </w:r>
          </w:p>
        </w:tc>
        <w:tc>
          <w:tcPr>
            <w:tcW w:w="6308" w:type="dxa"/>
            <w:vAlign w:val="center"/>
          </w:tcPr>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名称：</w:t>
            </w:r>
            <w:r>
              <w:rPr>
                <w:rFonts w:hint="eastAsia" w:asciiTheme="minorEastAsia" w:hAnsiTheme="minorEastAsia" w:eastAsiaTheme="minorEastAsia" w:cstheme="minorEastAsia"/>
                <w:snapToGrid w:val="0"/>
                <w:kern w:val="0"/>
                <w:sz w:val="21"/>
                <w:szCs w:val="21"/>
                <w:highlight w:val="none"/>
                <w:u w:val="single"/>
              </w:rPr>
              <w:t xml:space="preserve">                       </w:t>
            </w:r>
          </w:p>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地址：</w:t>
            </w:r>
            <w:r>
              <w:rPr>
                <w:rFonts w:hint="eastAsia" w:asciiTheme="minorEastAsia" w:hAnsiTheme="minorEastAsia" w:eastAsiaTheme="minorEastAsia" w:cstheme="minorEastAsia"/>
                <w:snapToGrid w:val="0"/>
                <w:kern w:val="0"/>
                <w:sz w:val="21"/>
                <w:szCs w:val="21"/>
                <w:highlight w:val="none"/>
                <w:u w:val="single"/>
              </w:rPr>
              <w:t xml:space="preserve">                       </w:t>
            </w:r>
          </w:p>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联系人：</w:t>
            </w:r>
            <w:r>
              <w:rPr>
                <w:rFonts w:hint="eastAsia" w:asciiTheme="minorEastAsia" w:hAnsiTheme="minorEastAsia" w:eastAsiaTheme="minorEastAsia" w:cstheme="minorEastAsia"/>
                <w:snapToGrid w:val="0"/>
                <w:kern w:val="0"/>
                <w:sz w:val="21"/>
                <w:szCs w:val="21"/>
                <w:highlight w:val="none"/>
                <w:u w:val="single"/>
              </w:rPr>
              <w:t xml:space="preserve">                       </w:t>
            </w:r>
          </w:p>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电话：</w:t>
            </w:r>
            <w:r>
              <w:rPr>
                <w:rFonts w:hint="eastAsia" w:asciiTheme="minorEastAsia" w:hAnsiTheme="minorEastAsia" w:eastAsiaTheme="minorEastAsia" w:cstheme="minorEastAsia"/>
                <w:snapToGrid w:val="0"/>
                <w:kern w:val="0"/>
                <w:sz w:val="21"/>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1.1.3</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招标代理机构</w:t>
            </w:r>
          </w:p>
        </w:tc>
        <w:tc>
          <w:tcPr>
            <w:tcW w:w="6308" w:type="dxa"/>
            <w:vAlign w:val="center"/>
          </w:tcPr>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名称：</w:t>
            </w:r>
            <w:r>
              <w:rPr>
                <w:rFonts w:hint="eastAsia" w:asciiTheme="minorEastAsia" w:hAnsiTheme="minorEastAsia" w:eastAsiaTheme="minorEastAsia" w:cstheme="minorEastAsia"/>
                <w:snapToGrid w:val="0"/>
                <w:kern w:val="0"/>
                <w:sz w:val="21"/>
                <w:szCs w:val="21"/>
                <w:highlight w:val="none"/>
                <w:u w:val="single"/>
              </w:rPr>
              <w:t xml:space="preserve">                       </w:t>
            </w:r>
          </w:p>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地址：</w:t>
            </w:r>
            <w:r>
              <w:rPr>
                <w:rFonts w:hint="eastAsia" w:asciiTheme="minorEastAsia" w:hAnsiTheme="minorEastAsia" w:eastAsiaTheme="minorEastAsia" w:cstheme="minorEastAsia"/>
                <w:snapToGrid w:val="0"/>
                <w:kern w:val="0"/>
                <w:sz w:val="21"/>
                <w:szCs w:val="21"/>
                <w:highlight w:val="none"/>
                <w:u w:val="single"/>
              </w:rPr>
              <w:t xml:space="preserve">                       </w:t>
            </w:r>
          </w:p>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联系人：</w:t>
            </w:r>
            <w:r>
              <w:rPr>
                <w:rFonts w:hint="eastAsia" w:asciiTheme="minorEastAsia" w:hAnsiTheme="minorEastAsia" w:eastAsiaTheme="minorEastAsia" w:cstheme="minorEastAsia"/>
                <w:snapToGrid w:val="0"/>
                <w:kern w:val="0"/>
                <w:sz w:val="21"/>
                <w:szCs w:val="21"/>
                <w:highlight w:val="none"/>
                <w:u w:val="single"/>
              </w:rPr>
              <w:t xml:space="preserve">                       </w:t>
            </w:r>
          </w:p>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电话：</w:t>
            </w:r>
            <w:r>
              <w:rPr>
                <w:rFonts w:hint="eastAsia" w:asciiTheme="minorEastAsia" w:hAnsiTheme="minorEastAsia" w:eastAsiaTheme="minorEastAsia" w:cstheme="minorEastAsia"/>
                <w:snapToGrid w:val="0"/>
                <w:kern w:val="0"/>
                <w:sz w:val="21"/>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1.1.4</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招标项目名称</w:t>
            </w:r>
          </w:p>
        </w:tc>
        <w:tc>
          <w:tcPr>
            <w:tcW w:w="6308" w:type="dxa"/>
            <w:vAlign w:val="center"/>
          </w:tcPr>
          <w:p>
            <w:pPr>
              <w:keepNext w:val="0"/>
              <w:keepLines w:val="0"/>
              <w:pageBreakBefore w:val="0"/>
              <w:tabs>
                <w:tab w:val="left" w:pos="3840"/>
                <w:tab w:val="left" w:pos="5300"/>
              </w:tabs>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1.1.5</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项目建设地点</w:t>
            </w:r>
          </w:p>
        </w:tc>
        <w:tc>
          <w:tcPr>
            <w:tcW w:w="6308" w:type="dxa"/>
            <w:vAlign w:val="center"/>
          </w:tcPr>
          <w:p>
            <w:pPr>
              <w:keepNext w:val="0"/>
              <w:keepLines w:val="0"/>
              <w:pageBreakBefore w:val="0"/>
              <w:tabs>
                <w:tab w:val="left" w:pos="3840"/>
                <w:tab w:val="left" w:pos="5300"/>
              </w:tabs>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1.1.6</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项目建设规模</w:t>
            </w:r>
          </w:p>
        </w:tc>
        <w:tc>
          <w:tcPr>
            <w:tcW w:w="6308" w:type="dxa"/>
            <w:vAlign w:val="center"/>
          </w:tcPr>
          <w:p>
            <w:pPr>
              <w:keepNext w:val="0"/>
              <w:keepLines w:val="0"/>
              <w:pageBreakBefore w:val="0"/>
              <w:tabs>
                <w:tab w:val="left" w:pos="3840"/>
                <w:tab w:val="left" w:pos="5300"/>
              </w:tabs>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u w:val="single"/>
              </w:rPr>
              <w:t xml:space="preserve">                      </w:t>
            </w:r>
          </w:p>
          <w:p>
            <w:pPr>
              <w:keepNext w:val="0"/>
              <w:keepLines w:val="0"/>
              <w:pageBreakBefore w:val="0"/>
              <w:kinsoku/>
              <w:wordWrap/>
              <w:overflowPunct/>
              <w:topLinePunct w:val="0"/>
              <w:autoSpaceDE/>
              <w:autoSpaceDN/>
              <w:bidi w:val="0"/>
              <w:adjustRightInd/>
              <w:snapToGrid/>
              <w:spacing w:before="156" w:beforeLines="50" w:line="400" w:lineRule="exact"/>
              <w:ind w:firstLine="0" w:firstLineChars="0"/>
              <w:textAlignment w:val="auto"/>
              <w:rPr>
                <w:rFonts w:hint="eastAsia" w:asciiTheme="minorEastAsia" w:hAnsiTheme="minorEastAsia" w:eastAsiaTheme="minorEastAsia" w:cstheme="minorEastAsia"/>
                <w:i/>
                <w:snapToGrid w:val="0"/>
                <w:kern w:val="0"/>
                <w:sz w:val="21"/>
                <w:szCs w:val="21"/>
                <w:highlight w:val="none"/>
              </w:rPr>
            </w:pPr>
            <w:r>
              <w:rPr>
                <w:rFonts w:hint="eastAsia" w:asciiTheme="minorEastAsia" w:hAnsiTheme="minorEastAsia" w:eastAsiaTheme="minorEastAsia" w:cstheme="minorEastAsia"/>
                <w:i/>
                <w:snapToGrid w:val="0"/>
                <w:kern w:val="0"/>
                <w:sz w:val="21"/>
                <w:szCs w:val="21"/>
                <w:highlight w:val="none"/>
              </w:rPr>
              <w:t>[提示：与招标公告保持一致。]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1.1.7</w:t>
            </w:r>
          </w:p>
        </w:tc>
        <w:tc>
          <w:tcPr>
            <w:tcW w:w="1644" w:type="dxa"/>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项目估算金额</w:t>
            </w: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0" w:firstLineChars="0"/>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napToGrid w:val="0"/>
                <w:kern w:val="0"/>
                <w:sz w:val="21"/>
                <w:szCs w:val="21"/>
                <w:highlight w:val="none"/>
              </w:rPr>
              <w:t>□本次招标项目</w:t>
            </w:r>
            <w:r>
              <w:rPr>
                <w:rFonts w:hint="eastAsia" w:asciiTheme="minorEastAsia" w:hAnsiTheme="minorEastAsia" w:eastAsiaTheme="minorEastAsia" w:cstheme="minorEastAsia"/>
                <w:sz w:val="21"/>
                <w:szCs w:val="21"/>
                <w:highlight w:val="none"/>
              </w:rPr>
              <w:t>投资估算金额：</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0" w:firstLineChars="0"/>
              <w:textAlignment w:val="auto"/>
              <w:rPr>
                <w:rFonts w:hint="eastAsia" w:asciiTheme="minorEastAsia" w:hAnsiTheme="minorEastAsia" w:eastAsiaTheme="minorEastAsia" w:cstheme="minorEastAsia"/>
                <w:iCs/>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napToGrid w:val="0"/>
                <w:kern w:val="0"/>
                <w:sz w:val="21"/>
                <w:szCs w:val="21"/>
                <w:highlight w:val="none"/>
              </w:rPr>
              <w:t>本次招标项目</w:t>
            </w:r>
            <w:r>
              <w:rPr>
                <w:rFonts w:hint="eastAsia" w:asciiTheme="minorEastAsia" w:hAnsiTheme="minorEastAsia" w:eastAsiaTheme="minorEastAsia" w:cstheme="minorEastAsia"/>
                <w:iCs/>
                <w:sz w:val="21"/>
                <w:szCs w:val="21"/>
                <w:highlight w:val="none"/>
              </w:rPr>
              <w:t>工程费估算金额</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snapToGrid w:val="0"/>
                <w:kern w:val="0"/>
                <w:sz w:val="21"/>
                <w:szCs w:val="21"/>
                <w:highlight w:val="none"/>
                <w:u w:val="singl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napToGrid w:val="0"/>
                <w:kern w:val="0"/>
                <w:sz w:val="21"/>
                <w:szCs w:val="21"/>
                <w:highlight w:val="none"/>
              </w:rPr>
              <w:t>本次招标项目勘察</w:t>
            </w:r>
            <w:r>
              <w:rPr>
                <w:rFonts w:hint="eastAsia" w:asciiTheme="minorEastAsia" w:hAnsiTheme="minorEastAsia" w:eastAsiaTheme="minorEastAsia" w:cstheme="minorEastAsia"/>
                <w:sz w:val="21"/>
                <w:szCs w:val="21"/>
                <w:highlight w:val="none"/>
              </w:rPr>
              <w:t>合同估算</w:t>
            </w:r>
            <w:r>
              <w:rPr>
                <w:rFonts w:hint="eastAsia" w:asciiTheme="minorEastAsia" w:hAnsiTheme="minorEastAsia" w:eastAsiaTheme="minorEastAsia" w:cstheme="minorEastAsia"/>
                <w:sz w:val="21"/>
                <w:szCs w:val="21"/>
                <w:highlight w:val="none"/>
                <w:lang w:val="en-US" w:eastAsia="zh-CN"/>
              </w:rPr>
              <w:t>金</w:t>
            </w:r>
            <w:r>
              <w:rPr>
                <w:rFonts w:hint="eastAsia" w:asciiTheme="minorEastAsia" w:hAnsiTheme="minorEastAsia" w:eastAsiaTheme="minorEastAsia" w:cstheme="minorEastAsia"/>
                <w:sz w:val="21"/>
                <w:szCs w:val="21"/>
                <w:highlight w:val="none"/>
              </w:rPr>
              <w:t>额：</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1.2.1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资金来源及比例</w:t>
            </w:r>
          </w:p>
        </w:tc>
        <w:tc>
          <w:tcPr>
            <w:tcW w:w="6308" w:type="dxa"/>
            <w:vAlign w:val="center"/>
          </w:tcPr>
          <w:p>
            <w:pPr>
              <w:keepNext w:val="0"/>
              <w:keepLines w:val="0"/>
              <w:pageBreakBefore w:val="0"/>
              <w:tabs>
                <w:tab w:val="left" w:pos="3840"/>
                <w:tab w:val="left" w:pos="5300"/>
              </w:tabs>
              <w:kinsoku/>
              <w:wordWrap/>
              <w:overflowPunct/>
              <w:topLinePunct w:val="0"/>
              <w:autoSpaceDE w:val="0"/>
              <w:autoSpaceDN w:val="0"/>
              <w:bidi w:val="0"/>
              <w:adjustRightInd w:val="0"/>
              <w:snapToGrid w:val="0"/>
              <w:spacing w:line="400" w:lineRule="exact"/>
              <w:textAlignment w:val="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1.2.2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资金落实情况</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1.3.1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招标范围</w:t>
            </w:r>
          </w:p>
        </w:tc>
        <w:tc>
          <w:tcPr>
            <w:tcW w:w="6308" w:type="dxa"/>
            <w:vAlign w:val="center"/>
          </w:tcPr>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[提示：与招标公告保持一致。]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1.3.2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color w:val="000000"/>
                <w:sz w:val="21"/>
                <w:szCs w:val="21"/>
                <w:highlight w:val="none"/>
              </w:rPr>
              <w:t>勘察服务期限</w:t>
            </w:r>
          </w:p>
        </w:tc>
        <w:tc>
          <w:tcPr>
            <w:tcW w:w="6308" w:type="dxa"/>
            <w:vAlign w:val="center"/>
          </w:tcPr>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napToGrid w:val="0"/>
                <w:kern w:val="0"/>
                <w:sz w:val="21"/>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1.3.3</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质量标准</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工程勘察严格执行</w:t>
            </w:r>
            <w:r>
              <w:rPr>
                <w:rFonts w:hint="eastAsia" w:asciiTheme="minorEastAsia" w:hAnsiTheme="minorEastAsia" w:eastAsiaTheme="minorEastAsia" w:cstheme="minorEastAsia"/>
                <w:sz w:val="21"/>
                <w:szCs w:val="21"/>
                <w:highlight w:val="none"/>
                <w:lang w:val="en-US" w:eastAsia="zh-CN"/>
              </w:rPr>
              <w:t>工程建设</w:t>
            </w:r>
            <w:r>
              <w:rPr>
                <w:rFonts w:hint="eastAsia" w:asciiTheme="minorEastAsia" w:hAnsiTheme="minorEastAsia" w:eastAsiaTheme="minorEastAsia" w:cstheme="minorEastAsia"/>
                <w:sz w:val="21"/>
                <w:szCs w:val="21"/>
                <w:highlight w:val="none"/>
              </w:rPr>
              <w:t>强制性质量标准，</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i/>
                <w:sz w:val="21"/>
                <w:szCs w:val="21"/>
                <w:highlight w:val="none"/>
              </w:rPr>
              <w:t>[提示：根据工程实际情况确定合理的质量要求。]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1.4.1</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1.4.1</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1.4.1</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1.4.1</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投标人资质条件、能力和信誉</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投标人资质条件、能力和信誉</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投标人资质条件、能力和信誉</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投标人资质条件、能力和信誉</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before="62" w:beforeLines="20"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[提示：适用于未进行资格预审的项目，第1、4、5、6项必须具备；第2、3项由招标人根据项目情况选设。]</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bookmarkStart w:id="240" w:name="OLE_LINK1"/>
            <w:r>
              <w:rPr>
                <w:rFonts w:hint="eastAsia" w:asciiTheme="minorEastAsia" w:hAnsiTheme="minorEastAsia" w:eastAsiaTheme="minorEastAsia" w:cstheme="minorEastAsia"/>
                <w:sz w:val="21"/>
                <w:szCs w:val="21"/>
                <w:highlight w:val="none"/>
              </w:rPr>
              <w:t>本工程勘察招标实行资格后审，投标人应</w:t>
            </w:r>
            <w:bookmarkStart w:id="241" w:name="一是"/>
            <w:bookmarkEnd w:id="241"/>
            <w:r>
              <w:rPr>
                <w:rFonts w:hint="eastAsia" w:asciiTheme="minorEastAsia" w:hAnsiTheme="minorEastAsia" w:eastAsiaTheme="minorEastAsia" w:cstheme="minorEastAsia"/>
                <w:sz w:val="21"/>
                <w:szCs w:val="21"/>
                <w:highlight w:val="none"/>
              </w:rPr>
              <w:t>具备以下资格条件：</w:t>
            </w:r>
          </w:p>
          <w:bookmarkEnd w:id="240"/>
          <w:p>
            <w:pPr>
              <w:keepNext w:val="0"/>
              <w:keepLines w:val="0"/>
              <w:pageBreakBefore w:val="0"/>
              <w:kinsoku/>
              <w:wordWrap/>
              <w:overflowPunct/>
              <w:topLinePunct w:val="0"/>
              <w:autoSpaceDE w:val="0"/>
              <w:autoSpaceDN w:val="0"/>
              <w:bidi w:val="0"/>
              <w:adjustRightInd w:val="0"/>
              <w:snapToGrid w:val="0"/>
              <w:spacing w:line="400" w:lineRule="exact"/>
              <w:ind w:firstLine="422" w:firstLineChars="200"/>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1.资质条件、营业执照</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[提示：资质的设定应执行《住房和城乡建设部关于印发&lt;工程勘察资质标准&gt;的通知》（建市</w:t>
            </w:r>
            <w:r>
              <w:rPr>
                <w:rFonts w:hint="eastAsia" w:asciiTheme="minorEastAsia" w:hAnsiTheme="minorEastAsia" w:eastAsiaTheme="minorEastAsia" w:cstheme="minorEastAsia"/>
                <w:i/>
                <w:sz w:val="21"/>
                <w:szCs w:val="21"/>
                <w:highlight w:val="none"/>
                <w:lang w:eastAsia="zh-CN"/>
              </w:rPr>
              <w:t>〔2013〕</w:t>
            </w:r>
            <w:r>
              <w:rPr>
                <w:rFonts w:hint="eastAsia" w:asciiTheme="minorEastAsia" w:hAnsiTheme="minorEastAsia" w:eastAsiaTheme="minorEastAsia" w:cstheme="minorEastAsia"/>
                <w:i/>
                <w:sz w:val="21"/>
                <w:szCs w:val="21"/>
                <w:highlight w:val="none"/>
              </w:rPr>
              <w:t>9号）及其修订、配套、补充文件的现行规定。]</w:t>
            </w:r>
          </w:p>
          <w:p>
            <w:pPr>
              <w:keepNext w:val="0"/>
              <w:keepLines w:val="0"/>
              <w:pageBreakBefore w:val="0"/>
              <w:tabs>
                <w:tab w:val="left" w:pos="2420"/>
                <w:tab w:val="left" w:pos="5445"/>
              </w:tabs>
              <w:kinsoku/>
              <w:wordWrap/>
              <w:overflowPunct/>
              <w:topLinePunct w:val="0"/>
              <w:autoSpaceDE w:val="0"/>
              <w:autoSpaceDN w:val="0"/>
              <w:bidi w:val="0"/>
              <w:adjustRightInd w:val="0"/>
              <w:snapToGrid w:val="0"/>
              <w:spacing w:line="400" w:lineRule="exact"/>
              <w:ind w:firstLine="420"/>
              <w:textAlignment w:val="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napToGrid w:val="0"/>
                <w:kern w:val="0"/>
                <w:sz w:val="21"/>
                <w:szCs w:val="21"/>
                <w:highlight w:val="none"/>
              </w:rPr>
              <w:t>投标人应具有建设行政主管部门颁发的</w:t>
            </w:r>
            <w:r>
              <w:rPr>
                <w:rFonts w:hint="eastAsia" w:asciiTheme="minorEastAsia" w:hAnsiTheme="minorEastAsia" w:eastAsiaTheme="minorEastAsia" w:cstheme="minorEastAsia"/>
                <w:snapToGrid w:val="0"/>
                <w:kern w:val="0"/>
                <w:sz w:val="21"/>
                <w:szCs w:val="21"/>
                <w:highlight w:val="none"/>
                <w:lang w:val="en-US" w:eastAsia="zh-CN"/>
              </w:rPr>
              <w:t>有效的</w:t>
            </w:r>
            <w:r>
              <w:rPr>
                <w:rFonts w:hint="eastAsia" w:asciiTheme="minorEastAsia" w:hAnsiTheme="minorEastAsia" w:eastAsiaTheme="minorEastAsia" w:cstheme="minorEastAsia"/>
                <w:snapToGrid w:val="0"/>
                <w:kern w:val="0"/>
                <w:sz w:val="21"/>
                <w:szCs w:val="21"/>
                <w:highlight w:val="none"/>
              </w:rPr>
              <w:t>下列资质之一：</w:t>
            </w:r>
          </w:p>
          <w:p>
            <w:pPr>
              <w:keepNext w:val="0"/>
              <w:keepLines w:val="0"/>
              <w:pageBreakBefore w:val="0"/>
              <w:kinsoku/>
              <w:wordWrap/>
              <w:overflowPunct/>
              <w:topLinePunct w:val="0"/>
              <w:autoSpaceDE w:val="0"/>
              <w:autoSpaceDN w:val="0"/>
              <w:bidi w:val="0"/>
              <w:adjustRightInd w:val="0"/>
              <w:snapToGrid w:val="0"/>
              <w:spacing w:line="400" w:lineRule="exact"/>
              <w:ind w:firstLine="630" w:firstLineChars="3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①工程勘察综合甲级资质。</w:t>
            </w:r>
          </w:p>
          <w:p>
            <w:pPr>
              <w:keepNext w:val="0"/>
              <w:keepLines w:val="0"/>
              <w:pageBreakBefore w:val="0"/>
              <w:kinsoku/>
              <w:wordWrap/>
              <w:overflowPunct/>
              <w:topLinePunct w:val="0"/>
              <w:autoSpaceDE w:val="0"/>
              <w:autoSpaceDN w:val="0"/>
              <w:bidi w:val="0"/>
              <w:adjustRightInd w:val="0"/>
              <w:snapToGrid w:val="0"/>
              <w:spacing w:line="400" w:lineRule="exact"/>
              <w:ind w:firstLine="630" w:firstLineChars="3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②工程勘察专业类</w:t>
            </w:r>
            <w:r>
              <w:rPr>
                <w:rFonts w:hint="eastAsia" w:asciiTheme="minorEastAsia" w:hAnsiTheme="minorEastAsia" w:eastAsiaTheme="minorEastAsia" w:cstheme="minorEastAsia"/>
                <w:sz w:val="21"/>
                <w:szCs w:val="21"/>
                <w:highlight w:val="none"/>
                <w:u w:val="single"/>
              </w:rPr>
              <w:t xml:space="preserve">           级及以上</w:t>
            </w:r>
            <w:r>
              <w:rPr>
                <w:rFonts w:hint="eastAsia" w:asciiTheme="minorEastAsia" w:hAnsiTheme="minorEastAsia" w:eastAsiaTheme="minorEastAsia" w:cstheme="minorEastAsia"/>
                <w:sz w:val="21"/>
                <w:szCs w:val="21"/>
                <w:highlight w:val="none"/>
              </w:rPr>
              <w:t>资质。</w:t>
            </w:r>
            <w:r>
              <w:rPr>
                <w:rFonts w:hint="eastAsia" w:asciiTheme="minorEastAsia" w:hAnsiTheme="minorEastAsia" w:eastAsiaTheme="minorEastAsia" w:cstheme="minorEastAsia"/>
                <w:i/>
                <w:sz w:val="21"/>
                <w:szCs w:val="21"/>
                <w:highlight w:val="none"/>
              </w:rPr>
              <w:t>[</w:t>
            </w:r>
            <w:r>
              <w:rPr>
                <w:rFonts w:hint="eastAsia" w:asciiTheme="minorEastAsia" w:hAnsiTheme="minorEastAsia" w:eastAsiaTheme="minorEastAsia" w:cstheme="minorEastAsia"/>
                <w:i/>
                <w:sz w:val="21"/>
                <w:szCs w:val="21"/>
                <w:highlight w:val="none"/>
                <w:lang w:eastAsia="zh-CN"/>
              </w:rPr>
              <w:t>提示：</w:t>
            </w:r>
            <w:r>
              <w:rPr>
                <w:rFonts w:hint="eastAsia" w:asciiTheme="minorEastAsia" w:hAnsiTheme="minorEastAsia" w:eastAsiaTheme="minorEastAsia" w:cstheme="minorEastAsia"/>
                <w:i/>
                <w:sz w:val="21"/>
                <w:szCs w:val="21"/>
                <w:highlight w:val="none"/>
              </w:rPr>
              <w:t>根据项目实际需求可增加勘察专业类资质。]</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投标人须在投标文件资格审查</w:t>
            </w:r>
            <w:r>
              <w:rPr>
                <w:rFonts w:hint="eastAsia" w:asciiTheme="minorEastAsia" w:hAnsiTheme="minorEastAsia" w:eastAsiaTheme="minorEastAsia" w:cstheme="minorEastAsia"/>
                <w:b w:val="0"/>
                <w:bCs w:val="0"/>
                <w:kern w:val="2"/>
                <w:sz w:val="21"/>
                <w:szCs w:val="21"/>
                <w:highlight w:val="none"/>
              </w:rPr>
              <w:t>部分</w:t>
            </w:r>
            <w:r>
              <w:rPr>
                <w:rFonts w:hint="eastAsia" w:asciiTheme="minorEastAsia" w:hAnsiTheme="minorEastAsia" w:eastAsiaTheme="minorEastAsia" w:cstheme="minorEastAsia"/>
                <w:sz w:val="21"/>
                <w:szCs w:val="21"/>
                <w:highlight w:val="none"/>
              </w:rPr>
              <w:t>提供有效的资质证书。</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□联合体投标的，按联合体协议约定的分工分别提供相应的资质证书。</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（2）具备有效的营业执照。</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投标人须在投标文件</w:t>
            </w:r>
            <w:r>
              <w:rPr>
                <w:rFonts w:hint="eastAsia" w:asciiTheme="minorEastAsia" w:hAnsiTheme="minorEastAsia" w:eastAsiaTheme="minorEastAsia" w:cstheme="minorEastAsia"/>
                <w:b w:val="0"/>
                <w:bCs w:val="0"/>
                <w:kern w:val="2"/>
                <w:sz w:val="21"/>
                <w:szCs w:val="21"/>
                <w:highlight w:val="none"/>
              </w:rPr>
              <w:t>资</w:t>
            </w:r>
            <w:r>
              <w:rPr>
                <w:rFonts w:hint="eastAsia" w:asciiTheme="minorEastAsia" w:hAnsiTheme="minorEastAsia" w:eastAsiaTheme="minorEastAsia" w:cstheme="minorEastAsia"/>
                <w:sz w:val="21"/>
                <w:szCs w:val="21"/>
                <w:highlight w:val="none"/>
              </w:rPr>
              <w:t>格审查</w:t>
            </w:r>
            <w:r>
              <w:rPr>
                <w:rFonts w:hint="eastAsia" w:asciiTheme="minorEastAsia" w:hAnsiTheme="minorEastAsia" w:eastAsiaTheme="minorEastAsia" w:cstheme="minorEastAsia"/>
                <w:b w:val="0"/>
                <w:bCs w:val="0"/>
                <w:kern w:val="2"/>
                <w:sz w:val="21"/>
                <w:szCs w:val="21"/>
                <w:highlight w:val="none"/>
              </w:rPr>
              <w:t>部分</w:t>
            </w:r>
            <w:r>
              <w:rPr>
                <w:rFonts w:hint="eastAsia" w:asciiTheme="minorEastAsia" w:hAnsiTheme="minorEastAsia" w:eastAsiaTheme="minorEastAsia" w:cstheme="minorEastAsia"/>
                <w:sz w:val="21"/>
                <w:szCs w:val="21"/>
                <w:highlight w:val="none"/>
              </w:rPr>
              <w:t>提供有效的营业执照。注：不得将投标人营业执照记载的经营范围作为评审因素。</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□联合体投标的，联合体各方均需提供营业执照。</w:t>
            </w:r>
          </w:p>
          <w:p>
            <w:pPr>
              <w:keepNext w:val="0"/>
              <w:keepLines w:val="0"/>
              <w:pageBreakBefore w:val="0"/>
              <w:kinsoku/>
              <w:wordWrap/>
              <w:overflowPunct/>
              <w:topLinePunct w:val="0"/>
              <w:autoSpaceDE w:val="0"/>
              <w:autoSpaceDN w:val="0"/>
              <w:bidi w:val="0"/>
              <w:adjustRightInd w:val="0"/>
              <w:snapToGrid w:val="0"/>
              <w:spacing w:line="400" w:lineRule="exact"/>
              <w:ind w:firstLine="422" w:firstLineChars="200"/>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□2.财务要求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年、</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年、</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年的年度财务状况不亏损。</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i/>
                <w:kern w:val="0"/>
                <w:sz w:val="21"/>
                <w:szCs w:val="21"/>
                <w:highlight w:val="none"/>
              </w:rPr>
              <w:t>[提示：招标人可要求提供1至3年的年度财务要求。]</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投标人须在投标文件资格审查部分提供经会计师事务所或审计机构出具的合法有效的财务审计报告及财务报表，财务报表须至少包括现金流量表、资产负债表、利润表。</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sz w:val="21"/>
                <w:szCs w:val="21"/>
                <w:highlight w:val="none"/>
              </w:rPr>
              <w:t>□联合体投标的，联合体各方均需满足上述财务要求。</w:t>
            </w:r>
          </w:p>
          <w:p>
            <w:pPr>
              <w:keepNext w:val="0"/>
              <w:keepLines w:val="0"/>
              <w:pageBreakBefore w:val="0"/>
              <w:kinsoku/>
              <w:wordWrap/>
              <w:overflowPunct/>
              <w:topLinePunct w:val="0"/>
              <w:autoSpaceDE w:val="0"/>
              <w:autoSpaceDN w:val="0"/>
              <w:bidi w:val="0"/>
              <w:adjustRightInd w:val="0"/>
              <w:snapToGrid w:val="0"/>
              <w:spacing w:line="400" w:lineRule="exact"/>
              <w:ind w:firstLine="422" w:firstLineChars="200"/>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□3.业绩要求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i/>
                <w:sz w:val="21"/>
                <w:szCs w:val="21"/>
                <w:highlight w:val="none"/>
              </w:rPr>
              <w:t>[提示：1、工程类别的设定由招标人根据项目实际情况按《关于印发&lt;工程设计资质标准&gt;的通知》（建市[2007]86号）中“各行业建设项目设计规模划分表”或《建设工程分类标准》（GB/T 50841-2013）设置，采用《建设工程分类标准》（GB/T 50841-2013）的，其具体要求可使用至</w:t>
            </w:r>
            <w:r>
              <w:rPr>
                <w:rFonts w:hint="eastAsia" w:asciiTheme="minorEastAsia" w:hAnsiTheme="minorEastAsia" w:eastAsiaTheme="minorEastAsia" w:cstheme="minorEastAsia"/>
                <w:i/>
                <w:sz w:val="21"/>
                <w:szCs w:val="21"/>
                <w:highlight w:val="none"/>
                <w:lang w:val="en-US" w:eastAsia="zh-CN"/>
              </w:rPr>
              <w:t>二</w:t>
            </w:r>
            <w:r>
              <w:rPr>
                <w:rFonts w:hint="eastAsia" w:asciiTheme="minorEastAsia" w:hAnsiTheme="minorEastAsia" w:eastAsiaTheme="minorEastAsia" w:cstheme="minorEastAsia"/>
                <w:i/>
                <w:sz w:val="21"/>
                <w:szCs w:val="21"/>
                <w:highlight w:val="none"/>
              </w:rPr>
              <w:t>级目录，具体详见《建设工程分类标准》（GB/T 50841-2013）附录A、附录B、附录C；2、勘察类别应当按《住房和城乡建设部关于印发&lt;工程勘察资质标准&gt;的通知》（建市[2013]9号）中“附件3：工程勘察项目规模划分表”中“项目名称”栏设置相应的勘察类别；3、采用金额为业绩条件的，其类似项目业绩金额的设定原则上不高于该招标项目投资估算金额或工程费估算金额或勘察合同估算额的四分之三；4、采用工程规模的具体参数为业绩条件的，工程规模的勘察类别应当按《住房和城乡建设部关于印发&lt;工程勘察资质标准&gt;的通知》（建市[2013]9号）中“附件3：工程勘察项目规模划分表” 中“项目名称”栏设置相应的勘察类别，且工程规模的具体参数原则上不高于招标项目工程规模数值的四分之三（降低了相关规模标准等级的除外），投标人提供的业绩其具体参数应大于等于该业绩条件。后文中项目负责人、各专业勘察负责人的类似业绩按此要求设置。]</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投标人提供的类似业绩应同时满足以下要求：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3.1</w:t>
            </w:r>
            <w:r>
              <w:rPr>
                <w:rFonts w:hint="eastAsia" w:asciiTheme="minorEastAsia" w:hAnsiTheme="minorEastAsia" w:eastAsiaTheme="minorEastAsia" w:cstheme="minorEastAsia"/>
                <w:kern w:val="2"/>
                <w:sz w:val="21"/>
                <w:szCs w:val="21"/>
                <w:highlight w:val="none"/>
              </w:rPr>
              <w:t>业</w:t>
            </w:r>
            <w:r>
              <w:rPr>
                <w:rFonts w:hint="eastAsia" w:asciiTheme="minorEastAsia" w:hAnsiTheme="minorEastAsia" w:eastAsiaTheme="minorEastAsia" w:cstheme="minorEastAsia"/>
                <w:kern w:val="0"/>
                <w:sz w:val="21"/>
                <w:szCs w:val="21"/>
                <w:highlight w:val="none"/>
              </w:rPr>
              <w:t>绩时间要求：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投标人在</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年1月1日起</w:t>
            </w:r>
            <w:r>
              <w:rPr>
                <w:rFonts w:hint="eastAsia" w:asciiTheme="minorEastAsia" w:hAnsiTheme="minorEastAsia" w:eastAsiaTheme="minorEastAsia" w:cstheme="minorEastAsia"/>
                <w:i/>
                <w:iCs/>
                <w:kern w:val="0"/>
                <w:sz w:val="21"/>
                <w:szCs w:val="21"/>
                <w:highlight w:val="none"/>
              </w:rPr>
              <w:t>[提示：指投标截止日前3年、5年或者8年（不包含投标截止日当年），有8年以上要求的可自设]</w:t>
            </w:r>
            <w:r>
              <w:rPr>
                <w:rFonts w:hint="eastAsia" w:asciiTheme="minorEastAsia" w:hAnsiTheme="minorEastAsia" w:eastAsiaTheme="minorEastAsia" w:cstheme="minorEastAsia"/>
                <w:kern w:val="0"/>
                <w:sz w:val="21"/>
                <w:szCs w:val="21"/>
                <w:highlight w:val="none"/>
              </w:rPr>
              <w:t>至投标截止日止</w:t>
            </w:r>
            <w:r>
              <w:rPr>
                <w:rFonts w:hint="eastAsia" w:asciiTheme="minorEastAsia" w:hAnsiTheme="minorEastAsia" w:eastAsiaTheme="minorEastAsia" w:cstheme="minorEastAsia"/>
                <w:kern w:val="0"/>
                <w:sz w:val="21"/>
                <w:szCs w:val="21"/>
                <w:highlight w:val="none"/>
                <w:lang w:eastAsia="zh-CN"/>
              </w:rPr>
              <w:t>（以经施工图审查机构出具的勘察文件审查合格证明文件的时间为准，单独的测量项目以业主证明的测量报告出具时间为准）</w:t>
            </w:r>
            <w:r>
              <w:rPr>
                <w:rFonts w:hint="eastAsia" w:asciiTheme="minorEastAsia" w:hAnsiTheme="minorEastAsia" w:eastAsiaTheme="minorEastAsia" w:cstheme="minorEastAsia"/>
                <w:kern w:val="0"/>
                <w:sz w:val="21"/>
                <w:szCs w:val="21"/>
                <w:highlight w:val="none"/>
              </w:rPr>
              <w:t>具有下列已完成的类似业绩之一：①1个类似勘察业绩；②1个包含类似勘察工作的工程总承包业绩；③1个包含类似勘察工作的工程勘察设计业绩；④1个包含类似勘察工作的工程全过程咨询业绩。</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3.2业绩规模要求：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iCs/>
                <w:sz w:val="21"/>
                <w:szCs w:val="21"/>
                <w:highlight w:val="none"/>
              </w:rPr>
            </w:pPr>
            <w:r>
              <w:rPr>
                <w:rFonts w:hint="eastAsia" w:asciiTheme="minorEastAsia" w:hAnsiTheme="minorEastAsia" w:eastAsiaTheme="minorEastAsia" w:cstheme="minorEastAsia"/>
                <w:i/>
                <w:iCs/>
                <w:sz w:val="21"/>
                <w:szCs w:val="21"/>
                <w:highlight w:val="none"/>
              </w:rPr>
              <w:t>[提示：下列工程类别、勘察类别只能选择其一进行设置]</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□（1）工程类别：</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□（2）勘察类别：</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non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若同时设置了项目金额和工程规模要求，则只须满足其中之一：</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□（3）项目金额（若同时设置了以下两种及以上金额要求，则只须满足其中之一）</w:t>
            </w:r>
          </w:p>
          <w:p>
            <w:pPr>
              <w:keepNext w:val="0"/>
              <w:keepLines w:val="0"/>
              <w:pageBreakBefore w:val="0"/>
              <w:kinsoku/>
              <w:wordWrap/>
              <w:overflowPunct/>
              <w:topLinePunct w:val="0"/>
              <w:autoSpaceDE w:val="0"/>
              <w:autoSpaceDN w:val="0"/>
              <w:bidi w:val="0"/>
              <w:adjustRightInd w:val="0"/>
              <w:snapToGrid w:val="0"/>
              <w:spacing w:line="400" w:lineRule="exact"/>
              <w:ind w:firstLine="840" w:firstLineChars="400"/>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项目</w:t>
            </w:r>
            <w:r>
              <w:rPr>
                <w:rFonts w:hint="eastAsia" w:asciiTheme="minorEastAsia" w:hAnsiTheme="minorEastAsia" w:eastAsiaTheme="minorEastAsia" w:cstheme="minorEastAsia"/>
                <w:sz w:val="21"/>
                <w:szCs w:val="21"/>
                <w:highlight w:val="none"/>
              </w:rPr>
              <w:t>投资估算金额：</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840" w:firstLineChars="400"/>
              <w:textAlignment w:val="auto"/>
              <w:rPr>
                <w:rFonts w:hint="eastAsia" w:asciiTheme="minorEastAsia" w:hAnsiTheme="minorEastAsia" w:eastAsiaTheme="minorEastAsia" w:cstheme="minorEastAsia"/>
                <w:iCs/>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iCs/>
                <w:sz w:val="21"/>
                <w:szCs w:val="21"/>
                <w:highlight w:val="none"/>
              </w:rPr>
              <w:t>工程费估算金额</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840" w:firstLineChars="400"/>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□勘察合同估算</w:t>
            </w:r>
            <w:r>
              <w:rPr>
                <w:rFonts w:hint="eastAsia" w:asciiTheme="minorEastAsia" w:hAnsiTheme="minorEastAsia" w:eastAsiaTheme="minorEastAsia" w:cstheme="minorEastAsia"/>
                <w:sz w:val="21"/>
                <w:szCs w:val="21"/>
                <w:highlight w:val="none"/>
                <w:lang w:val="en-US" w:eastAsia="zh-CN"/>
              </w:rPr>
              <w:t>金</w:t>
            </w:r>
            <w:r>
              <w:rPr>
                <w:rFonts w:hint="eastAsia" w:asciiTheme="minorEastAsia" w:hAnsiTheme="minorEastAsia" w:eastAsiaTheme="minorEastAsia" w:cstheme="minorEastAsia"/>
                <w:sz w:val="21"/>
                <w:szCs w:val="21"/>
                <w:highlight w:val="none"/>
              </w:rPr>
              <w:t>额：</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iCs/>
                <w:color w:val="auto"/>
                <w:sz w:val="21"/>
                <w:szCs w:val="21"/>
                <w:highlight w:val="none"/>
                <w:u w:val="none"/>
                <w:lang w:eastAsia="zh-CN"/>
              </w:rPr>
              <w:t>（注：提供</w:t>
            </w:r>
            <w:r>
              <w:rPr>
                <w:rFonts w:hint="eastAsia" w:asciiTheme="minorEastAsia" w:hAnsiTheme="minorEastAsia" w:eastAsiaTheme="minorEastAsia" w:cstheme="minorEastAsia"/>
                <w:color w:val="auto"/>
                <w:sz w:val="21"/>
                <w:szCs w:val="21"/>
                <w:highlight w:val="none"/>
                <w:lang w:val="en-US" w:eastAsia="zh-CN"/>
              </w:rPr>
              <w:t>工程总承包业绩或工程勘察设计业绩或工程全过程咨询业绩</w:t>
            </w:r>
            <w:r>
              <w:rPr>
                <w:rFonts w:hint="eastAsia" w:asciiTheme="minorEastAsia" w:hAnsiTheme="minorEastAsia" w:eastAsiaTheme="minorEastAsia" w:cstheme="minorEastAsia"/>
                <w:iCs/>
                <w:color w:val="auto"/>
                <w:sz w:val="21"/>
                <w:szCs w:val="21"/>
                <w:highlight w:val="none"/>
                <w:u w:val="none"/>
                <w:lang w:eastAsia="zh-CN"/>
              </w:rPr>
              <w:t>的，</w:t>
            </w:r>
            <w:r>
              <w:rPr>
                <w:rFonts w:hint="eastAsia" w:asciiTheme="minorEastAsia" w:hAnsiTheme="minorEastAsia" w:eastAsiaTheme="minorEastAsia" w:cstheme="minorEastAsia"/>
                <w:iCs/>
                <w:color w:val="auto"/>
                <w:sz w:val="21"/>
                <w:szCs w:val="21"/>
                <w:highlight w:val="none"/>
                <w:u w:val="none"/>
                <w:lang w:val="en-US" w:eastAsia="zh-CN"/>
              </w:rPr>
              <w:t>其中勘察</w:t>
            </w:r>
            <w:r>
              <w:rPr>
                <w:rFonts w:hint="eastAsia" w:asciiTheme="minorEastAsia" w:hAnsiTheme="minorEastAsia" w:eastAsiaTheme="minorEastAsia" w:cstheme="minorEastAsia"/>
                <w:iCs/>
                <w:color w:val="auto"/>
                <w:sz w:val="21"/>
                <w:szCs w:val="21"/>
                <w:highlight w:val="none"/>
                <w:u w:val="none"/>
                <w:lang w:eastAsia="zh-CN"/>
              </w:rPr>
              <w:t>部分的合同金额须</w:t>
            </w:r>
            <w:r>
              <w:rPr>
                <w:rFonts w:hint="eastAsia" w:asciiTheme="minorEastAsia" w:hAnsiTheme="minorEastAsia" w:eastAsiaTheme="minorEastAsia" w:cstheme="minorEastAsia"/>
                <w:iCs/>
                <w:color w:val="auto"/>
                <w:sz w:val="21"/>
                <w:szCs w:val="21"/>
                <w:highlight w:val="none"/>
                <w:u w:val="none"/>
                <w:lang w:val="en-US" w:eastAsia="zh-CN"/>
              </w:rPr>
              <w:t>达到该</w:t>
            </w:r>
            <w:r>
              <w:rPr>
                <w:rFonts w:hint="eastAsia" w:asciiTheme="minorEastAsia" w:hAnsiTheme="minorEastAsia" w:eastAsiaTheme="minorEastAsia" w:cstheme="minorEastAsia"/>
                <w:iCs/>
                <w:color w:val="auto"/>
                <w:sz w:val="21"/>
                <w:szCs w:val="21"/>
                <w:highlight w:val="none"/>
                <w:u w:val="none"/>
                <w:lang w:eastAsia="zh-CN"/>
              </w:rPr>
              <w:t>金额</w:t>
            </w:r>
            <w:r>
              <w:rPr>
                <w:rFonts w:hint="eastAsia" w:asciiTheme="minorEastAsia" w:hAnsiTheme="minorEastAsia" w:eastAsiaTheme="minorEastAsia" w:cstheme="minorEastAsia"/>
                <w:iCs/>
                <w:color w:val="auto"/>
                <w:sz w:val="21"/>
                <w:szCs w:val="21"/>
                <w:highlight w:val="none"/>
                <w:u w:val="none"/>
                <w:lang w:val="en-US" w:eastAsia="zh-CN"/>
              </w:rPr>
              <w:t>要求</w:t>
            </w:r>
            <w:r>
              <w:rPr>
                <w:rFonts w:hint="eastAsia" w:asciiTheme="minorEastAsia" w:hAnsiTheme="minorEastAsia" w:eastAsiaTheme="minorEastAsia" w:cstheme="minorEastAsia"/>
                <w:iCs/>
                <w:color w:val="auto"/>
                <w:sz w:val="21"/>
                <w:szCs w:val="21"/>
                <w:highlight w:val="none"/>
                <w:u w:val="none"/>
                <w:lang w:eastAsia="zh-CN"/>
              </w:rPr>
              <w:t>）</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□（4）工程规模：</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[提示：根据招标项目实际情况选用。]</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3.3业绩证明材料要求：</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投标人须在投标文件资格审查部分提供中标通知书（直接发包的项目可提供项目发包人出具的项目直接发包情况说明或证明文书代替）、合同协议书、</w:t>
            </w:r>
            <w:r>
              <w:rPr>
                <w:rFonts w:hint="eastAsia" w:asciiTheme="minorEastAsia" w:hAnsiTheme="minorEastAsia" w:eastAsiaTheme="minorEastAsia" w:cstheme="minorEastAsia"/>
                <w:sz w:val="21"/>
                <w:szCs w:val="21"/>
                <w:highlight w:val="none"/>
                <w:lang w:eastAsia="zh-CN"/>
              </w:rPr>
              <w:t>经施工图审查机构出具的勘察文件审查合格证明文件</w:t>
            </w:r>
            <w:r>
              <w:rPr>
                <w:rFonts w:hint="eastAsia" w:asciiTheme="minorEastAsia" w:hAnsiTheme="minorEastAsia" w:eastAsiaTheme="minorEastAsia" w:cstheme="minorEastAsia"/>
                <w:sz w:val="21"/>
                <w:szCs w:val="21"/>
                <w:highlight w:val="none"/>
              </w:rPr>
              <w:t>材料</w:t>
            </w:r>
            <w:r>
              <w:rPr>
                <w:rFonts w:hint="eastAsia" w:asciiTheme="minorEastAsia" w:hAnsiTheme="minorEastAsia" w:eastAsiaTheme="minorEastAsia" w:cstheme="minorEastAsia"/>
                <w:color w:val="auto"/>
                <w:sz w:val="21"/>
                <w:szCs w:val="21"/>
                <w:highlight w:val="none"/>
              </w:rPr>
              <w:t>（单独的测量项目提供测量报告</w:t>
            </w:r>
            <w:r>
              <w:rPr>
                <w:rFonts w:hint="eastAsia" w:asciiTheme="minorEastAsia" w:hAnsiTheme="minorEastAsia" w:eastAsiaTheme="minorEastAsia" w:cstheme="minorEastAsia"/>
                <w:color w:val="auto"/>
                <w:sz w:val="21"/>
                <w:szCs w:val="21"/>
                <w:highlight w:val="none"/>
                <w:lang w:val="en-US" w:eastAsia="zh-CN"/>
              </w:rPr>
              <w:t>和业主证明</w:t>
            </w:r>
            <w:r>
              <w:rPr>
                <w:rFonts w:hint="eastAsia" w:asciiTheme="minorEastAsia" w:hAnsiTheme="minorEastAsia" w:eastAsiaTheme="minorEastAsia" w:cstheme="minorEastAsia"/>
                <w:color w:val="auto"/>
                <w:sz w:val="21"/>
                <w:szCs w:val="21"/>
                <w:highlight w:val="none"/>
              </w:rPr>
              <w:t>代替）</w:t>
            </w:r>
            <w:r>
              <w:rPr>
                <w:rFonts w:hint="eastAsia" w:asciiTheme="minorEastAsia" w:hAnsiTheme="minorEastAsia" w:eastAsiaTheme="minorEastAsia" w:cstheme="minorEastAsia"/>
                <w:sz w:val="21"/>
                <w:szCs w:val="21"/>
                <w:highlight w:val="none"/>
              </w:rPr>
              <w:t>。若提供的上述业绩证明材料不能体现工程类别</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如有</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、勘察类别</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如有</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项目金额（如有）</w:t>
            </w:r>
            <w:r>
              <w:rPr>
                <w:rFonts w:hint="eastAsia" w:asciiTheme="minorEastAsia" w:hAnsiTheme="minorEastAsia" w:eastAsiaTheme="minorEastAsia" w:cstheme="minorEastAsia"/>
                <w:sz w:val="21"/>
                <w:szCs w:val="21"/>
                <w:highlight w:val="none"/>
              </w:rPr>
              <w:t>、工程规模（如有）信息的，</w:t>
            </w:r>
            <w:r>
              <w:rPr>
                <w:rFonts w:hint="eastAsia" w:ascii="宋体" w:hAnsi="宋体"/>
                <w:szCs w:val="21"/>
              </w:rPr>
              <w:t>还须提供</w:t>
            </w:r>
            <w:r>
              <w:rPr>
                <w:rFonts w:hint="eastAsia" w:ascii="宋体" w:hAnsi="宋体"/>
                <w:szCs w:val="21"/>
                <w:lang w:val="en-US" w:eastAsia="zh-CN"/>
              </w:rPr>
              <w:t>该业绩的</w:t>
            </w:r>
            <w:r>
              <w:rPr>
                <w:rFonts w:hint="eastAsia" w:asciiTheme="minorEastAsia" w:hAnsiTheme="minorEastAsia" w:eastAsiaTheme="minorEastAsia" w:cstheme="minorEastAsia"/>
                <w:sz w:val="21"/>
                <w:szCs w:val="21"/>
                <w:highlight w:val="none"/>
              </w:rPr>
              <w:t>业主证明。不满足上述业绩要求的业绩</w:t>
            </w:r>
            <w:r>
              <w:rPr>
                <w:rFonts w:hint="eastAsia" w:asciiTheme="minorEastAsia" w:hAnsiTheme="minorEastAsia" w:eastAsiaTheme="minorEastAsia" w:cstheme="minorEastAsia"/>
                <w:sz w:val="21"/>
                <w:szCs w:val="21"/>
                <w:highlight w:val="none"/>
                <w:lang w:val="en-US" w:eastAsia="zh-CN"/>
              </w:rPr>
              <w:t>视为</w:t>
            </w:r>
            <w:r>
              <w:rPr>
                <w:rFonts w:hint="eastAsia" w:asciiTheme="minorEastAsia" w:hAnsiTheme="minorEastAsia" w:eastAsiaTheme="minorEastAsia" w:cstheme="minorEastAsia"/>
                <w:sz w:val="21"/>
                <w:szCs w:val="21"/>
                <w:highlight w:val="none"/>
              </w:rPr>
              <w:t>无效。</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□联合体投标的，按联合体协议约定的分工分别提供相应的业绩。</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注：（1）</w:t>
            </w:r>
            <w:r>
              <w:rPr>
                <w:rFonts w:hint="eastAsia" w:asciiTheme="minorEastAsia" w:hAnsiTheme="minorEastAsia" w:eastAsiaTheme="minorEastAsia" w:cstheme="minorEastAsia"/>
                <w:sz w:val="21"/>
                <w:szCs w:val="21"/>
                <w:highlight w:val="none"/>
              </w:rPr>
              <w:t>投标人应对其提供的业绩证明材料的真实性负责。</w:t>
            </w:r>
            <w:r>
              <w:rPr>
                <w:rFonts w:hint="eastAsia" w:ascii="宋体" w:hAnsi="宋体"/>
                <w:szCs w:val="21"/>
              </w:rPr>
              <w:t>当上述资料中针对同一指标存在不一致时</w:t>
            </w:r>
            <w:r>
              <w:rPr>
                <w:rFonts w:hint="eastAsia" w:asciiTheme="minorEastAsia" w:hAnsiTheme="minorEastAsia" w:eastAsiaTheme="minorEastAsia" w:cstheme="minorEastAsia"/>
                <w:sz w:val="21"/>
                <w:szCs w:val="21"/>
                <w:highlight w:val="none"/>
              </w:rPr>
              <w:t>，以</w:t>
            </w:r>
            <w:r>
              <w:rPr>
                <w:rFonts w:hint="eastAsia" w:asciiTheme="minorEastAsia" w:hAnsiTheme="minorEastAsia" w:eastAsiaTheme="minorEastAsia" w:cstheme="minorEastAsia"/>
                <w:sz w:val="21"/>
                <w:szCs w:val="21"/>
                <w:highlight w:val="none"/>
                <w:lang w:eastAsia="zh-CN"/>
              </w:rPr>
              <w:t>经施工图审查机构出具的勘察文件审查合格证明文件</w:t>
            </w:r>
            <w:r>
              <w:rPr>
                <w:rFonts w:hint="eastAsia" w:asciiTheme="minorEastAsia" w:hAnsiTheme="minorEastAsia" w:eastAsiaTheme="minorEastAsia" w:cstheme="minorEastAsia"/>
                <w:sz w:val="21"/>
                <w:szCs w:val="21"/>
                <w:highlight w:val="none"/>
              </w:rPr>
              <w:t>体现的信息为准。</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rPr>
              <w:t>投标人提供的业绩为联合体业绩的，其在该业绩中的工作分工应与本项目承担的工作一致。</w:t>
            </w:r>
          </w:p>
          <w:p>
            <w:pPr>
              <w:keepNext w:val="0"/>
              <w:keepLines w:val="0"/>
              <w:pageBreakBefore w:val="0"/>
              <w:kinsoku/>
              <w:wordWrap/>
              <w:overflowPunct/>
              <w:topLinePunct w:val="0"/>
              <w:bidi w:val="0"/>
              <w:adjustRightInd w:val="0"/>
              <w:snapToGrid w:val="0"/>
              <w:spacing w:line="400" w:lineRule="exact"/>
              <w:ind w:firstLine="422" w:firstLineChars="200"/>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不满足上述业绩要求的业绩视为无效。</w:t>
            </w:r>
          </w:p>
          <w:p>
            <w:pPr>
              <w:keepNext w:val="0"/>
              <w:keepLines w:val="0"/>
              <w:pageBreakBefore w:val="0"/>
              <w:kinsoku/>
              <w:wordWrap/>
              <w:overflowPunct/>
              <w:topLinePunct w:val="0"/>
              <w:bidi w:val="0"/>
              <w:adjustRightInd w:val="0"/>
              <w:snapToGrid w:val="0"/>
              <w:spacing w:line="400" w:lineRule="exact"/>
              <w:ind w:firstLine="422" w:firstLineChars="200"/>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4.投标截止日投标资格情况</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投标人自行承诺（格式见第六章投标文件格式）不得存在下列情形之一：</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（1）被人民法院列入失信被执行人名单且在被执行期内；</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（2）被列入《重庆市工程建设领域招标投标信用管理暂行办法》规定的重点关注名单且记分达到12分且在记分有效期内；</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（3）被列入《重庆市工程建设领域招标投标信用管理暂行办法》规定的重庆市工程建设领域招标投标失信惩戒对象名单（以下称黑名单）且在记分有效期内；</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（4）被国家、重庆市（含市或任意区县）有关行政部门处以暂停投标资格行政处罚或暂停在渝承揽新业务，且在暂停期限内。</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投标人须在投标文件资格审查部分提供承诺（格式见第六章投标文件格式）。</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□联合体投标的，联合体各成员均不得存在以上情形之一，由联合体牵头人代表联合体各成员进行承诺。</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上述第（2）、（3）款信用情况在开标</w:t>
            </w:r>
            <w:r>
              <w:rPr>
                <w:rFonts w:hint="eastAsia" w:asciiTheme="minorEastAsia" w:hAnsiTheme="minorEastAsia" w:eastAsiaTheme="minorEastAsia" w:cstheme="minorEastAsia"/>
                <w:sz w:val="21"/>
                <w:szCs w:val="21"/>
                <w:highlight w:val="none"/>
                <w:lang w:val="en-US" w:eastAsia="zh-CN"/>
              </w:rPr>
              <w:t>环节</w:t>
            </w:r>
            <w:r>
              <w:rPr>
                <w:rFonts w:hint="eastAsia" w:asciiTheme="minorEastAsia" w:hAnsiTheme="minorEastAsia" w:eastAsiaTheme="minorEastAsia" w:cstheme="minorEastAsia"/>
                <w:sz w:val="21"/>
                <w:szCs w:val="21"/>
                <w:highlight w:val="none"/>
              </w:rPr>
              <w:t>进行查询，查询结果交由评标委员会评审，若投标人针对上述第（2）、（3）款的承诺内容与查询结果不符，由评标委员会作否决投标处理。</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注：投标人是否因有不良行为记分、进入重点关注名单或黑名单而被限制投标的，以开标环节信用状况查询结果为准。联合体投标的，任一成员单位出现被限制投标的情形，该联合体将被否决投标。</w:t>
            </w:r>
          </w:p>
          <w:p>
            <w:pPr>
              <w:keepNext w:val="0"/>
              <w:keepLines w:val="0"/>
              <w:pageBreakBefore w:val="0"/>
              <w:kinsoku/>
              <w:wordWrap/>
              <w:overflowPunct/>
              <w:topLinePunct w:val="0"/>
              <w:bidi w:val="0"/>
              <w:snapToGrid w:val="0"/>
              <w:spacing w:line="400" w:lineRule="exact"/>
              <w:ind w:firstLine="422" w:firstLineChars="200"/>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5.项目负责人资格要求</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5.1投标人拟派的项目负责人必须是投标人本单位人员，□</w:t>
            </w:r>
            <w:r>
              <w:rPr>
                <w:rFonts w:hint="eastAsia" w:asciiTheme="minorEastAsia" w:hAnsiTheme="minorEastAsia" w:eastAsiaTheme="minorEastAsia" w:cstheme="minorEastAsia"/>
                <w:sz w:val="21"/>
                <w:szCs w:val="21"/>
                <w:highlight w:val="none"/>
                <w:lang w:eastAsia="zh-CN"/>
              </w:rPr>
              <w:t>具有</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级及以上□</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 w:val="21"/>
                <w:szCs w:val="21"/>
                <w:highlight w:val="none"/>
              </w:rPr>
              <w:t>专业</w:t>
            </w:r>
            <w:r>
              <w:rPr>
                <w:rFonts w:hint="eastAsia" w:asciiTheme="minorEastAsia" w:hAnsiTheme="minorEastAsia" w:eastAsiaTheme="minorEastAsia" w:cstheme="minorEastAsia"/>
                <w:sz w:val="21"/>
                <w:szCs w:val="21"/>
                <w:highlight w:val="none"/>
                <w:lang w:val="en-US" w:eastAsia="zh-CN"/>
              </w:rPr>
              <w:t>技术</w:t>
            </w:r>
            <w:r>
              <w:rPr>
                <w:rFonts w:hint="eastAsia" w:asciiTheme="minorEastAsia" w:hAnsiTheme="minorEastAsia" w:eastAsiaTheme="minorEastAsia" w:cstheme="minorEastAsia"/>
                <w:sz w:val="21"/>
                <w:szCs w:val="21"/>
                <w:highlight w:val="none"/>
              </w:rPr>
              <w:t>职称；□同时具有注册土木工程师（岩土）专业或一级注册结构工程师执业资格并已在投标人本单位注册</w:t>
            </w:r>
            <w:r>
              <w:rPr>
                <w:rFonts w:hint="eastAsia" w:asciiTheme="minorEastAsia" w:hAnsiTheme="minorEastAsia" w:eastAsiaTheme="minorEastAsia" w:cstheme="minorEastAsia"/>
                <w:sz w:val="21"/>
                <w:szCs w:val="21"/>
                <w:highlight w:val="none"/>
                <w:lang w:eastAsia="zh-CN"/>
              </w:rPr>
              <w:t>执业</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招标人在编制招标文件时，可根据项目实际情况按本提示要求设置项目负责人及勘察团队其他主要人员的注册执业资格或专业技术职称。勘察专业注册执业资格按照《住房和城乡建设部关于印发&lt;工程勘察资质标准&gt;的通知》（建市[2013]9号）中“附件1： 工程勘察行业主要专业技术人员配备表”要求，以及住房城乡建设部《关于印发《工程勘察资质标准实施办法》的通知》(建市【2013】86号)的规定，除岩土工程、岩土工程（分项）注册人员应具备注册土木工程师（岩土）专业或一级注册结构工程师执业资格外，非注册专业人员具有专业技术职称即可。]</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i w:val="0"/>
                <w:iCs/>
                <w:sz w:val="21"/>
                <w:szCs w:val="21"/>
                <w:highlight w:val="none"/>
              </w:rPr>
            </w:pPr>
            <w:r>
              <w:rPr>
                <w:rFonts w:hint="eastAsia" w:asciiTheme="minorEastAsia" w:hAnsiTheme="minorEastAsia" w:eastAsiaTheme="minorEastAsia" w:cstheme="minorEastAsia"/>
                <w:i w:val="0"/>
                <w:iCs/>
                <w:sz w:val="21"/>
                <w:szCs w:val="21"/>
                <w:highlight w:val="none"/>
              </w:rPr>
              <w:t>投标人须在投标文件资格审查部分提供有效的拟派项目负责人的身份证、□职称证（若要求技术职称专业但职称证书无法体现专业的，可以提供学历证书或注册证书）、□注册证（国家未开展注册工作的，投标人提供执业资格证书即可；注册证书未载明注册执业单位的，注册执业单位以养老保险证明材料为准），投标人为其缴纳的养老保险证明材料。</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val="0"/>
                <w:iCs/>
                <w:sz w:val="21"/>
                <w:szCs w:val="21"/>
                <w:highlight w:val="none"/>
              </w:rPr>
              <w:t>□联合体投标的，项目负责人由联合体牵头人提供。</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5.2投标人须承诺拟派项目负责人履职和未被禁止参与投标。</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履职承诺要求：承诺拟派项目负责人中标后在本项目履职，签订合同时拟派的项目负责人必须与投标文件中的项目负责人一致，并满足办理相关手续的要求。不能按承诺履职的，招标人将按合同相关条款要求投标人承担责任并上报行政主管部门，给招标人造成损失的，投标人依法承担违约</w:t>
            </w:r>
            <w:r>
              <w:rPr>
                <w:rFonts w:hint="eastAsia" w:asciiTheme="minorEastAsia" w:hAnsiTheme="minorEastAsia" w:eastAsiaTheme="minorEastAsia" w:cstheme="minorEastAsia"/>
                <w:sz w:val="21"/>
                <w:szCs w:val="21"/>
                <w:highlight w:val="none"/>
                <w:lang w:val="en-US" w:eastAsia="zh-CN"/>
              </w:rPr>
              <w:t>责任或</w:t>
            </w:r>
            <w:r>
              <w:rPr>
                <w:rFonts w:hint="eastAsia" w:asciiTheme="minorEastAsia" w:hAnsiTheme="minorEastAsia" w:eastAsiaTheme="minorEastAsia" w:cstheme="minorEastAsia"/>
                <w:sz w:val="21"/>
                <w:szCs w:val="21"/>
                <w:highlight w:val="none"/>
              </w:rPr>
              <w:t>赔偿责任。拟派项目负责人中标后不得随意更换。</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（2）未被禁止参与投标承诺要求：承诺拟派项目负责人未被重庆市</w:t>
            </w:r>
            <w:r>
              <w:rPr>
                <w:rFonts w:hint="eastAsia" w:ascii="宋体" w:hAnsi="宋体"/>
                <w:color w:val="auto"/>
                <w:szCs w:val="21"/>
                <w:highlight w:val="none"/>
                <w:lang w:val="en-US" w:eastAsia="zh-CN"/>
              </w:rPr>
              <w:t>（含市或任意区县）有关行业主管部门暂停其在渝承揽的新业务中任职。若其被暂停在渝承揽的新业务中任职但仍参加投标，</w:t>
            </w:r>
            <w:r>
              <w:rPr>
                <w:rFonts w:hint="eastAsia" w:asciiTheme="minorEastAsia" w:hAnsiTheme="minorEastAsia" w:eastAsiaTheme="minorEastAsia" w:cstheme="minorEastAsia"/>
                <w:sz w:val="21"/>
                <w:szCs w:val="21"/>
                <w:highlight w:val="none"/>
              </w:rPr>
              <w:t>将被否决投标；已取得中标候选人资格或中标资格的，招标人有权取消其中标候选人资格或中标资格；给招标人造成损失的，投标人依法承担违约</w:t>
            </w:r>
            <w:r>
              <w:rPr>
                <w:rFonts w:hint="eastAsia" w:asciiTheme="minorEastAsia" w:hAnsiTheme="minorEastAsia" w:eastAsiaTheme="minorEastAsia" w:cstheme="minorEastAsia"/>
                <w:sz w:val="21"/>
                <w:szCs w:val="21"/>
                <w:highlight w:val="none"/>
                <w:lang w:val="en-US" w:eastAsia="zh-CN"/>
              </w:rPr>
              <w:t>责任或</w:t>
            </w:r>
            <w:r>
              <w:rPr>
                <w:rFonts w:hint="eastAsia" w:asciiTheme="minorEastAsia" w:hAnsiTheme="minorEastAsia" w:eastAsiaTheme="minorEastAsia" w:cstheme="minorEastAsia"/>
                <w:sz w:val="21"/>
                <w:szCs w:val="21"/>
                <w:highlight w:val="none"/>
              </w:rPr>
              <w:t>赔偿责任。</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（3）未提供上述承诺或承诺内容不符合要求的，由评标委员会作否决投标处理。以上承诺同时作为合同的附件。</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投标人须在投标文件资格审查部分提供拟派项目负责人履职和未被禁止参与投标的承诺（承诺格式见第六章投标文件格式）。</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□5.3拟派</w:t>
            </w:r>
            <w:r>
              <w:rPr>
                <w:rFonts w:hint="eastAsia" w:asciiTheme="minorEastAsia" w:hAnsiTheme="minorEastAsia" w:eastAsiaTheme="minorEastAsia" w:cstheme="minorEastAsia"/>
                <w:kern w:val="0"/>
                <w:sz w:val="21"/>
                <w:szCs w:val="21"/>
                <w:highlight w:val="none"/>
              </w:rPr>
              <w:t>项目负责人</w:t>
            </w:r>
            <w:r>
              <w:rPr>
                <w:rFonts w:hint="eastAsia" w:asciiTheme="minorEastAsia" w:hAnsiTheme="minorEastAsia" w:eastAsiaTheme="minorEastAsia" w:cstheme="minorEastAsia"/>
                <w:sz w:val="21"/>
                <w:szCs w:val="21"/>
                <w:highlight w:val="none"/>
              </w:rPr>
              <w:t>业绩</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投标人提供的拟派项目负责人业绩应同时满足以下要求：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（1）业绩时间要求：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拟派项目负责人在</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年1月1日起</w:t>
            </w:r>
            <w:r>
              <w:rPr>
                <w:rFonts w:hint="eastAsia" w:asciiTheme="minorEastAsia" w:hAnsiTheme="minorEastAsia" w:eastAsiaTheme="minorEastAsia" w:cstheme="minorEastAsia"/>
                <w:i/>
                <w:iCs/>
                <w:kern w:val="0"/>
                <w:sz w:val="21"/>
                <w:szCs w:val="21"/>
                <w:highlight w:val="none"/>
              </w:rPr>
              <w:t>[提示：指投标截止日前3年、5年或者8年（不包含投标截止日当年），有8年以上要求的可自设]</w:t>
            </w:r>
            <w:r>
              <w:rPr>
                <w:rFonts w:hint="eastAsia" w:asciiTheme="minorEastAsia" w:hAnsiTheme="minorEastAsia" w:eastAsiaTheme="minorEastAsia" w:cstheme="minorEastAsia"/>
                <w:kern w:val="0"/>
                <w:sz w:val="21"/>
                <w:szCs w:val="21"/>
                <w:highlight w:val="none"/>
              </w:rPr>
              <w:t>至投标截止日止（以经施工图审查机构出具的勘察文件审查合格证明文件的时间为准，单独的测量项目以业主证明的测量报告出具时间为准）具有下列已完成的类似业绩之一：①在1个类似勘察业绩中担任项目负责人；②在1个包含类似勘察工作的工程总承包业绩中担任勘察负责人；③在1个包含类似勘察工作的工程勘察设计业绩中担任勘察负责人；④在1个包含类似勘察工作的工程全过程咨询业绩中担任勘察负责人。</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（2）业绩规模要求：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iCs/>
                <w:kern w:val="0"/>
                <w:sz w:val="21"/>
                <w:szCs w:val="21"/>
                <w:highlight w:val="none"/>
              </w:rPr>
            </w:pPr>
            <w:r>
              <w:rPr>
                <w:rFonts w:hint="eastAsia" w:asciiTheme="minorEastAsia" w:hAnsiTheme="minorEastAsia" w:eastAsiaTheme="minorEastAsia" w:cstheme="minorEastAsia"/>
                <w:i/>
                <w:iCs/>
                <w:kern w:val="0"/>
                <w:sz w:val="21"/>
                <w:szCs w:val="21"/>
                <w:highlight w:val="none"/>
              </w:rPr>
              <w:t>[提示：下列工程类别、勘察类别只能选择其一进行设置]</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□①工程类别：</w:t>
            </w:r>
            <w:r>
              <w:rPr>
                <w:rFonts w:hint="eastAsia" w:asciiTheme="minorEastAsia" w:hAnsiTheme="minorEastAsia" w:eastAsiaTheme="minorEastAsia" w:cstheme="minorEastAsia"/>
                <w:kern w:val="0"/>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kern w:val="0"/>
                <w:sz w:val="21"/>
                <w:szCs w:val="21"/>
                <w:highlight w:val="none"/>
              </w:rPr>
              <w:t>□②勘察类别：</w:t>
            </w:r>
            <w:r>
              <w:rPr>
                <w:rFonts w:hint="eastAsia" w:asciiTheme="minorEastAsia" w:hAnsiTheme="minorEastAsia" w:eastAsiaTheme="minorEastAsia" w:cstheme="minorEastAsia"/>
                <w:kern w:val="0"/>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若同时设置了项目金额和工程规模要求，则只须满足其中之一：</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□③项目金额（若同时设置了以下两种及以上金额要求，则只须满足其中之一）</w:t>
            </w:r>
          </w:p>
          <w:p>
            <w:pPr>
              <w:keepNext w:val="0"/>
              <w:keepLines w:val="0"/>
              <w:pageBreakBefore w:val="0"/>
              <w:kinsoku/>
              <w:wordWrap/>
              <w:overflowPunct/>
              <w:topLinePunct w:val="0"/>
              <w:autoSpaceDE w:val="0"/>
              <w:autoSpaceDN w:val="0"/>
              <w:bidi w:val="0"/>
              <w:adjustRightInd w:val="0"/>
              <w:snapToGrid w:val="0"/>
              <w:spacing w:line="400" w:lineRule="exact"/>
              <w:ind w:firstLine="840" w:firstLineChars="400"/>
              <w:textAlignment w:val="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项目</w:t>
            </w:r>
            <w:r>
              <w:rPr>
                <w:rFonts w:hint="eastAsia" w:asciiTheme="minorEastAsia" w:hAnsiTheme="minorEastAsia" w:eastAsiaTheme="minorEastAsia" w:cstheme="minorEastAsia"/>
                <w:sz w:val="21"/>
                <w:szCs w:val="21"/>
                <w:highlight w:val="none"/>
              </w:rPr>
              <w:t>投资估算金额：</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840" w:firstLineChars="400"/>
              <w:textAlignment w:val="auto"/>
              <w:rPr>
                <w:rFonts w:hint="eastAsia" w:asciiTheme="minorEastAsia" w:hAnsiTheme="minorEastAsia" w:eastAsiaTheme="minorEastAsia" w:cstheme="minorEastAsia"/>
                <w:iCs/>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iCs/>
                <w:sz w:val="21"/>
                <w:szCs w:val="21"/>
                <w:highlight w:val="none"/>
              </w:rPr>
              <w:t>工程费估算金额</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840" w:firstLineChars="400"/>
              <w:textAlignment w:val="auto"/>
              <w:rPr>
                <w:rFonts w:hint="eastAsia" w:asciiTheme="minorEastAsia" w:hAnsiTheme="minorEastAsia" w:eastAsiaTheme="minorEastAsia" w:cstheme="minorEastAsia"/>
                <w:sz w:val="21"/>
                <w:szCs w:val="21"/>
                <w:highlight w:val="none"/>
                <w:u w:val="none"/>
              </w:rPr>
            </w:pPr>
            <w:r>
              <w:rPr>
                <w:rFonts w:hint="eastAsia" w:asciiTheme="minorEastAsia" w:hAnsiTheme="minorEastAsia" w:eastAsiaTheme="minorEastAsia" w:cstheme="minorEastAsia"/>
                <w:sz w:val="21"/>
                <w:szCs w:val="21"/>
                <w:highlight w:val="none"/>
              </w:rPr>
              <w:t>□勘察合同估算</w:t>
            </w:r>
            <w:r>
              <w:rPr>
                <w:rFonts w:hint="eastAsia" w:asciiTheme="minorEastAsia" w:hAnsiTheme="minorEastAsia" w:eastAsiaTheme="minorEastAsia" w:cstheme="minorEastAsia"/>
                <w:sz w:val="21"/>
                <w:szCs w:val="21"/>
                <w:highlight w:val="none"/>
                <w:lang w:val="en-US" w:eastAsia="zh-CN"/>
              </w:rPr>
              <w:t>金</w:t>
            </w:r>
            <w:r>
              <w:rPr>
                <w:rFonts w:hint="eastAsia" w:asciiTheme="minorEastAsia" w:hAnsiTheme="minorEastAsia" w:eastAsiaTheme="minorEastAsia" w:cstheme="minorEastAsia"/>
                <w:sz w:val="21"/>
                <w:szCs w:val="21"/>
                <w:highlight w:val="none"/>
              </w:rPr>
              <w:t>额：</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iCs/>
                <w:color w:val="auto"/>
                <w:sz w:val="21"/>
                <w:szCs w:val="21"/>
                <w:highlight w:val="none"/>
                <w:u w:val="none"/>
                <w:lang w:eastAsia="zh-CN"/>
              </w:rPr>
              <w:t>（注：提供</w:t>
            </w:r>
            <w:r>
              <w:rPr>
                <w:rFonts w:hint="eastAsia" w:asciiTheme="minorEastAsia" w:hAnsiTheme="minorEastAsia" w:eastAsiaTheme="minorEastAsia" w:cstheme="minorEastAsia"/>
                <w:color w:val="auto"/>
                <w:sz w:val="21"/>
                <w:szCs w:val="21"/>
                <w:highlight w:val="none"/>
                <w:lang w:val="en-US" w:eastAsia="zh-CN"/>
              </w:rPr>
              <w:t>工程总承包业绩或工程勘察设计业绩或工程全过程咨询业绩</w:t>
            </w:r>
            <w:r>
              <w:rPr>
                <w:rFonts w:hint="eastAsia" w:asciiTheme="minorEastAsia" w:hAnsiTheme="minorEastAsia" w:eastAsiaTheme="minorEastAsia" w:cstheme="minorEastAsia"/>
                <w:iCs/>
                <w:color w:val="auto"/>
                <w:sz w:val="21"/>
                <w:szCs w:val="21"/>
                <w:highlight w:val="none"/>
                <w:u w:val="none"/>
                <w:lang w:eastAsia="zh-CN"/>
              </w:rPr>
              <w:t>的，</w:t>
            </w:r>
            <w:r>
              <w:rPr>
                <w:rFonts w:hint="eastAsia" w:asciiTheme="minorEastAsia" w:hAnsiTheme="minorEastAsia" w:eastAsiaTheme="minorEastAsia" w:cstheme="minorEastAsia"/>
                <w:iCs/>
                <w:color w:val="auto"/>
                <w:sz w:val="21"/>
                <w:szCs w:val="21"/>
                <w:highlight w:val="none"/>
                <w:u w:val="none"/>
                <w:lang w:val="en-US" w:eastAsia="zh-CN"/>
              </w:rPr>
              <w:t>其中勘察</w:t>
            </w:r>
            <w:r>
              <w:rPr>
                <w:rFonts w:hint="eastAsia" w:asciiTheme="minorEastAsia" w:hAnsiTheme="minorEastAsia" w:eastAsiaTheme="minorEastAsia" w:cstheme="minorEastAsia"/>
                <w:iCs/>
                <w:color w:val="auto"/>
                <w:sz w:val="21"/>
                <w:szCs w:val="21"/>
                <w:highlight w:val="none"/>
                <w:u w:val="none"/>
                <w:lang w:eastAsia="zh-CN"/>
              </w:rPr>
              <w:t>部分的合同金额须</w:t>
            </w:r>
            <w:r>
              <w:rPr>
                <w:rFonts w:hint="eastAsia" w:asciiTheme="minorEastAsia" w:hAnsiTheme="minorEastAsia" w:eastAsiaTheme="minorEastAsia" w:cstheme="minorEastAsia"/>
                <w:iCs/>
                <w:color w:val="auto"/>
                <w:sz w:val="21"/>
                <w:szCs w:val="21"/>
                <w:highlight w:val="none"/>
                <w:u w:val="none"/>
                <w:lang w:val="en-US" w:eastAsia="zh-CN"/>
              </w:rPr>
              <w:t>达到该</w:t>
            </w:r>
            <w:r>
              <w:rPr>
                <w:rFonts w:hint="eastAsia" w:asciiTheme="minorEastAsia" w:hAnsiTheme="minorEastAsia" w:eastAsiaTheme="minorEastAsia" w:cstheme="minorEastAsia"/>
                <w:iCs/>
                <w:color w:val="auto"/>
                <w:sz w:val="21"/>
                <w:szCs w:val="21"/>
                <w:highlight w:val="none"/>
                <w:u w:val="none"/>
                <w:lang w:eastAsia="zh-CN"/>
              </w:rPr>
              <w:t>金额</w:t>
            </w:r>
            <w:r>
              <w:rPr>
                <w:rFonts w:hint="eastAsia" w:asciiTheme="minorEastAsia" w:hAnsiTheme="minorEastAsia" w:eastAsiaTheme="minorEastAsia" w:cstheme="minorEastAsia"/>
                <w:iCs/>
                <w:color w:val="auto"/>
                <w:sz w:val="21"/>
                <w:szCs w:val="21"/>
                <w:highlight w:val="none"/>
                <w:u w:val="none"/>
                <w:lang w:val="en-US" w:eastAsia="zh-CN"/>
              </w:rPr>
              <w:t>要求</w:t>
            </w:r>
            <w:r>
              <w:rPr>
                <w:rFonts w:hint="eastAsia" w:asciiTheme="minorEastAsia" w:hAnsiTheme="minorEastAsia" w:eastAsiaTheme="minorEastAsia" w:cstheme="minorEastAsia"/>
                <w:iCs/>
                <w:color w:val="auto"/>
                <w:sz w:val="21"/>
                <w:szCs w:val="21"/>
                <w:highlight w:val="none"/>
                <w:u w:val="none"/>
                <w:lang w:eastAsia="zh-CN"/>
              </w:rPr>
              <w:t>）</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i/>
                <w:sz w:val="21"/>
                <w:szCs w:val="21"/>
                <w:highlight w:val="none"/>
              </w:rPr>
              <w:t>[提示：根据招标项目实际情况选用。]</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□④工程规模：</w:t>
            </w: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[提示：根据招标项目实际情况引用、增加或删除。]</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（3）业绩证明材料要求：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投标人须在投标文件资格审查部分提供中标通知书（直接发包的项目可提供项目发包人出具的项目直接发包情况说明或证明文书代替）、合同协议书、</w:t>
            </w:r>
            <w:r>
              <w:rPr>
                <w:rFonts w:hint="eastAsia" w:asciiTheme="minorEastAsia" w:hAnsiTheme="minorEastAsia" w:eastAsiaTheme="minorEastAsia" w:cstheme="minorEastAsia"/>
                <w:kern w:val="0"/>
                <w:sz w:val="21"/>
                <w:szCs w:val="21"/>
                <w:highlight w:val="none"/>
                <w:lang w:eastAsia="zh-CN"/>
              </w:rPr>
              <w:t>经施工图审查机构出具的勘察文件审查合格证明文件</w:t>
            </w:r>
            <w:r>
              <w:rPr>
                <w:rFonts w:hint="eastAsia" w:asciiTheme="minorEastAsia" w:hAnsiTheme="minorEastAsia" w:eastAsiaTheme="minorEastAsia" w:cstheme="minorEastAsia"/>
                <w:kern w:val="0"/>
                <w:sz w:val="21"/>
                <w:szCs w:val="21"/>
                <w:highlight w:val="none"/>
              </w:rPr>
              <w:t>材料</w:t>
            </w:r>
            <w:r>
              <w:rPr>
                <w:rFonts w:hint="eastAsia" w:asciiTheme="minorEastAsia" w:hAnsiTheme="minorEastAsia" w:eastAsiaTheme="minorEastAsia" w:cstheme="minorEastAsia"/>
                <w:sz w:val="21"/>
                <w:szCs w:val="21"/>
                <w:highlight w:val="none"/>
              </w:rPr>
              <w:t>（单独的测量项目提供测量报告</w:t>
            </w:r>
            <w:r>
              <w:rPr>
                <w:rFonts w:hint="eastAsia" w:asciiTheme="minorEastAsia" w:hAnsiTheme="minorEastAsia" w:eastAsiaTheme="minorEastAsia" w:cstheme="minorEastAsia"/>
                <w:color w:val="auto"/>
                <w:sz w:val="21"/>
                <w:szCs w:val="21"/>
                <w:highlight w:val="none"/>
                <w:lang w:val="en-US" w:eastAsia="zh-CN"/>
              </w:rPr>
              <w:t>和业主证明</w:t>
            </w:r>
            <w:r>
              <w:rPr>
                <w:rFonts w:hint="eastAsia" w:asciiTheme="minorEastAsia" w:hAnsiTheme="minorEastAsia" w:eastAsiaTheme="minorEastAsia" w:cstheme="minorEastAsia"/>
                <w:sz w:val="21"/>
                <w:szCs w:val="21"/>
                <w:highlight w:val="none"/>
              </w:rPr>
              <w:t>代替）</w:t>
            </w:r>
            <w:r>
              <w:rPr>
                <w:rFonts w:hint="eastAsia" w:asciiTheme="minorEastAsia" w:hAnsiTheme="minorEastAsia" w:eastAsiaTheme="minorEastAsia" w:cstheme="minorEastAsia"/>
                <w:kern w:val="0"/>
                <w:sz w:val="21"/>
                <w:szCs w:val="21"/>
                <w:highlight w:val="none"/>
              </w:rPr>
              <w:t>。若提供的上述业绩证明材料不能体现工程类别</w:t>
            </w:r>
            <w:r>
              <w:rPr>
                <w:rFonts w:hint="eastAsia" w:asciiTheme="minorEastAsia" w:hAnsiTheme="minorEastAsia" w:eastAsiaTheme="minorEastAsia" w:cstheme="minorEastAsia"/>
                <w:kern w:val="0"/>
                <w:sz w:val="21"/>
                <w:szCs w:val="21"/>
                <w:highlight w:val="none"/>
                <w:lang w:eastAsia="zh-CN"/>
              </w:rPr>
              <w:t>（</w:t>
            </w:r>
            <w:r>
              <w:rPr>
                <w:rFonts w:hint="eastAsia" w:asciiTheme="minorEastAsia" w:hAnsiTheme="minorEastAsia" w:eastAsiaTheme="minorEastAsia" w:cstheme="minorEastAsia"/>
                <w:kern w:val="0"/>
                <w:sz w:val="21"/>
                <w:szCs w:val="21"/>
                <w:highlight w:val="none"/>
                <w:lang w:val="en-US" w:eastAsia="zh-CN"/>
              </w:rPr>
              <w:t>如有</w:t>
            </w:r>
            <w:r>
              <w:rPr>
                <w:rFonts w:hint="eastAsia" w:asciiTheme="minorEastAsia" w:hAnsiTheme="minorEastAsia" w:eastAsiaTheme="minorEastAsia" w:cstheme="minorEastAsia"/>
                <w:kern w:val="0"/>
                <w:sz w:val="21"/>
                <w:szCs w:val="21"/>
                <w:highlight w:val="none"/>
                <w:lang w:eastAsia="zh-CN"/>
              </w:rPr>
              <w:t>）</w:t>
            </w:r>
            <w:r>
              <w:rPr>
                <w:rFonts w:hint="eastAsia" w:asciiTheme="minorEastAsia" w:hAnsiTheme="minorEastAsia" w:eastAsiaTheme="minorEastAsia" w:cstheme="minorEastAsia"/>
                <w:kern w:val="0"/>
                <w:sz w:val="21"/>
                <w:szCs w:val="21"/>
                <w:highlight w:val="none"/>
              </w:rPr>
              <w:t>、勘察类别</w:t>
            </w:r>
            <w:r>
              <w:rPr>
                <w:rFonts w:hint="eastAsia" w:asciiTheme="minorEastAsia" w:hAnsiTheme="minorEastAsia" w:eastAsiaTheme="minorEastAsia" w:cstheme="minorEastAsia"/>
                <w:kern w:val="0"/>
                <w:sz w:val="21"/>
                <w:szCs w:val="21"/>
                <w:highlight w:val="none"/>
                <w:lang w:eastAsia="zh-CN"/>
              </w:rPr>
              <w:t>（</w:t>
            </w:r>
            <w:r>
              <w:rPr>
                <w:rFonts w:hint="eastAsia" w:asciiTheme="minorEastAsia" w:hAnsiTheme="minorEastAsia" w:eastAsiaTheme="minorEastAsia" w:cstheme="minorEastAsia"/>
                <w:kern w:val="0"/>
                <w:sz w:val="21"/>
                <w:szCs w:val="21"/>
                <w:highlight w:val="none"/>
                <w:lang w:val="en-US" w:eastAsia="zh-CN"/>
              </w:rPr>
              <w:t>如有</w:t>
            </w:r>
            <w:r>
              <w:rPr>
                <w:rFonts w:hint="eastAsia" w:asciiTheme="minorEastAsia" w:hAnsiTheme="minorEastAsia" w:eastAsiaTheme="minorEastAsia" w:cstheme="minorEastAsia"/>
                <w:kern w:val="0"/>
                <w:sz w:val="21"/>
                <w:szCs w:val="21"/>
                <w:highlight w:val="none"/>
                <w:lang w:eastAsia="zh-CN"/>
              </w:rPr>
              <w:t>）</w:t>
            </w:r>
            <w:r>
              <w:rPr>
                <w:rFonts w:hint="eastAsia" w:asciiTheme="minorEastAsia" w:hAnsiTheme="minorEastAsia" w:eastAsiaTheme="minorEastAsia" w:cstheme="minorEastAsia"/>
                <w:kern w:val="0"/>
                <w:sz w:val="21"/>
                <w:szCs w:val="21"/>
                <w:highlight w:val="none"/>
              </w:rPr>
              <w:t>、项目金额（如有）、工程规模（如有）</w:t>
            </w:r>
            <w:r>
              <w:rPr>
                <w:rFonts w:hint="eastAsia" w:asciiTheme="minorEastAsia" w:hAnsiTheme="minorEastAsia" w:eastAsiaTheme="minorEastAsia" w:cstheme="minorEastAsia"/>
                <w:sz w:val="21"/>
                <w:szCs w:val="21"/>
                <w:highlight w:val="none"/>
              </w:rPr>
              <w:t>、人员姓名职务</w:t>
            </w:r>
            <w:r>
              <w:rPr>
                <w:rFonts w:hint="eastAsia" w:asciiTheme="minorEastAsia" w:hAnsiTheme="minorEastAsia" w:eastAsiaTheme="minorEastAsia" w:cstheme="minorEastAsia"/>
                <w:kern w:val="0"/>
                <w:sz w:val="21"/>
                <w:szCs w:val="21"/>
                <w:highlight w:val="none"/>
              </w:rPr>
              <w:t>信息的，</w:t>
            </w:r>
            <w:r>
              <w:rPr>
                <w:rFonts w:hint="eastAsia" w:ascii="宋体" w:hAnsi="宋体"/>
                <w:szCs w:val="21"/>
              </w:rPr>
              <w:t>还须提供</w:t>
            </w:r>
            <w:r>
              <w:rPr>
                <w:rFonts w:hint="eastAsia" w:ascii="宋体" w:hAnsi="宋体"/>
                <w:szCs w:val="21"/>
                <w:lang w:val="en-US" w:eastAsia="zh-CN"/>
              </w:rPr>
              <w:t>该业绩的</w:t>
            </w:r>
            <w:r>
              <w:rPr>
                <w:rFonts w:hint="eastAsia" w:asciiTheme="minorEastAsia" w:hAnsiTheme="minorEastAsia" w:eastAsiaTheme="minorEastAsia" w:cstheme="minorEastAsia"/>
                <w:kern w:val="0"/>
                <w:sz w:val="21"/>
                <w:szCs w:val="21"/>
                <w:highlight w:val="none"/>
              </w:rPr>
              <w:t>业主证明。不满足上述业绩要求的业绩</w:t>
            </w:r>
            <w:r>
              <w:rPr>
                <w:rFonts w:hint="eastAsia" w:asciiTheme="minorEastAsia" w:hAnsiTheme="minorEastAsia" w:eastAsiaTheme="minorEastAsia" w:cstheme="minorEastAsia"/>
                <w:kern w:val="0"/>
                <w:sz w:val="21"/>
                <w:szCs w:val="21"/>
                <w:highlight w:val="none"/>
                <w:lang w:val="en-US" w:eastAsia="zh-CN"/>
              </w:rPr>
              <w:t>视为</w:t>
            </w:r>
            <w:r>
              <w:rPr>
                <w:rFonts w:hint="eastAsia" w:asciiTheme="minorEastAsia" w:hAnsiTheme="minorEastAsia" w:eastAsiaTheme="minorEastAsia" w:cstheme="minorEastAsia"/>
                <w:kern w:val="0"/>
                <w:sz w:val="21"/>
                <w:szCs w:val="21"/>
                <w:highlight w:val="none"/>
              </w:rPr>
              <w:t>无效。</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lang w:val="en-US" w:eastAsia="zh-CN"/>
              </w:rPr>
              <w:t>注：（1）</w:t>
            </w:r>
            <w:r>
              <w:rPr>
                <w:rFonts w:hint="eastAsia" w:asciiTheme="minorEastAsia" w:hAnsiTheme="minorEastAsia" w:eastAsiaTheme="minorEastAsia" w:cstheme="minorEastAsia"/>
                <w:kern w:val="0"/>
                <w:sz w:val="21"/>
                <w:szCs w:val="21"/>
                <w:highlight w:val="none"/>
              </w:rPr>
              <w:t>投标人应对其提供的业绩证明材料的真实性负责。</w:t>
            </w:r>
            <w:r>
              <w:rPr>
                <w:rFonts w:hint="eastAsia" w:ascii="宋体" w:hAnsi="宋体"/>
                <w:szCs w:val="21"/>
              </w:rPr>
              <w:t>当上述资料中针对同一指标存在不一致时</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以</w:t>
            </w:r>
            <w:r>
              <w:rPr>
                <w:rFonts w:hint="eastAsia" w:asciiTheme="minorEastAsia" w:hAnsiTheme="minorEastAsia" w:eastAsiaTheme="minorEastAsia" w:cstheme="minorEastAsia"/>
                <w:sz w:val="21"/>
                <w:szCs w:val="21"/>
                <w:highlight w:val="none"/>
                <w:lang w:eastAsia="zh-CN"/>
              </w:rPr>
              <w:t>经施工图审查机构出具的勘察文件审查合格证明文件</w:t>
            </w:r>
            <w:r>
              <w:rPr>
                <w:rFonts w:hint="eastAsia" w:asciiTheme="minorEastAsia" w:hAnsiTheme="minorEastAsia" w:eastAsiaTheme="minorEastAsia" w:cstheme="minorEastAsia"/>
                <w:sz w:val="21"/>
                <w:szCs w:val="21"/>
                <w:highlight w:val="none"/>
              </w:rPr>
              <w:t>体现的信息为准。</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Theme="minorEastAsia" w:hAnsiTheme="minorEastAsia" w:eastAsiaTheme="minorEastAsia" w:cstheme="minorEastAsia"/>
                <w:sz w:val="21"/>
                <w:szCs w:val="21"/>
                <w:highlight w:val="none"/>
              </w:rPr>
            </w:pPr>
            <w:r>
              <w:rPr>
                <w:rFonts w:hint="eastAsia" w:ascii="宋体" w:hAnsi="宋体"/>
                <w:kern w:val="0"/>
                <w:szCs w:val="21"/>
                <w:lang w:eastAsia="zh-CN"/>
              </w:rPr>
              <w:t>（</w:t>
            </w:r>
            <w:r>
              <w:rPr>
                <w:rFonts w:hint="eastAsia" w:ascii="宋体" w:hAnsi="宋体"/>
                <w:kern w:val="0"/>
                <w:szCs w:val="21"/>
                <w:lang w:val="en-US" w:eastAsia="zh-CN"/>
              </w:rPr>
              <w:t>2</w:t>
            </w:r>
            <w:r>
              <w:rPr>
                <w:rFonts w:hint="eastAsia" w:ascii="宋体" w:hAnsi="宋体"/>
                <w:kern w:val="0"/>
                <w:szCs w:val="21"/>
                <w:lang w:eastAsia="zh-CN"/>
              </w:rPr>
              <w:t>）</w:t>
            </w:r>
            <w:r>
              <w:rPr>
                <w:rFonts w:hint="eastAsia" w:ascii="宋体" w:hAnsi="宋体"/>
                <w:kern w:val="0"/>
                <w:szCs w:val="21"/>
              </w:rPr>
              <w:t>投标人提供的业绩为联合体业绩的，其在该业绩中的工作分工应与本项目承担的工作一致。</w:t>
            </w:r>
          </w:p>
          <w:p>
            <w:pPr>
              <w:keepNext w:val="0"/>
              <w:keepLines w:val="0"/>
              <w:pageBreakBefore w:val="0"/>
              <w:kinsoku/>
              <w:wordWrap/>
              <w:overflowPunct/>
              <w:topLinePunct w:val="0"/>
              <w:autoSpaceDE w:val="0"/>
              <w:autoSpaceDN w:val="0"/>
              <w:bidi w:val="0"/>
              <w:adjustRightInd w:val="0"/>
              <w:snapToGrid w:val="0"/>
              <w:spacing w:line="400" w:lineRule="exact"/>
              <w:ind w:firstLine="422" w:firstLineChars="200"/>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6.其他要求</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sz w:val="21"/>
                <w:szCs w:val="21"/>
                <w:highlight w:val="none"/>
                <w:u w:val="single"/>
                <w:lang w:eastAsia="zh-CN"/>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lang w:val="en-US" w:eastAsia="zh-CN"/>
              </w:rPr>
              <w:t>勘察团队其他主要</w:t>
            </w:r>
            <w:r>
              <w:rPr>
                <w:rFonts w:hint="eastAsia" w:asciiTheme="minorEastAsia" w:hAnsiTheme="minorEastAsia" w:eastAsiaTheme="minorEastAsia" w:cstheme="minorEastAsia"/>
                <w:sz w:val="21"/>
                <w:szCs w:val="21"/>
                <w:highlight w:val="none"/>
              </w:rPr>
              <w:t>人员</w:t>
            </w:r>
            <w:r>
              <w:rPr>
                <w:rFonts w:hint="eastAsia" w:asciiTheme="minorEastAsia" w:hAnsiTheme="minorEastAsia" w:eastAsiaTheme="minorEastAsia" w:cstheme="minorEastAsia"/>
                <w:sz w:val="21"/>
                <w:szCs w:val="21"/>
                <w:highlight w:val="none"/>
                <w:lang w:val="en-US" w:eastAsia="zh-CN"/>
              </w:rPr>
              <w:t>要求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□方式一</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自行承诺中标后在签订合同之前，按照招标文件要求配备满足实际工作需要的勘察项目部，配置项目管理班子，出具任命文件。任命文件应当明确勘察项目部的职责、岗位设置、人员配备，并书面通知招标人。相关岗位管理人员应持有建设行政主管部门要求的职称（或执业）证书，并提供投标人为其缴纳的养老保险证明材料。中标后不能满足该要求的，招标人可取消其中标资格，给招标人造成损失的，投标人依法承担违约</w:t>
            </w:r>
            <w:r>
              <w:rPr>
                <w:rFonts w:hint="eastAsia" w:asciiTheme="minorEastAsia" w:hAnsiTheme="minorEastAsia" w:eastAsiaTheme="minorEastAsia" w:cstheme="minorEastAsia"/>
                <w:sz w:val="21"/>
                <w:szCs w:val="21"/>
                <w:highlight w:val="none"/>
                <w:lang w:val="en-US" w:eastAsia="zh-CN"/>
              </w:rPr>
              <w:t>责任或</w:t>
            </w:r>
            <w:r>
              <w:rPr>
                <w:rFonts w:hint="eastAsia" w:asciiTheme="minorEastAsia" w:hAnsiTheme="minorEastAsia" w:eastAsiaTheme="minorEastAsia" w:cstheme="minorEastAsia"/>
                <w:sz w:val="21"/>
                <w:szCs w:val="21"/>
                <w:highlight w:val="none"/>
              </w:rPr>
              <w:t>赔偿责任。</w:t>
            </w:r>
          </w:p>
          <w:p>
            <w:pPr>
              <w:keepNext w:val="0"/>
              <w:keepLines w:val="0"/>
              <w:pageBreakBefore w:val="0"/>
              <w:kinsoku/>
              <w:wordWrap/>
              <w:overflowPunct/>
              <w:topLinePunct w:val="0"/>
              <w:autoSpaceDE w:val="0"/>
              <w:autoSpaceDN w:val="0"/>
              <w:bidi w:val="0"/>
              <w:adjustRightIn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投标人须在投标文件资格审查部分提供承诺（承诺格式见第六章投标文件格式）。</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□联合体投标的，由联合体牵头人代表联合体各成员进行承诺。</w:t>
            </w:r>
          </w:p>
          <w:p>
            <w:pPr>
              <w:pStyle w:val="2"/>
              <w:rPr>
                <w:rFonts w:hint="eastAsia"/>
              </w:rPr>
            </w:pP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□方式二</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□①</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专业勘察负责人：</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投标人拟派的</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专业勘察负责人</w:t>
            </w:r>
            <w:r>
              <w:rPr>
                <w:rFonts w:hint="eastAsia" w:asciiTheme="minorEastAsia" w:hAnsiTheme="minorEastAsia" w:eastAsiaTheme="minorEastAsia" w:cstheme="minorEastAsia"/>
                <w:sz w:val="21"/>
                <w:szCs w:val="21"/>
                <w:highlight w:val="none"/>
                <w:lang w:eastAsia="zh-CN"/>
              </w:rPr>
              <w:t>必须是投标人本单位人员，</w:t>
            </w:r>
            <w:r>
              <w:rPr>
                <w:rFonts w:hint="eastAsia" w:asciiTheme="minorEastAsia" w:hAnsiTheme="minorEastAsia" w:eastAsiaTheme="minorEastAsia" w:cstheme="minorEastAsia"/>
                <w:sz w:val="21"/>
                <w:szCs w:val="21"/>
                <w:highlight w:val="none"/>
              </w:rPr>
              <w:t>□具有</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lang w:val="en-US" w:eastAsia="zh-CN"/>
              </w:rPr>
              <w:t>级</w:t>
            </w:r>
            <w:r>
              <w:rPr>
                <w:rFonts w:hint="eastAsia" w:asciiTheme="minorEastAsia" w:hAnsiTheme="minorEastAsia" w:eastAsiaTheme="minorEastAsia" w:cstheme="minorEastAsia"/>
                <w:sz w:val="21"/>
                <w:szCs w:val="21"/>
                <w:highlight w:val="none"/>
              </w:rPr>
              <w:t>及以上</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专业</w:t>
            </w:r>
            <w:r>
              <w:rPr>
                <w:rFonts w:hint="eastAsia" w:asciiTheme="minorEastAsia" w:hAnsiTheme="minorEastAsia" w:eastAsiaTheme="minorEastAsia" w:cstheme="minorEastAsia"/>
                <w:sz w:val="21"/>
                <w:szCs w:val="21"/>
                <w:highlight w:val="none"/>
              </w:rPr>
              <w:t>技术职称，□具有</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执业资格且必须在投标人本单位注册</w:t>
            </w:r>
            <w:r>
              <w:rPr>
                <w:rFonts w:hint="eastAsia" w:asciiTheme="minorEastAsia" w:hAnsiTheme="minorEastAsia" w:eastAsiaTheme="minorEastAsia" w:cstheme="minorEastAsia"/>
                <w:sz w:val="21"/>
                <w:szCs w:val="21"/>
                <w:highlight w:val="none"/>
                <w:lang w:val="en-US" w:eastAsia="zh-CN"/>
              </w:rPr>
              <w:t>执业</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autoSpaceDE w:val="0"/>
              <w:autoSpaceDN w:val="0"/>
              <w:bidi w:val="0"/>
              <w:adjustRightInd w:val="0"/>
              <w:spacing w:line="4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□②</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专业</w:t>
            </w:r>
            <w:r>
              <w:rPr>
                <w:rFonts w:hint="eastAsia" w:asciiTheme="minorEastAsia" w:hAnsiTheme="minorEastAsia" w:eastAsiaTheme="minorEastAsia" w:cstheme="minorEastAsia"/>
                <w:color w:val="auto"/>
                <w:sz w:val="21"/>
                <w:szCs w:val="21"/>
                <w:highlight w:val="none"/>
                <w:u w:val="none"/>
                <w:lang w:val="en-US" w:eastAsia="zh-CN"/>
              </w:rPr>
              <w:t>人员</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人</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投标人拟派的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专业</w:t>
            </w:r>
            <w:r>
              <w:rPr>
                <w:rFonts w:hint="eastAsia" w:asciiTheme="minorEastAsia" w:hAnsiTheme="minorEastAsia" w:eastAsiaTheme="minorEastAsia" w:cstheme="minorEastAsia"/>
                <w:color w:val="auto"/>
                <w:sz w:val="21"/>
                <w:szCs w:val="21"/>
                <w:highlight w:val="none"/>
                <w:u w:val="none"/>
                <w:lang w:val="en-US" w:eastAsia="zh-CN"/>
              </w:rPr>
              <w:t>人员必须是投标人本单位人员，</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具有</w:t>
            </w:r>
          </w:p>
          <w:p>
            <w:pPr>
              <w:keepNext w:val="0"/>
              <w:keepLines w:val="0"/>
              <w:pageBreakBefore w:val="0"/>
              <w:kinsoku/>
              <w:wordWrap/>
              <w:overflowPunct/>
              <w:topLinePunct w:val="0"/>
              <w:autoSpaceDE w:val="0"/>
              <w:autoSpaceDN w:val="0"/>
              <w:bidi w:val="0"/>
              <w:adjustRightInd w:val="0"/>
              <w:snapToGrid w:val="0"/>
              <w:spacing w:line="400" w:lineRule="exact"/>
              <w:ind w:firstLine="0" w:firstLineChars="0"/>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none"/>
                <w:lang w:val="en-US" w:eastAsia="zh-CN"/>
              </w:rPr>
              <w:t>级</w:t>
            </w:r>
            <w:r>
              <w:rPr>
                <w:rFonts w:hint="eastAsia" w:asciiTheme="minorEastAsia" w:hAnsiTheme="minorEastAsia" w:eastAsiaTheme="minorEastAsia" w:cstheme="minorEastAsia"/>
                <w:color w:val="auto"/>
                <w:sz w:val="21"/>
                <w:szCs w:val="21"/>
                <w:highlight w:val="none"/>
              </w:rPr>
              <w:t>及以上□</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专业</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技术职称，□具有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执业资格且必须在投标人本单位注册</w:t>
            </w:r>
            <w:r>
              <w:rPr>
                <w:rFonts w:hint="eastAsia" w:asciiTheme="minorEastAsia" w:hAnsiTheme="minorEastAsia" w:eastAsiaTheme="minorEastAsia" w:cstheme="minorEastAsia"/>
                <w:color w:val="auto"/>
                <w:sz w:val="21"/>
                <w:szCs w:val="21"/>
                <w:highlight w:val="none"/>
                <w:lang w:val="en-US" w:eastAsia="zh-CN"/>
              </w:rPr>
              <w:t>执业</w:t>
            </w:r>
            <w:r>
              <w:rPr>
                <w:rFonts w:hint="eastAsia" w:asciiTheme="minorEastAsia" w:hAnsiTheme="minorEastAsia" w:eastAsiaTheme="minorEastAsia" w:cstheme="minorEastAsia"/>
                <w:color w:val="auto"/>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③</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投标人须在投标文件资格审查部分提供有效的拟派人员的身份证、□职称证（若要求技术职称专业但职称证书无法体现专业的，可以提供学历证书或注册证书）、□注册证（国家未开展注册工作的，投标人提供执业资格证书即可；注册证书未载明注册执业单位的，注册执业单位以养老保险证明材料为准），投标人为其缴纳的养老保险证明材料。</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□联合体投标的，按联合体协议约定的分工分别提供相应人</w:t>
            </w:r>
            <w:r>
              <w:rPr>
                <w:rFonts w:hint="eastAsia" w:asciiTheme="minorEastAsia" w:hAnsiTheme="minorEastAsia" w:eastAsiaTheme="minorEastAsia" w:cstheme="minorEastAsia"/>
                <w:sz w:val="21"/>
                <w:szCs w:val="21"/>
                <w:highlight w:val="none"/>
                <w:lang w:val="en-US" w:eastAsia="zh-CN"/>
              </w:rPr>
              <w:t>员</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（2）勘察设备</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投标人自行承诺中标后在签订合同之前，须按照</w:t>
            </w:r>
            <w:r>
              <w:rPr>
                <w:rFonts w:hint="eastAsia" w:asciiTheme="minorEastAsia" w:hAnsiTheme="minorEastAsia" w:eastAsiaTheme="minorEastAsia" w:cstheme="minorEastAsia"/>
                <w:sz w:val="21"/>
                <w:szCs w:val="21"/>
                <w:highlight w:val="none"/>
              </w:rPr>
              <w:t>实际工作需要</w:t>
            </w:r>
            <w:r>
              <w:rPr>
                <w:rFonts w:hint="eastAsia" w:asciiTheme="minorEastAsia" w:hAnsiTheme="minorEastAsia" w:eastAsiaTheme="minorEastAsia" w:cstheme="minorEastAsia"/>
                <w:kern w:val="0"/>
                <w:sz w:val="21"/>
                <w:szCs w:val="21"/>
                <w:highlight w:val="none"/>
              </w:rPr>
              <w:t>配备勘察设备。</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（3）委托代理人：</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i/>
                <w:kern w:val="0"/>
                <w:sz w:val="21"/>
                <w:szCs w:val="21"/>
                <w:highlight w:val="none"/>
              </w:rPr>
              <w:t>[提示：根据授权委托书的授权范围，委托代理人可以以投标人的名义签署、澄清、说明、补正、递交、撤回、修改本项目投标文件、签订合同和处理有关事宜，其法律后果由投标人承担。]</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委托代理人必须为投标人本单位人员。</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投标人须在投标文件资格审查部分提供投标人为该委托代理人缴纳的养老保险证明。否则，将由评标委员会作否决投标处理。</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kern w:val="0"/>
                <w:sz w:val="21"/>
                <w:szCs w:val="21"/>
                <w:highlight w:val="none"/>
              </w:rPr>
              <w:t>联合体投标的，由联合体牵头人委派委托代理人，并在联合体协议中明确。</w:t>
            </w:r>
          </w:p>
          <w:p>
            <w:pPr>
              <w:pStyle w:val="2"/>
              <w:ind w:firstLine="420" w:firstLineChars="200"/>
              <w:rPr>
                <w:rFonts w:hint="eastAsia"/>
              </w:rPr>
            </w:pPr>
            <w:r>
              <w:rPr>
                <w:rFonts w:hint="eastAsia"/>
              </w:rPr>
              <w:t>（4）投标文件中的所有内容真实有效，不存在弄虚作假情形。</w:t>
            </w:r>
          </w:p>
          <w:p>
            <w:pPr>
              <w:pStyle w:val="2"/>
              <w:rPr>
                <w:rFonts w:hint="eastAsia"/>
              </w:rPr>
            </w:pPr>
            <w:r>
              <w:rPr>
                <w:rFonts w:hint="eastAsia"/>
              </w:rPr>
              <w:t xml:space="preserve"> </w:t>
            </w:r>
            <w:r>
              <w:rPr>
                <w:rFonts w:hint="eastAsia"/>
                <w:lang w:val="en-US" w:eastAsia="zh-CN"/>
              </w:rPr>
              <w:t xml:space="preserve">    </w:t>
            </w:r>
            <w:r>
              <w:rPr>
                <w:rFonts w:hint="eastAsia"/>
              </w:rPr>
              <w:t>投标人须在投标文件资格审查部分提供承诺（格式见第六章投标文件格式）。</w:t>
            </w:r>
          </w:p>
          <w:p>
            <w:pPr>
              <w:pStyle w:val="2"/>
              <w:ind w:firstLine="420" w:firstLineChars="200"/>
              <w:rPr>
                <w:rFonts w:hint="eastAsia"/>
              </w:rPr>
            </w:pPr>
            <w:r>
              <w:rPr>
                <w:rFonts w:hint="eastAsia"/>
                <w:lang w:eastAsia="zh-CN"/>
              </w:rPr>
              <w:t>□</w:t>
            </w:r>
            <w:r>
              <w:rPr>
                <w:rFonts w:hint="eastAsia"/>
              </w:rPr>
              <w:t>联合体投标的，由联合体牵头人代表联合体各成员进行承诺。</w:t>
            </w:r>
          </w:p>
          <w:p>
            <w:pPr>
              <w:keepNext w:val="0"/>
              <w:keepLines w:val="0"/>
              <w:pageBreakBefore w:val="0"/>
              <w:kinsoku/>
              <w:wordWrap/>
              <w:overflowPunct/>
              <w:topLinePunct w:val="0"/>
              <w:autoSpaceDE w:val="0"/>
              <w:autoSpaceDN w:val="0"/>
              <w:bidi w:val="0"/>
              <w:adjustRightInd w:val="0"/>
              <w:snapToGrid w:val="0"/>
              <w:spacing w:line="400" w:lineRule="exact"/>
              <w:ind w:firstLine="417" w:firstLineChars="198"/>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特别说明：</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（1）上述要求须提交的相关证明材料均为扫描件（原件或复印件的扫描件均可），扫描件须清晰可辨，</w:t>
            </w:r>
            <w:r>
              <w:rPr>
                <w:rFonts w:hint="eastAsia" w:asciiTheme="minorEastAsia" w:hAnsiTheme="minorEastAsia" w:eastAsiaTheme="minorEastAsia" w:cstheme="minorEastAsia"/>
                <w:kern w:val="0"/>
                <w:sz w:val="21"/>
                <w:szCs w:val="21"/>
                <w:highlight w:val="none"/>
              </w:rPr>
              <w:t>有一条不满足，则投标文件由评标委员会</w:t>
            </w:r>
            <w:r>
              <w:rPr>
                <w:rFonts w:hint="eastAsia" w:asciiTheme="minorEastAsia" w:hAnsiTheme="minorEastAsia" w:eastAsiaTheme="minorEastAsia" w:cstheme="minorEastAsia"/>
                <w:sz w:val="21"/>
                <w:szCs w:val="21"/>
                <w:highlight w:val="none"/>
              </w:rPr>
              <w:t>作否决投标处理</w:t>
            </w:r>
            <w:r>
              <w:rPr>
                <w:rFonts w:hint="eastAsia" w:asciiTheme="minorEastAsia" w:hAnsiTheme="minorEastAsia" w:eastAsiaTheme="minorEastAsia" w:cstheme="minorEastAsia"/>
                <w:kern w:val="0"/>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sz w:val="21"/>
                <w:szCs w:val="21"/>
                <w:highlight w:val="none"/>
              </w:rPr>
              <w:t>（2A）招标人在合同签订前均有权对投标人提供的资料进行核实，若发现弄虚作假，</w:t>
            </w:r>
            <w:r>
              <w:rPr>
                <w:rFonts w:hint="eastAsia" w:asciiTheme="minorEastAsia" w:hAnsiTheme="minorEastAsia" w:eastAsiaTheme="minorEastAsia" w:cstheme="minorEastAsia"/>
                <w:sz w:val="21"/>
                <w:szCs w:val="21"/>
                <w:highlight w:val="none"/>
                <w:lang w:val="en-US" w:eastAsia="zh-CN"/>
              </w:rPr>
              <w:t>按相关规定</w:t>
            </w:r>
            <w:r>
              <w:rPr>
                <w:rFonts w:hint="eastAsia" w:asciiTheme="minorEastAsia" w:hAnsiTheme="minorEastAsia" w:eastAsiaTheme="minorEastAsia" w:cstheme="minorEastAsia"/>
                <w:sz w:val="21"/>
                <w:szCs w:val="21"/>
                <w:highlight w:val="none"/>
              </w:rPr>
              <w:t>取消其中标资格，并按相关法律法规报招标投标监督部门，其投标保证金以现金形式交纳的不予退还，以保函形式交纳的由保函开立人支付保函担保的与投标保证金等额的款项，投标人承担因此造成的相关责任并赔偿相应损失。</w:t>
            </w:r>
            <w:r>
              <w:rPr>
                <w:rFonts w:hint="eastAsia" w:asciiTheme="minorEastAsia" w:hAnsiTheme="minorEastAsia" w:eastAsiaTheme="minorEastAsia" w:cstheme="minorEastAsia"/>
                <w:i/>
                <w:kern w:val="0"/>
                <w:sz w:val="21"/>
                <w:szCs w:val="21"/>
                <w:highlight w:val="none"/>
              </w:rPr>
              <w:t>[提示：适用于未进行资格预审的项目。]</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B）本工程已进行资格预审，投标人应是收到招标人发出投标邀请书的单位。投标人在编制投标文件时，如其涉及资格审查部分的有关情况发生变化，则应按本标段资格预审文件第三章“资格审查办法”详细评审标准，更新或补充其在申请资格预审时提供的资料。要求：</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①通过资格预审后，投标人发生合法重组等变更名称的，应提供相关部门的合法批件及企业法人营业执照和资质证书的副本变更记录。</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②投标人投标时的资格条件相比资格预审时应没有实质性下降，投标文件仍然满足资格预审中的强制性标准。</w:t>
            </w:r>
          </w:p>
          <w:p>
            <w:pPr>
              <w:keepNext w:val="0"/>
              <w:keepLines w:val="0"/>
              <w:pageBreakBefore w:val="0"/>
              <w:kinsoku/>
              <w:wordWrap/>
              <w:overflowPunct/>
              <w:topLinePunct w:val="0"/>
              <w:autoSpaceDE w:val="0"/>
              <w:autoSpaceDN w:val="0"/>
              <w:bidi w:val="0"/>
              <w:adjustRightInd w:val="0"/>
              <w:snapToGrid w:val="0"/>
              <w:spacing w:line="400" w:lineRule="exact"/>
              <w:ind w:firstLine="415" w:firstLineChars="198"/>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i/>
                <w:kern w:val="0"/>
                <w:sz w:val="21"/>
                <w:szCs w:val="21"/>
                <w:highlight w:val="none"/>
              </w:rPr>
              <w:t>[提示：适用于已进行资格预审的项目，没有变化的不提供。]</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bCs/>
                <w:kern w:val="0"/>
                <w:sz w:val="21"/>
                <w:szCs w:val="21"/>
                <w:highlight w:val="none"/>
              </w:rPr>
            </w:pPr>
            <w:r>
              <w:rPr>
                <w:rFonts w:hint="eastAsia" w:asciiTheme="minorEastAsia" w:hAnsiTheme="minorEastAsia" w:eastAsiaTheme="minorEastAsia" w:cstheme="minorEastAsia"/>
                <w:bCs/>
                <w:kern w:val="0"/>
                <w:sz w:val="21"/>
                <w:szCs w:val="21"/>
                <w:highlight w:val="none"/>
              </w:rPr>
              <w:t>（3）本招标文件中所要求的人员养老保险证明要求如下：</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bCs/>
                <w:kern w:val="0"/>
                <w:sz w:val="21"/>
                <w:szCs w:val="21"/>
                <w:highlight w:val="none"/>
              </w:rPr>
            </w:pPr>
            <w:r>
              <w:rPr>
                <w:rFonts w:hint="eastAsia" w:asciiTheme="minorEastAsia" w:hAnsiTheme="minorEastAsia" w:eastAsiaTheme="minorEastAsia" w:cstheme="minorEastAsia"/>
                <w:bCs/>
                <w:kern w:val="0"/>
                <w:sz w:val="21"/>
                <w:szCs w:val="21"/>
                <w:highlight w:val="none"/>
              </w:rPr>
              <w:t>①</w:t>
            </w:r>
            <w:r>
              <w:rPr>
                <w:rFonts w:hint="eastAsia" w:asciiTheme="minorEastAsia" w:hAnsiTheme="minorEastAsia" w:eastAsiaTheme="minorEastAsia" w:cstheme="minorEastAsia"/>
                <w:bCs/>
                <w:kern w:val="0"/>
                <w:sz w:val="21"/>
                <w:szCs w:val="21"/>
                <w:highlight w:val="none"/>
                <w:lang w:val="en-US" w:eastAsia="zh-CN"/>
              </w:rPr>
              <w:t>企业</w:t>
            </w:r>
            <w:r>
              <w:rPr>
                <w:rFonts w:hint="eastAsia" w:asciiTheme="minorEastAsia" w:hAnsiTheme="minorEastAsia" w:eastAsiaTheme="minorEastAsia" w:cstheme="minorEastAsia"/>
                <w:bCs/>
                <w:kern w:val="0"/>
                <w:sz w:val="21"/>
                <w:szCs w:val="21"/>
                <w:highlight w:val="none"/>
              </w:rPr>
              <w:t>提供养老保险证明，事业单位提供养老保险证明或行政主管部门在编证明。</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kern w:val="0"/>
                <w:sz w:val="21"/>
                <w:szCs w:val="21"/>
                <w:highlight w:val="none"/>
              </w:rPr>
              <w:t>②</w:t>
            </w:r>
            <w:r>
              <w:rPr>
                <w:rFonts w:hint="eastAsia" w:asciiTheme="minorEastAsia" w:hAnsiTheme="minorEastAsia" w:eastAsiaTheme="minorEastAsia" w:cstheme="minorEastAsia"/>
                <w:bCs/>
                <w:snapToGrid w:val="0"/>
                <w:kern w:val="0"/>
                <w:sz w:val="21"/>
                <w:szCs w:val="21"/>
                <w:highlight w:val="none"/>
              </w:rPr>
              <w:t>项目负责人、</w:t>
            </w:r>
            <w:r>
              <w:rPr>
                <w:rFonts w:hint="eastAsia" w:asciiTheme="minorEastAsia" w:hAnsiTheme="minorEastAsia" w:eastAsiaTheme="minorEastAsia" w:cstheme="minorEastAsia"/>
                <w:sz w:val="21"/>
                <w:szCs w:val="21"/>
                <w:highlight w:val="none"/>
                <w:lang w:val="en-US" w:eastAsia="zh-CN"/>
              </w:rPr>
              <w:t>勘察团队其他主要</w:t>
            </w:r>
            <w:r>
              <w:rPr>
                <w:rFonts w:hint="eastAsia" w:asciiTheme="minorEastAsia" w:hAnsiTheme="minorEastAsia" w:eastAsiaTheme="minorEastAsia" w:cstheme="minorEastAsia"/>
                <w:sz w:val="21"/>
                <w:szCs w:val="21"/>
                <w:highlight w:val="none"/>
              </w:rPr>
              <w:t>人员</w:t>
            </w:r>
            <w:r>
              <w:rPr>
                <w:rFonts w:hint="eastAsia" w:asciiTheme="minorEastAsia" w:hAnsiTheme="minorEastAsia" w:eastAsiaTheme="minorEastAsia" w:cstheme="minorEastAsia"/>
                <w:bCs/>
                <w:snapToGrid w:val="0"/>
                <w:kern w:val="0"/>
                <w:sz w:val="21"/>
                <w:szCs w:val="21"/>
                <w:highlight w:val="none"/>
                <w:lang w:val="en-US" w:eastAsia="zh-CN"/>
              </w:rPr>
              <w:t>（如有）</w:t>
            </w:r>
            <w:r>
              <w:rPr>
                <w:rFonts w:hint="eastAsia" w:asciiTheme="minorEastAsia" w:hAnsiTheme="minorEastAsia" w:eastAsiaTheme="minorEastAsia" w:cstheme="minorEastAsia"/>
                <w:bCs/>
                <w:snapToGrid w:val="0"/>
                <w:kern w:val="0"/>
                <w:sz w:val="21"/>
                <w:szCs w:val="21"/>
                <w:highlight w:val="none"/>
              </w:rPr>
              <w:t>和委托代理人的连续养老保险证明期限须包含</w:t>
            </w:r>
            <w:r>
              <w:rPr>
                <w:rFonts w:hint="eastAsia" w:asciiTheme="minorEastAsia" w:hAnsiTheme="minorEastAsia" w:eastAsiaTheme="minorEastAsia" w:cstheme="minorEastAsia"/>
                <w:bCs/>
                <w:snapToGrid w:val="0"/>
                <w:kern w:val="0"/>
                <w:sz w:val="21"/>
                <w:szCs w:val="21"/>
                <w:highlight w:val="none"/>
                <w:u w:val="single"/>
              </w:rPr>
              <w:t xml:space="preserve">    </w:t>
            </w:r>
            <w:r>
              <w:rPr>
                <w:rFonts w:hint="eastAsia" w:asciiTheme="minorEastAsia" w:hAnsiTheme="minorEastAsia" w:eastAsiaTheme="minorEastAsia" w:cstheme="minorEastAsia"/>
                <w:bCs/>
                <w:snapToGrid w:val="0"/>
                <w:kern w:val="0"/>
                <w:sz w:val="21"/>
                <w:szCs w:val="21"/>
                <w:highlight w:val="none"/>
              </w:rPr>
              <w:t>年</w:t>
            </w:r>
            <w:r>
              <w:rPr>
                <w:rFonts w:hint="eastAsia" w:asciiTheme="minorEastAsia" w:hAnsiTheme="minorEastAsia" w:eastAsiaTheme="minorEastAsia" w:cstheme="minorEastAsia"/>
                <w:bCs/>
                <w:snapToGrid w:val="0"/>
                <w:kern w:val="0"/>
                <w:sz w:val="21"/>
                <w:szCs w:val="21"/>
                <w:highlight w:val="none"/>
                <w:u w:val="single"/>
              </w:rPr>
              <w:t xml:space="preserve">  </w:t>
            </w:r>
            <w:r>
              <w:rPr>
                <w:rFonts w:hint="eastAsia" w:asciiTheme="minorEastAsia" w:hAnsiTheme="minorEastAsia" w:eastAsiaTheme="minorEastAsia" w:cstheme="minorEastAsia"/>
                <w:bCs/>
                <w:snapToGrid w:val="0"/>
                <w:kern w:val="0"/>
                <w:sz w:val="21"/>
                <w:szCs w:val="21"/>
                <w:highlight w:val="none"/>
              </w:rPr>
              <w:t>月至</w:t>
            </w:r>
            <w:r>
              <w:rPr>
                <w:rFonts w:hint="eastAsia" w:asciiTheme="minorEastAsia" w:hAnsiTheme="minorEastAsia" w:eastAsiaTheme="minorEastAsia" w:cstheme="minorEastAsia"/>
                <w:bCs/>
                <w:snapToGrid w:val="0"/>
                <w:kern w:val="0"/>
                <w:sz w:val="21"/>
                <w:szCs w:val="21"/>
                <w:highlight w:val="none"/>
                <w:u w:val="single"/>
              </w:rPr>
              <w:t xml:space="preserve">    </w:t>
            </w:r>
            <w:r>
              <w:rPr>
                <w:rFonts w:hint="eastAsia" w:asciiTheme="minorEastAsia" w:hAnsiTheme="minorEastAsia" w:eastAsiaTheme="minorEastAsia" w:cstheme="minorEastAsia"/>
                <w:bCs/>
                <w:snapToGrid w:val="0"/>
                <w:kern w:val="0"/>
                <w:sz w:val="21"/>
                <w:szCs w:val="21"/>
                <w:highlight w:val="none"/>
              </w:rPr>
              <w:t>年</w:t>
            </w:r>
            <w:r>
              <w:rPr>
                <w:rFonts w:hint="eastAsia" w:asciiTheme="minorEastAsia" w:hAnsiTheme="minorEastAsia" w:eastAsiaTheme="minorEastAsia" w:cstheme="minorEastAsia"/>
                <w:bCs/>
                <w:snapToGrid w:val="0"/>
                <w:kern w:val="0"/>
                <w:sz w:val="21"/>
                <w:szCs w:val="21"/>
                <w:highlight w:val="none"/>
                <w:u w:val="single"/>
              </w:rPr>
              <w:t xml:space="preserve">  </w:t>
            </w:r>
            <w:r>
              <w:rPr>
                <w:rFonts w:hint="eastAsia" w:asciiTheme="minorEastAsia" w:hAnsiTheme="minorEastAsia" w:eastAsiaTheme="minorEastAsia" w:cstheme="minorEastAsia"/>
                <w:bCs/>
                <w:snapToGrid w:val="0"/>
                <w:kern w:val="0"/>
                <w:sz w:val="21"/>
                <w:szCs w:val="21"/>
                <w:highlight w:val="none"/>
              </w:rPr>
              <w:t>月</w:t>
            </w:r>
            <w:r>
              <w:rPr>
                <w:rFonts w:hint="eastAsia" w:asciiTheme="minorEastAsia" w:hAnsiTheme="minorEastAsia" w:eastAsiaTheme="minorEastAsia" w:cstheme="minorEastAsia"/>
                <w:bCs/>
                <w:sz w:val="21"/>
                <w:szCs w:val="21"/>
                <w:highlight w:val="none"/>
              </w:rPr>
              <w:t>。提供的养老保险参保证明须体现上述人员的姓名、身份证号（或社保号）、单位名称、本单位参保时间（或起始参保时间），并带有社保部门公章或社保部门的有效电子印章。</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bCs/>
                <w:snapToGrid w:val="0"/>
                <w:kern w:val="0"/>
                <w:sz w:val="21"/>
                <w:szCs w:val="21"/>
                <w:highlight w:val="none"/>
              </w:rPr>
            </w:pPr>
            <w:r>
              <w:rPr>
                <w:rFonts w:hint="eastAsia" w:asciiTheme="minorEastAsia" w:hAnsiTheme="minorEastAsia" w:eastAsiaTheme="minorEastAsia" w:cstheme="minorEastAsia"/>
                <w:bCs/>
                <w:i/>
                <w:sz w:val="21"/>
                <w:szCs w:val="21"/>
                <w:highlight w:val="none"/>
              </w:rPr>
              <w:t>[提示：项目负责人</w:t>
            </w:r>
            <w:r>
              <w:rPr>
                <w:rFonts w:hint="eastAsia" w:asciiTheme="minorEastAsia" w:hAnsiTheme="minorEastAsia" w:eastAsiaTheme="minorEastAsia" w:cstheme="minorEastAsia"/>
                <w:bCs/>
                <w:i/>
                <w:iCs/>
                <w:snapToGrid w:val="0"/>
                <w:kern w:val="0"/>
                <w:sz w:val="21"/>
                <w:szCs w:val="21"/>
                <w:highlight w:val="none"/>
              </w:rPr>
              <w:t>、</w:t>
            </w:r>
            <w:r>
              <w:rPr>
                <w:rFonts w:hint="eastAsia" w:asciiTheme="minorEastAsia" w:hAnsiTheme="minorEastAsia" w:eastAsiaTheme="minorEastAsia" w:cstheme="minorEastAsia"/>
                <w:i/>
                <w:iCs/>
                <w:sz w:val="21"/>
                <w:szCs w:val="21"/>
                <w:highlight w:val="none"/>
                <w:lang w:val="en-US" w:eastAsia="zh-CN"/>
              </w:rPr>
              <w:t>勘察团队其他主要</w:t>
            </w:r>
            <w:r>
              <w:rPr>
                <w:rFonts w:hint="eastAsia" w:asciiTheme="minorEastAsia" w:hAnsiTheme="minorEastAsia" w:eastAsiaTheme="minorEastAsia" w:cstheme="minorEastAsia"/>
                <w:i/>
                <w:iCs/>
                <w:sz w:val="21"/>
                <w:szCs w:val="21"/>
                <w:highlight w:val="none"/>
              </w:rPr>
              <w:t>人员</w:t>
            </w:r>
            <w:r>
              <w:rPr>
                <w:rFonts w:hint="eastAsia" w:asciiTheme="minorEastAsia" w:hAnsiTheme="minorEastAsia" w:eastAsiaTheme="minorEastAsia" w:cstheme="minorEastAsia"/>
                <w:bCs/>
                <w:i/>
                <w:iCs/>
                <w:snapToGrid w:val="0"/>
                <w:kern w:val="0"/>
                <w:sz w:val="21"/>
                <w:szCs w:val="21"/>
                <w:highlight w:val="none"/>
                <w:lang w:val="en-US" w:eastAsia="zh-CN"/>
              </w:rPr>
              <w:t>（如有）</w:t>
            </w:r>
            <w:r>
              <w:rPr>
                <w:rFonts w:hint="eastAsia" w:asciiTheme="minorEastAsia" w:hAnsiTheme="minorEastAsia" w:eastAsiaTheme="minorEastAsia" w:cstheme="minorEastAsia"/>
                <w:bCs/>
                <w:i/>
                <w:sz w:val="21"/>
                <w:szCs w:val="21"/>
                <w:highlight w:val="none"/>
              </w:rPr>
              <w:t xml:space="preserve">和委托代理人提交的养老保险时间段必须一致；从招标公告发布之日前一月起算，养老保险时间段建议为6个月。]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1.4.2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是否接受联合体投标</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□不接受</w:t>
            </w:r>
          </w:p>
          <w:p>
            <w:pPr>
              <w:keepNext w:val="0"/>
              <w:keepLines w:val="0"/>
              <w:pageBreakBefore w:val="0"/>
              <w:kinsoku/>
              <w:wordWrap/>
              <w:overflowPunct/>
              <w:topLinePunct w:val="0"/>
              <w:bidi w:val="0"/>
              <w:snapToGrid w:val="0"/>
              <w:spacing w:after="15" w:afterLines="5"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□接受，应满足下列要求：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1.4.3</w:t>
            </w:r>
          </w:p>
        </w:tc>
        <w:tc>
          <w:tcPr>
            <w:tcW w:w="1644" w:type="dxa"/>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投标人不得存在的其他情形</w:t>
            </w:r>
          </w:p>
        </w:tc>
        <w:tc>
          <w:tcPr>
            <w:tcW w:w="6308" w:type="dxa"/>
            <w:vAlign w:val="center"/>
          </w:tcPr>
          <w:p>
            <w:pPr>
              <w:keepNext w:val="0"/>
              <w:keepLines w:val="0"/>
              <w:pageBreakBefore w:val="0"/>
              <w:suppressLineNumbers/>
              <w:suppressAutoHyphens/>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1.9.1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踏勘现场</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□不组织</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□组织，集中踏勘时间：</w:t>
            </w:r>
          </w:p>
          <w:p>
            <w:pPr>
              <w:keepNext w:val="0"/>
              <w:keepLines w:val="0"/>
              <w:pageBreakBefore w:val="0"/>
              <w:kinsoku/>
              <w:wordWrap/>
              <w:overflowPunct/>
              <w:topLinePunct w:val="0"/>
              <w:bidi w:val="0"/>
              <w:snapToGrid w:val="0"/>
              <w:spacing w:line="400" w:lineRule="exact"/>
              <w:ind w:firstLine="1260" w:firstLineChars="6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集中踏勘地点：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1.10.1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投标预备会</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□不召开</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□召开，召开时间：</w:t>
            </w:r>
          </w:p>
          <w:p>
            <w:pPr>
              <w:keepNext w:val="0"/>
              <w:keepLines w:val="0"/>
              <w:pageBreakBefore w:val="0"/>
              <w:kinsoku/>
              <w:wordWrap/>
              <w:overflowPunct/>
              <w:topLinePunct w:val="0"/>
              <w:bidi w:val="0"/>
              <w:snapToGrid w:val="0"/>
              <w:spacing w:after="15" w:afterLines="5" w:line="400" w:lineRule="exact"/>
              <w:ind w:firstLine="1260" w:firstLineChars="6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召开地点：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1.11.1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分包</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□不允许</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□允许，分包内容要求：</w:t>
            </w:r>
          </w:p>
          <w:p>
            <w:pPr>
              <w:keepNext w:val="0"/>
              <w:keepLines w:val="0"/>
              <w:pageBreakBefore w:val="0"/>
              <w:kinsoku/>
              <w:wordWrap/>
              <w:overflowPunct/>
              <w:topLinePunct w:val="0"/>
              <w:bidi w:val="0"/>
              <w:snapToGrid w:val="0"/>
              <w:spacing w:line="400" w:lineRule="exact"/>
              <w:ind w:firstLine="1260" w:firstLineChars="6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分包金额要求：</w:t>
            </w:r>
          </w:p>
          <w:p>
            <w:pPr>
              <w:keepNext w:val="0"/>
              <w:keepLines w:val="0"/>
              <w:pageBreakBefore w:val="0"/>
              <w:suppressLineNumbers w:val="0"/>
              <w:suppressAutoHyphens w:val="0"/>
              <w:kinsoku/>
              <w:wordWrap/>
              <w:overflowPunct/>
              <w:topLinePunct w:val="0"/>
              <w:bidi w:val="0"/>
              <w:snapToGrid w:val="0"/>
              <w:spacing w:after="15" w:afterLines="5"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接受分包的第三人资质要求：</w:t>
            </w:r>
          </w:p>
          <w:p>
            <w:pPr>
              <w:pStyle w:val="2"/>
              <w:keepNext w:val="0"/>
              <w:keepLines w:val="0"/>
              <w:pageBreakBefore w:val="0"/>
              <w:suppressLineNumbers/>
              <w:suppressAutoHyphens/>
              <w:kinsoku/>
              <w:wordWrap/>
              <w:overflowPunct/>
              <w:topLinePunct w:val="0"/>
              <w:bidi w:val="0"/>
              <w:snapToGrid w:val="0"/>
              <w:spacing w:after="15" w:afterLines="5"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注：分包应按照相关法律法规及规范性文件执行，不得违法分包。</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响应和偏离</w:t>
            </w:r>
          </w:p>
        </w:tc>
        <w:tc>
          <w:tcPr>
            <w:tcW w:w="6308" w:type="dxa"/>
            <w:vAlign w:val="center"/>
          </w:tcPr>
          <w:p>
            <w:pPr>
              <w:keepNext w:val="0"/>
              <w:keepLines w:val="0"/>
              <w:pageBreakBefore w:val="0"/>
              <w:widowControl/>
              <w:kinsoku/>
              <w:wordWrap/>
              <w:overflowPunct/>
              <w:topLinePunct w:val="0"/>
              <w:bidi w:val="0"/>
              <w:spacing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投标文件存在</w:t>
            </w:r>
            <w:r>
              <w:rPr>
                <w:rFonts w:hint="eastAsia" w:asciiTheme="minorEastAsia" w:hAnsiTheme="minorEastAsia" w:eastAsiaTheme="minorEastAsia" w:cstheme="minorEastAsia"/>
                <w:kern w:val="2"/>
                <w:sz w:val="21"/>
                <w:szCs w:val="21"/>
                <w:highlight w:val="none"/>
              </w:rPr>
              <w:t>第三章“附件：否决投标情况一览表</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kern w:val="2"/>
                <w:sz w:val="21"/>
                <w:szCs w:val="21"/>
                <w:highlight w:val="none"/>
              </w:rPr>
              <w:t>中</w:t>
            </w:r>
            <w:r>
              <w:rPr>
                <w:rFonts w:hint="eastAsia" w:asciiTheme="minorEastAsia" w:hAnsiTheme="minorEastAsia" w:eastAsiaTheme="minorEastAsia" w:cstheme="minorEastAsia"/>
                <w:kern w:val="0"/>
                <w:sz w:val="21"/>
                <w:szCs w:val="21"/>
                <w:highlight w:val="none"/>
              </w:rPr>
              <w:t>情形之一的，投标文件视为重大偏差并作否决投标处理，否则，评标委员会不得视为重大偏差而否决投标人的投标文件。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2.1</w:t>
            </w:r>
          </w:p>
        </w:tc>
        <w:tc>
          <w:tcPr>
            <w:tcW w:w="1644" w:type="dxa"/>
            <w:vAlign w:val="center"/>
          </w:tcPr>
          <w:p>
            <w:pPr>
              <w:keepNext w:val="0"/>
              <w:keepLines w:val="0"/>
              <w:pageBreakBefore w:val="0"/>
              <w:kinsoku/>
              <w:wordWrap/>
              <w:overflowPunct/>
              <w:topLinePunct w:val="0"/>
              <w:bidi w:val="0"/>
              <w:snapToGrid w:val="0"/>
              <w:spacing w:after="15" w:afterLines="5"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构成招标文件的其他材料</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招标人发出的澄清及修改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2.2.1</w:t>
            </w:r>
          </w:p>
        </w:tc>
        <w:tc>
          <w:tcPr>
            <w:tcW w:w="1644" w:type="dxa"/>
            <w:tcBorders>
              <w:bottom w:val="single" w:color="auto" w:sz="4" w:space="0"/>
            </w:tcBorders>
            <w:vAlign w:val="center"/>
          </w:tcPr>
          <w:p>
            <w:pPr>
              <w:keepNext w:val="0"/>
              <w:keepLines w:val="0"/>
              <w:pageBreakBefore w:val="0"/>
              <w:suppressLineNumbers/>
              <w:suppressAutoHyphens/>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投标人要求澄清招标文件的形式和截止时间</w:t>
            </w:r>
          </w:p>
        </w:tc>
        <w:tc>
          <w:tcPr>
            <w:tcW w:w="6308" w:type="dxa"/>
            <w:vAlign w:val="center"/>
          </w:tcPr>
          <w:p>
            <w:pPr>
              <w:keepNext w:val="0"/>
              <w:keepLines w:val="0"/>
              <w:pageBreakBefore w:val="0"/>
              <w:suppressLineNumbers/>
              <w:suppressAutoHyphens/>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应仔细阅读招标文件及附件的所有内容，如有文字表述不清，图纸尺寸标注不明以及存在错、漏、缺、概念模糊和有可能出现歧义或理解上的偏差的内容等应在招标公告规定的时间前在本项目招标公告网页下方“我要提问”栏提交。</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175" w:hRule="atLeast"/>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2.2.2</w:t>
            </w:r>
          </w:p>
        </w:tc>
        <w:tc>
          <w:tcPr>
            <w:tcW w:w="1644" w:type="dxa"/>
            <w:tcBorders>
              <w:top w:val="single" w:color="auto" w:sz="4" w:space="0"/>
            </w:tcBorders>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招标文件澄清发出的形式和时间</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z w:val="21"/>
                <w:szCs w:val="21"/>
                <w:highlight w:val="none"/>
              </w:rPr>
              <w:t>招标人应在招标公告规定的时间前，</w:t>
            </w:r>
            <w:r>
              <w:rPr>
                <w:rFonts w:hint="eastAsia" w:asciiTheme="minorEastAsia" w:hAnsiTheme="minorEastAsia" w:eastAsiaTheme="minorEastAsia" w:cstheme="minorEastAsia"/>
                <w:kern w:val="0"/>
                <w:sz w:val="21"/>
                <w:szCs w:val="21"/>
                <w:highlight w:val="none"/>
              </w:rPr>
              <w:t>在</w:t>
            </w:r>
            <w:r>
              <w:rPr>
                <w:rFonts w:hint="eastAsia" w:asciiTheme="minorEastAsia" w:hAnsiTheme="minorEastAsia" w:eastAsiaTheme="minorEastAsia" w:cstheme="minorEastAsia"/>
                <w:kern w:val="0"/>
                <w:sz w:val="21"/>
                <w:szCs w:val="21"/>
                <w:highlight w:val="none"/>
                <w:u w:val="single"/>
              </w:rPr>
              <w:t>重庆市公共资源交易网（www.cqggzy.com）</w:t>
            </w:r>
            <w:r>
              <w:rPr>
                <w:rFonts w:hint="eastAsia" w:asciiTheme="minorEastAsia" w:hAnsiTheme="minorEastAsia" w:eastAsiaTheme="minorEastAsia" w:cstheme="minorEastAsia"/>
                <w:kern w:val="0"/>
                <w:sz w:val="21"/>
                <w:szCs w:val="21"/>
                <w:highlight w:val="none"/>
              </w:rPr>
              <w:t>发布澄清。</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2.3.1</w:t>
            </w:r>
          </w:p>
        </w:tc>
        <w:tc>
          <w:tcPr>
            <w:tcW w:w="1644" w:type="dxa"/>
          </w:tcPr>
          <w:p>
            <w:pPr>
              <w:keepNext w:val="0"/>
              <w:keepLines w:val="0"/>
              <w:pageBreakBefore w:val="0"/>
              <w:kinsoku/>
              <w:wordWrap/>
              <w:overflowPunct/>
              <w:topLinePunct w:val="0"/>
              <w:bidi w:val="0"/>
              <w:snapToGrid w:val="0"/>
              <w:spacing w:after="15" w:afterLines="5"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招标文件修改发出的形式和时间</w:t>
            </w:r>
          </w:p>
        </w:tc>
        <w:tc>
          <w:tcPr>
            <w:tcW w:w="6308" w:type="dxa"/>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招标人应在招标公告规定的时间前，在</w:t>
            </w:r>
            <w:r>
              <w:rPr>
                <w:rFonts w:hint="eastAsia" w:asciiTheme="minorEastAsia" w:hAnsiTheme="minorEastAsia" w:eastAsiaTheme="minorEastAsia" w:cstheme="minorEastAsia"/>
                <w:sz w:val="21"/>
                <w:szCs w:val="21"/>
                <w:highlight w:val="none"/>
                <w:u w:val="single"/>
              </w:rPr>
              <w:t>重庆市公共资源交易网（www.cqggzy.com）</w:t>
            </w:r>
            <w:r>
              <w:rPr>
                <w:rFonts w:hint="eastAsia" w:asciiTheme="minorEastAsia" w:hAnsiTheme="minorEastAsia" w:eastAsiaTheme="minorEastAsia" w:cstheme="minorEastAsia"/>
                <w:sz w:val="21"/>
                <w:szCs w:val="21"/>
                <w:highlight w:val="none"/>
              </w:rPr>
              <w:t>发布修改。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2.4</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投标人对招标文件及澄清修改提出异议的形式和时间</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rPr>
              <w:t>投标人对招标文件和澄清修改有异议的，应当在投标截止时间10日前，通过重庆市电子招投标系统提出，招标人应当自收到异议之日起3日内做出答复，答复内容可能影响投标文件编制的，将以修改的形式于投标截止时间15日前在</w:t>
            </w:r>
            <w:r>
              <w:rPr>
                <w:rFonts w:hint="eastAsia" w:asciiTheme="minorEastAsia" w:hAnsiTheme="minorEastAsia" w:eastAsiaTheme="minorEastAsia" w:cstheme="minorEastAsia"/>
                <w:snapToGrid w:val="0"/>
                <w:kern w:val="0"/>
                <w:sz w:val="21"/>
                <w:szCs w:val="21"/>
                <w:highlight w:val="none"/>
                <w:u w:val="single"/>
              </w:rPr>
              <w:t>重庆市公共资源交易网（www.cqggzy.com）</w:t>
            </w:r>
            <w:r>
              <w:rPr>
                <w:rFonts w:hint="eastAsia" w:asciiTheme="minorEastAsia" w:hAnsiTheme="minorEastAsia" w:eastAsiaTheme="minorEastAsia" w:cstheme="minorEastAsia"/>
                <w:snapToGrid w:val="0"/>
                <w:kern w:val="0"/>
                <w:sz w:val="21"/>
                <w:szCs w:val="21"/>
                <w:highlight w:val="none"/>
              </w:rPr>
              <w:t>澄清修改区发布。发布时间至投标截止时间不足15日的，须相应延后投标截止时间。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3.1.1</w:t>
            </w:r>
          </w:p>
        </w:tc>
        <w:tc>
          <w:tcPr>
            <w:tcW w:w="1644" w:type="dxa"/>
            <w:vAlign w:val="center"/>
          </w:tcPr>
          <w:p>
            <w:pPr>
              <w:keepNext w:val="0"/>
              <w:keepLines w:val="0"/>
              <w:pageBreakBefore w:val="0"/>
              <w:suppressLineNumbers/>
              <w:suppressAutoHyphens/>
              <w:kinsoku/>
              <w:wordWrap/>
              <w:overflowPunct/>
              <w:topLinePunct w:val="0"/>
              <w:bidi w:val="0"/>
              <w:snapToGrid w:val="0"/>
              <w:spacing w:after="31" w:afterLines="10"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构成投标文件的其他材料</w:t>
            </w:r>
          </w:p>
        </w:tc>
        <w:tc>
          <w:tcPr>
            <w:tcW w:w="6308" w:type="dxa"/>
            <w:vAlign w:val="center"/>
          </w:tcPr>
          <w:p>
            <w:pPr>
              <w:keepNext w:val="0"/>
              <w:keepLines w:val="0"/>
              <w:pageBreakBefore w:val="0"/>
              <w:suppressLineNumbers/>
              <w:suppressAutoHyphens/>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投标人的书面澄清、说明和补正（但不得改变投标文件的实质性内容）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3.2.1</w:t>
            </w:r>
          </w:p>
        </w:tc>
        <w:tc>
          <w:tcPr>
            <w:tcW w:w="1644" w:type="dxa"/>
          </w:tcPr>
          <w:p>
            <w:pPr>
              <w:keepNext w:val="0"/>
              <w:keepLines w:val="0"/>
              <w:pageBreakBefore w:val="0"/>
              <w:suppressLineNumbers/>
              <w:suppressAutoHyphens/>
              <w:kinsoku/>
              <w:wordWrap/>
              <w:overflowPunct/>
              <w:topLinePunct w:val="0"/>
              <w:bidi w:val="0"/>
              <w:snapToGrid w:val="0"/>
              <w:spacing w:after="31" w:afterLines="10"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增值税税金的计算方法</w:t>
            </w:r>
          </w:p>
        </w:tc>
        <w:tc>
          <w:tcPr>
            <w:tcW w:w="6308" w:type="dxa"/>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□一般计税法</w:t>
            </w:r>
          </w:p>
          <w:p>
            <w:pPr>
              <w:keepNext w:val="0"/>
              <w:keepLines w:val="0"/>
              <w:pageBreakBefore w:val="0"/>
              <w:suppressLineNumbers/>
              <w:suppressAutoHyphens/>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□简易计税法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3.2.3</w:t>
            </w:r>
          </w:p>
        </w:tc>
        <w:tc>
          <w:tcPr>
            <w:tcW w:w="1644" w:type="dxa"/>
            <w:vAlign w:val="center"/>
          </w:tcPr>
          <w:p>
            <w:pPr>
              <w:keepNext w:val="0"/>
              <w:keepLines w:val="0"/>
              <w:pageBreakBefore w:val="0"/>
              <w:suppressLineNumbers/>
              <w:suppressAutoHyphens/>
              <w:kinsoku/>
              <w:wordWrap/>
              <w:overflowPunct/>
              <w:topLinePunct w:val="0"/>
              <w:bidi w:val="0"/>
              <w:snapToGrid w:val="0"/>
              <w:spacing w:after="31" w:afterLines="10"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报价方式</w:t>
            </w:r>
          </w:p>
        </w:tc>
        <w:tc>
          <w:tcPr>
            <w:tcW w:w="6308" w:type="dxa"/>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□方式一：固定费率</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rPr>
            </w:pPr>
            <w:r>
              <w:rPr>
                <w:rFonts w:hint="eastAsia" w:asciiTheme="minorEastAsia" w:hAnsiTheme="minorEastAsia" w:eastAsiaTheme="minorEastAsia" w:cstheme="minorEastAsia"/>
                <w:color w:val="auto"/>
                <w:kern w:val="0"/>
                <w:highlight w:val="none"/>
                <w:lang w:eastAsia="zh-CN"/>
              </w:rPr>
              <w:t>计费基数：</w:t>
            </w:r>
            <w:r>
              <w:rPr>
                <w:rFonts w:hint="eastAsia" w:asciiTheme="minorEastAsia" w:hAnsiTheme="minorEastAsia" w:eastAsiaTheme="minorEastAsia" w:cstheme="minorEastAsia"/>
                <w:color w:val="auto"/>
                <w:szCs w:val="21"/>
                <w:highlight w:val="none"/>
              </w:rPr>
              <w:t>□本次招标项目</w:t>
            </w:r>
            <w:r>
              <w:rPr>
                <w:rFonts w:hint="eastAsia" w:asciiTheme="minorEastAsia" w:hAnsiTheme="minorEastAsia" w:eastAsiaTheme="minorEastAsia" w:cstheme="minorEastAsia"/>
                <w:color w:val="auto"/>
                <w:szCs w:val="21"/>
                <w:highlight w:val="none"/>
                <w:lang w:val="en-US" w:eastAsia="zh-CN"/>
              </w:rPr>
              <w:t>工程费估算</w:t>
            </w:r>
            <w:r>
              <w:rPr>
                <w:rFonts w:hint="eastAsia" w:asciiTheme="minorEastAsia" w:hAnsiTheme="minorEastAsia" w:eastAsiaTheme="minorEastAsia" w:cstheme="minorEastAsia"/>
                <w:color w:val="auto"/>
                <w:szCs w:val="21"/>
                <w:highlight w:val="none"/>
              </w:rPr>
              <w:t>金额</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u w:val="single"/>
                <w:lang w:val="en-US" w:eastAsia="zh-CN"/>
              </w:rPr>
              <w:t xml:space="preserve">    元</w:t>
            </w:r>
            <w:r>
              <w:rPr>
                <w:rFonts w:hint="eastAsia" w:asciiTheme="minorEastAsia" w:hAnsiTheme="minorEastAsia" w:eastAsiaTheme="minorEastAsia" w:cstheme="minorEastAsia"/>
                <w:color w:val="auto"/>
                <w:szCs w:val="21"/>
                <w:highlight w:val="none"/>
                <w:u w:val="none"/>
                <w:lang w:val="en-US" w:eastAsia="zh-CN"/>
              </w:rPr>
              <w:t>；</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其他：</w:t>
            </w:r>
            <w:r>
              <w:rPr>
                <w:rFonts w:hint="eastAsia" w:asciiTheme="minorEastAsia" w:hAnsiTheme="minorEastAsia" w:eastAsiaTheme="minorEastAsia" w:cstheme="minorEastAsia"/>
                <w:color w:val="auto"/>
                <w:szCs w:val="21"/>
                <w:highlight w:val="none"/>
                <w:u w:val="single"/>
                <w:lang w:val="en-US" w:eastAsia="zh-CN"/>
              </w:rPr>
              <w:t xml:space="preserve">    </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勘察费投标报价=</w:t>
            </w:r>
            <w:r>
              <w:rPr>
                <w:rFonts w:hint="eastAsia"/>
                <w:u w:val="none"/>
                <w:lang w:val="en-US" w:eastAsia="zh-CN"/>
              </w:rPr>
              <w:t>计费基数</w:t>
            </w:r>
            <w:r>
              <w:rPr>
                <w:rFonts w:hint="eastAsia" w:asciiTheme="minorEastAsia" w:hAnsiTheme="minorEastAsia" w:eastAsiaTheme="minorEastAsia" w:cstheme="minorEastAsia"/>
                <w:sz w:val="21"/>
                <w:szCs w:val="21"/>
                <w:highlight w:val="none"/>
              </w:rPr>
              <w:t>×固定费率报价+□BIM技术费用+□专项勘察费用+□</w:t>
            </w:r>
            <w:r>
              <w:rPr>
                <w:rFonts w:hint="eastAsia" w:asciiTheme="minorEastAsia" w:hAnsiTheme="minorEastAsia" w:eastAsiaTheme="minorEastAsia" w:cstheme="minorEastAsia"/>
                <w:sz w:val="21"/>
                <w:szCs w:val="21"/>
                <w:highlight w:val="none"/>
                <w:u w:val="single"/>
              </w:rPr>
              <w:t>其他费用</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固定费率报价</w:t>
            </w:r>
            <w:r>
              <w:rPr>
                <w:rFonts w:hint="eastAsia" w:asciiTheme="minorEastAsia" w:hAnsiTheme="minorEastAsia" w:eastAsiaTheme="minorEastAsia" w:cstheme="minorEastAsia"/>
                <w:color w:val="auto"/>
                <w:szCs w:val="21"/>
                <w:highlight w:val="none"/>
                <w:lang w:val="en-US" w:eastAsia="zh-CN"/>
              </w:rPr>
              <w:t>以百分号为单位，</w:t>
            </w:r>
            <w:r>
              <w:rPr>
                <w:rFonts w:hint="eastAsia" w:asciiTheme="minorEastAsia" w:hAnsiTheme="minorEastAsia" w:eastAsiaTheme="minorEastAsia" w:cstheme="minorEastAsia"/>
                <w:color w:val="auto"/>
                <w:szCs w:val="21"/>
                <w:highlight w:val="none"/>
              </w:rPr>
              <w:t>百分号前保留</w:t>
            </w:r>
            <w:r>
              <w:rPr>
                <w:rFonts w:hint="eastAsia" w:asciiTheme="minorEastAsia" w:hAnsiTheme="minorEastAsia" w:eastAsiaTheme="minorEastAsia" w:cstheme="minorEastAsia"/>
                <w:color w:val="auto"/>
                <w:szCs w:val="21"/>
                <w:highlight w:val="none"/>
                <w:lang w:val="en-US" w:eastAsia="zh-CN"/>
              </w:rPr>
              <w:t>两位</w:t>
            </w:r>
            <w:r>
              <w:rPr>
                <w:rFonts w:hint="eastAsia" w:asciiTheme="minorEastAsia" w:hAnsiTheme="minorEastAsia" w:eastAsiaTheme="minorEastAsia" w:cstheme="minorEastAsia"/>
                <w:color w:val="auto"/>
                <w:szCs w:val="21"/>
                <w:highlight w:val="none"/>
              </w:rPr>
              <w:t>小数，第三位四舍五入</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不足两位的按实际位数保留</w:t>
            </w:r>
            <w:r>
              <w:rPr>
                <w:rFonts w:hint="eastAsia" w:asciiTheme="minorEastAsia" w:hAnsiTheme="minorEastAsia" w:eastAsiaTheme="minorEastAsia" w:cstheme="minorEastAsia"/>
                <w:color w:val="auto"/>
                <w:szCs w:val="21"/>
                <w:highlight w:val="none"/>
                <w:lang w:eastAsia="zh-CN"/>
              </w:rPr>
              <w:t>。报价保留小数点位数的要求仅为方便评标使用，不作为否决投标条件。</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□方式二：固定单价</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color w:val="auto"/>
                <w:szCs w:val="21"/>
                <w:highlight w:val="none"/>
                <w:u w:val="single"/>
                <w:lang w:val="en-US" w:eastAsia="zh-CN"/>
              </w:rPr>
            </w:pPr>
            <w:r>
              <w:rPr>
                <w:rFonts w:hint="eastAsia" w:asciiTheme="minorEastAsia" w:hAnsiTheme="minorEastAsia" w:eastAsiaTheme="minorEastAsia" w:cstheme="minorEastAsia"/>
                <w:color w:val="auto"/>
                <w:kern w:val="0"/>
                <w:highlight w:val="none"/>
                <w:lang w:eastAsia="zh-CN"/>
              </w:rPr>
              <w:t>暂定工程量：</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none"/>
              </w:rPr>
              <w:t>暂定总建筑面积</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u w:val="none"/>
                <w:lang w:val="en-US" w:eastAsia="zh-CN"/>
              </w:rPr>
              <w:t>；</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其他：</w:t>
            </w:r>
            <w:r>
              <w:rPr>
                <w:rFonts w:hint="eastAsia" w:asciiTheme="minorEastAsia" w:hAnsiTheme="minorEastAsia" w:eastAsiaTheme="minorEastAsia" w:cstheme="minorEastAsia"/>
                <w:color w:val="auto"/>
                <w:szCs w:val="21"/>
                <w:highlight w:val="none"/>
                <w:u w:val="single"/>
                <w:lang w:val="en-US" w:eastAsia="zh-CN"/>
              </w:rPr>
              <w:t xml:space="preserve">     </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勘察费投标报价=</w:t>
            </w:r>
            <w:r>
              <w:rPr>
                <w:rFonts w:hint="eastAsia"/>
              </w:rPr>
              <w:t>暂定</w:t>
            </w:r>
            <w:r>
              <w:rPr>
                <w:rFonts w:hint="eastAsia"/>
                <w:lang w:val="en-US" w:eastAsia="zh-CN"/>
              </w:rPr>
              <w:t>工程量</w:t>
            </w:r>
            <w:r>
              <w:rPr>
                <w:rFonts w:hint="eastAsia" w:asciiTheme="minorEastAsia" w:hAnsiTheme="minorEastAsia" w:eastAsiaTheme="minorEastAsia" w:cstheme="minorEastAsia"/>
                <w:sz w:val="21"/>
                <w:szCs w:val="21"/>
                <w:highlight w:val="none"/>
              </w:rPr>
              <w:t>×固定单价报价+□BIM技术费用+□专项勘察费用+□</w:t>
            </w:r>
            <w:r>
              <w:rPr>
                <w:rFonts w:hint="eastAsia" w:asciiTheme="minorEastAsia" w:hAnsiTheme="minorEastAsia" w:eastAsiaTheme="minorEastAsia" w:cstheme="minorEastAsia"/>
                <w:sz w:val="21"/>
                <w:szCs w:val="21"/>
                <w:highlight w:val="none"/>
                <w:u w:val="single"/>
              </w:rPr>
              <w:t>其他费用</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i/>
                <w:iCs/>
                <w:color w:val="auto"/>
                <w:szCs w:val="21"/>
                <w:highlight w:val="none"/>
                <w:lang w:val="en-US" w:eastAsia="zh-CN"/>
              </w:rPr>
            </w:pPr>
            <w:r>
              <w:rPr>
                <w:rFonts w:hint="eastAsia" w:asciiTheme="minorEastAsia" w:hAnsiTheme="minorEastAsia" w:eastAsiaTheme="minorEastAsia" w:cstheme="minorEastAsia"/>
                <w:i/>
                <w:iCs/>
                <w:color w:val="auto"/>
                <w:szCs w:val="21"/>
                <w:highlight w:val="none"/>
                <w:lang w:val="en-US" w:eastAsia="zh-CN"/>
              </w:rPr>
              <w:t>[提示：</w:t>
            </w:r>
            <w:r>
              <w:rPr>
                <w:rFonts w:hint="eastAsia" w:asciiTheme="minorEastAsia" w:hAnsiTheme="minorEastAsia" w:eastAsiaTheme="minorEastAsia" w:cstheme="minorEastAsia"/>
                <w:i/>
                <w:iCs/>
                <w:color w:val="auto"/>
                <w:szCs w:val="21"/>
                <w:highlight w:val="none"/>
              </w:rPr>
              <w:t>固定单价</w:t>
            </w:r>
            <w:r>
              <w:rPr>
                <w:rFonts w:hint="eastAsia" w:asciiTheme="minorEastAsia" w:hAnsiTheme="minorEastAsia" w:eastAsiaTheme="minorEastAsia" w:cstheme="minorEastAsia"/>
                <w:i/>
                <w:iCs/>
                <w:color w:val="auto"/>
                <w:szCs w:val="21"/>
                <w:highlight w:val="none"/>
                <w:lang w:val="en-US" w:eastAsia="zh-CN"/>
              </w:rPr>
              <w:t>报价的单位由招标人根据实际情况在《投标函》中进行设置。]</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固定单价报价的数值</w:t>
            </w:r>
            <w:r>
              <w:rPr>
                <w:rFonts w:hint="eastAsia" w:asciiTheme="minorEastAsia" w:hAnsiTheme="minorEastAsia" w:eastAsiaTheme="minorEastAsia" w:cstheme="minorEastAsia"/>
                <w:color w:val="auto"/>
                <w:szCs w:val="21"/>
                <w:highlight w:val="none"/>
              </w:rPr>
              <w:t>保留</w:t>
            </w:r>
            <w:r>
              <w:rPr>
                <w:rFonts w:hint="eastAsia" w:asciiTheme="minorEastAsia" w:hAnsiTheme="minorEastAsia" w:eastAsiaTheme="minorEastAsia" w:cstheme="minorEastAsia"/>
                <w:color w:val="auto"/>
                <w:szCs w:val="21"/>
                <w:highlight w:val="none"/>
                <w:lang w:val="en-US" w:eastAsia="zh-CN"/>
              </w:rPr>
              <w:t>两位</w:t>
            </w:r>
            <w:r>
              <w:rPr>
                <w:rFonts w:hint="eastAsia" w:asciiTheme="minorEastAsia" w:hAnsiTheme="minorEastAsia" w:eastAsiaTheme="minorEastAsia" w:cstheme="minorEastAsia"/>
                <w:color w:val="auto"/>
                <w:szCs w:val="21"/>
                <w:highlight w:val="none"/>
              </w:rPr>
              <w:t>小数，第三位四舍五入</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不足两位的按实际位数保留</w:t>
            </w:r>
            <w:r>
              <w:rPr>
                <w:rFonts w:hint="eastAsia" w:asciiTheme="minorEastAsia" w:hAnsiTheme="minorEastAsia" w:eastAsiaTheme="minorEastAsia" w:cstheme="minorEastAsia"/>
                <w:color w:val="auto"/>
                <w:szCs w:val="21"/>
                <w:highlight w:val="none"/>
                <w:lang w:eastAsia="zh-CN"/>
              </w:rPr>
              <w:t>。报价保留小数点位数的要求仅为方便评标使用，不作为否决投标条件。</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□方式三：固定总价</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勘察费投标报价为固定总价，除发生重大变更外，勘察费不调整。其中□BIM技术费用</w:t>
            </w:r>
            <w:r>
              <w:rPr>
                <w:rFonts w:hint="eastAsia" w:asciiTheme="minorEastAsia" w:hAnsiTheme="minorEastAsia" w:eastAsiaTheme="minorEastAsia" w:cstheme="minorEastAsia"/>
                <w:sz w:val="21"/>
                <w:szCs w:val="21"/>
                <w:highlight w:val="none"/>
                <w:lang w:val="en-US" w:eastAsia="zh-CN"/>
              </w:rPr>
              <w:t>单列</w:t>
            </w:r>
            <w:r>
              <w:rPr>
                <w:rFonts w:hint="eastAsia" w:asciiTheme="minorEastAsia" w:hAnsiTheme="minorEastAsia" w:eastAsiaTheme="minorEastAsia" w:cstheme="minorEastAsia"/>
                <w:sz w:val="21"/>
                <w:szCs w:val="21"/>
                <w:highlight w:val="none"/>
              </w:rPr>
              <w:t>，□专项</w:t>
            </w:r>
            <w:r>
              <w:rPr>
                <w:rFonts w:hint="eastAsia" w:asciiTheme="minorEastAsia" w:hAnsiTheme="minorEastAsia" w:eastAsiaTheme="minorEastAsia" w:cstheme="minorEastAsia"/>
                <w:sz w:val="21"/>
                <w:szCs w:val="21"/>
                <w:highlight w:val="none"/>
                <w:lang w:val="en-US" w:eastAsia="zh-CN"/>
              </w:rPr>
              <w:t>勘察</w:t>
            </w:r>
            <w:r>
              <w:rPr>
                <w:rFonts w:hint="eastAsia" w:asciiTheme="minorEastAsia" w:hAnsiTheme="minorEastAsia" w:eastAsiaTheme="minorEastAsia" w:cstheme="minorEastAsia"/>
                <w:sz w:val="21"/>
                <w:szCs w:val="21"/>
                <w:highlight w:val="none"/>
              </w:rPr>
              <w:t>费用</w:t>
            </w:r>
            <w:r>
              <w:rPr>
                <w:rFonts w:hint="eastAsia" w:asciiTheme="minorEastAsia" w:hAnsiTheme="minorEastAsia" w:eastAsiaTheme="minorEastAsia" w:cstheme="minorEastAsia"/>
                <w:sz w:val="21"/>
                <w:szCs w:val="21"/>
                <w:highlight w:val="none"/>
                <w:lang w:val="en-US" w:eastAsia="zh-CN"/>
              </w:rPr>
              <w:t>单列</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rPr>
              <w:t>其他费用</w:t>
            </w:r>
            <w:r>
              <w:rPr>
                <w:rFonts w:hint="eastAsia" w:asciiTheme="minorEastAsia" w:hAnsiTheme="minorEastAsia" w:eastAsiaTheme="minorEastAsia" w:cstheme="minorEastAsia"/>
                <w:sz w:val="21"/>
                <w:szCs w:val="21"/>
                <w:highlight w:val="none"/>
                <w:lang w:val="en-US" w:eastAsia="zh-CN"/>
              </w:rPr>
              <w:t>单列</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固定总价报价</w:t>
            </w:r>
            <w:r>
              <w:rPr>
                <w:rFonts w:hint="eastAsia" w:asciiTheme="minorEastAsia" w:hAnsiTheme="minorEastAsia" w:eastAsiaTheme="minorEastAsia" w:cstheme="minorEastAsia"/>
                <w:color w:val="auto"/>
                <w:szCs w:val="21"/>
                <w:highlight w:val="none"/>
                <w:lang w:val="en-US" w:eastAsia="zh-CN"/>
              </w:rPr>
              <w:t>以元为单位，</w:t>
            </w:r>
            <w:r>
              <w:rPr>
                <w:rFonts w:hint="eastAsia" w:asciiTheme="minorEastAsia" w:hAnsiTheme="minorEastAsia" w:eastAsiaTheme="minorEastAsia" w:cstheme="minorEastAsia"/>
                <w:color w:val="auto"/>
                <w:szCs w:val="21"/>
                <w:highlight w:val="none"/>
              </w:rPr>
              <w:t>保留小数点后两位，第三位四舍五入，不足两位的按实际位数保留</w:t>
            </w:r>
            <w:r>
              <w:rPr>
                <w:rFonts w:hint="eastAsia" w:asciiTheme="minorEastAsia" w:hAnsiTheme="minorEastAsia" w:eastAsiaTheme="minorEastAsia" w:cstheme="minorEastAsia"/>
                <w:color w:val="auto"/>
                <w:szCs w:val="21"/>
                <w:highlight w:val="none"/>
                <w:lang w:eastAsia="zh-CN"/>
              </w:rPr>
              <w:t>。报价保留小数点位数的要求仅为方便评标使用，不作为否决投标条件。</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□方式四：</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sz w:val="21"/>
                <w:szCs w:val="21"/>
                <w:highlight w:val="none"/>
                <w:u w:val="single"/>
              </w:rPr>
              <w:t xml:space="preserve">                                       </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[提示：招标人在编制招标文件时，可根据实际情况在</w:t>
            </w:r>
            <w:r>
              <w:rPr>
                <w:rFonts w:hint="eastAsia" w:asciiTheme="minorEastAsia" w:hAnsiTheme="minorEastAsia" w:eastAsiaTheme="minorEastAsia" w:cstheme="minorEastAsia"/>
                <w:i/>
                <w:sz w:val="21"/>
                <w:szCs w:val="21"/>
                <w:highlight w:val="none"/>
                <w:lang w:eastAsia="zh-CN"/>
              </w:rPr>
              <w:t>第</w:t>
            </w:r>
            <w:r>
              <w:rPr>
                <w:rFonts w:hint="eastAsia" w:asciiTheme="minorEastAsia" w:hAnsiTheme="minorEastAsia" w:eastAsiaTheme="minorEastAsia" w:cstheme="minorEastAsia"/>
                <w:i/>
                <w:sz w:val="21"/>
                <w:szCs w:val="21"/>
                <w:highlight w:val="none"/>
              </w:rPr>
              <w:t>3.2</w:t>
            </w:r>
            <w:r>
              <w:rPr>
                <w:rFonts w:hint="eastAsia" w:asciiTheme="minorEastAsia" w:hAnsiTheme="minorEastAsia" w:eastAsiaTheme="minorEastAsia" w:cstheme="minorEastAsia"/>
                <w:i/>
                <w:sz w:val="21"/>
                <w:szCs w:val="21"/>
                <w:highlight w:val="none"/>
                <w:lang w:val="en-US" w:eastAsia="zh-CN"/>
              </w:rPr>
              <w:t>.3项</w:t>
            </w:r>
            <w:r>
              <w:rPr>
                <w:rFonts w:hint="eastAsia" w:asciiTheme="minorEastAsia" w:hAnsiTheme="minorEastAsia" w:eastAsiaTheme="minorEastAsia" w:cstheme="minorEastAsia"/>
                <w:i/>
                <w:sz w:val="21"/>
                <w:szCs w:val="21"/>
                <w:highlight w:val="none"/>
              </w:rPr>
              <w:t xml:space="preserve">中予以增加或修改相关内容，但增加或修改的内容不得违背法律、法规及规范性文件的规定。]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3.2.4</w:t>
            </w:r>
          </w:p>
        </w:tc>
        <w:tc>
          <w:tcPr>
            <w:tcW w:w="1644" w:type="dxa"/>
            <w:vAlign w:val="center"/>
          </w:tcPr>
          <w:p>
            <w:pPr>
              <w:keepNext w:val="0"/>
              <w:keepLines w:val="0"/>
              <w:pageBreakBefore w:val="0"/>
              <w:suppressLineNumbers/>
              <w:suppressAutoHyphens/>
              <w:kinsoku/>
              <w:wordWrap/>
              <w:overflowPunct/>
              <w:topLinePunct w:val="0"/>
              <w:bidi w:val="0"/>
              <w:snapToGrid w:val="0"/>
              <w:spacing w:after="31" w:afterLines="10"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最高投标限价</w:t>
            </w:r>
          </w:p>
        </w:tc>
        <w:tc>
          <w:tcPr>
            <w:tcW w:w="6308" w:type="dxa"/>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□无</w:t>
            </w:r>
            <w:r>
              <w:rPr>
                <w:rFonts w:hint="eastAsia" w:asciiTheme="minorEastAsia" w:hAnsiTheme="minorEastAsia" w:eastAsiaTheme="minorEastAsia" w:cstheme="minorEastAsia"/>
                <w:i/>
                <w:sz w:val="21"/>
                <w:szCs w:val="21"/>
                <w:highlight w:val="none"/>
              </w:rPr>
              <w:t>[提示：国有资金投资的建设工程招标，招标人必须编制最高限价。]</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□有，投标报价最高限价将于投标截止日15日前发布，投标人的投标报价不得超过其最高限价，否则由评标委员会作否决投标处理。</w:t>
            </w:r>
            <w:r>
              <w:rPr>
                <w:rFonts w:hint="eastAsia" w:asciiTheme="minorEastAsia" w:hAnsiTheme="minorEastAsia" w:eastAsiaTheme="minorEastAsia" w:cstheme="minorEastAsia"/>
                <w:i/>
                <w:sz w:val="21"/>
                <w:szCs w:val="21"/>
                <w:highlight w:val="none"/>
              </w:rPr>
              <w:t>[提示：最高限价不随招标文件一起发布时选用。]</w:t>
            </w:r>
          </w:p>
          <w:p>
            <w:pPr>
              <w:keepNext w:val="0"/>
              <w:keepLines w:val="0"/>
              <w:pageBreakBefore w:val="0"/>
              <w:kinsoku/>
              <w:wordWrap/>
              <w:overflowPunct/>
              <w:topLinePunct w:val="0"/>
              <w:autoSpaceDE w:val="0"/>
              <w:autoSpaceDN w:val="0"/>
              <w:bidi w:val="0"/>
              <w:adjustRightInd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□有，本项目投标总报价最高限价为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元，具体情况如下：</w:t>
            </w:r>
            <w:r>
              <w:rPr>
                <w:rFonts w:hint="eastAsia" w:asciiTheme="minorEastAsia" w:hAnsiTheme="minorEastAsia" w:eastAsiaTheme="minorEastAsia" w:cstheme="minorEastAsia"/>
                <w:i/>
                <w:iCs/>
                <w:sz w:val="21"/>
                <w:szCs w:val="21"/>
                <w:highlight w:val="none"/>
              </w:rPr>
              <w:t>[提示：最高限价随招标文件一起发布时选用。]</w:t>
            </w:r>
          </w:p>
          <w:p>
            <w:pPr>
              <w:keepNext w:val="0"/>
              <w:keepLines w:val="0"/>
              <w:pageBreakBefore w:val="0"/>
              <w:kinsoku/>
              <w:wordWrap/>
              <w:overflowPunct/>
              <w:topLinePunct w:val="0"/>
              <w:autoSpaceDE w:val="0"/>
              <w:autoSpaceDN w:val="0"/>
              <w:bidi w:val="0"/>
              <w:adjustRightInd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□方式一：勘察费固定费率最高限价为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%，勘察费投标报价最高限价为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元（其中□BIM技术费用最高限价为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元，□专项勘察费最高限价为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rPr>
              <w:t>元，□其他费用最高限价为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元）投标人的投标报价不得超过其最高限价，否则由评标委员会作否决投标处理。</w:t>
            </w:r>
          </w:p>
          <w:p>
            <w:pPr>
              <w:keepNext w:val="0"/>
              <w:keepLines w:val="0"/>
              <w:pageBreakBefore w:val="0"/>
              <w:kinsoku/>
              <w:wordWrap/>
              <w:overflowPunct/>
              <w:topLinePunct w:val="0"/>
              <w:autoSpaceDE w:val="0"/>
              <w:autoSpaceDN w:val="0"/>
              <w:bidi w:val="0"/>
              <w:adjustRightInd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□方式二：勘察费固定单价最高限价为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，勘察费投标报价最高限价为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元（其中□BIM技术费用最高限价为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元，□专项勘察费最高限价为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元，□其他费用最高限价为       元）。投标人的投标报价不得超过其最高限价，否则由评标委员会作否决投标处理。</w:t>
            </w:r>
          </w:p>
          <w:p>
            <w:pPr>
              <w:keepNext w:val="0"/>
              <w:keepLines w:val="0"/>
              <w:pageBreakBefore w:val="0"/>
              <w:kinsoku/>
              <w:wordWrap/>
              <w:overflowPunct/>
              <w:topLinePunct w:val="0"/>
              <w:autoSpaceDE w:val="0"/>
              <w:autoSpaceDN w:val="0"/>
              <w:bidi w:val="0"/>
              <w:adjustRightInd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□方式三：勘察费投标总报价最高限价为</w:t>
            </w:r>
            <w:r>
              <w:rPr>
                <w:rFonts w:hint="eastAsia" w:asciiTheme="minorEastAsia" w:hAnsiTheme="minorEastAsia" w:eastAsiaTheme="minorEastAsia" w:cstheme="minorEastAsia"/>
                <w:i w:val="0"/>
                <w:iCs w:val="0"/>
                <w:sz w:val="21"/>
                <w:szCs w:val="21"/>
                <w:highlight w:val="none"/>
                <w:u w:val="single"/>
              </w:rPr>
              <w:t xml:space="preserve">       </w:t>
            </w:r>
            <w:r>
              <w:rPr>
                <w:rFonts w:hint="eastAsia" w:asciiTheme="minorEastAsia" w:hAnsiTheme="minorEastAsia" w:eastAsiaTheme="minorEastAsia" w:cstheme="minorEastAsia"/>
                <w:sz w:val="21"/>
                <w:szCs w:val="21"/>
                <w:highlight w:val="none"/>
              </w:rPr>
              <w:t>元（其中□BIM技术费用最高限价为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元，□专项勘察费最高限价为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元，□其他费用最高限价为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元）。投标人的投标报价不得超过其最高限价，否则由评标委员会作否决投标处理。</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□方式四：</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3.2.5</w:t>
            </w:r>
          </w:p>
        </w:tc>
        <w:tc>
          <w:tcPr>
            <w:tcW w:w="1644" w:type="dxa"/>
            <w:vAlign w:val="center"/>
          </w:tcPr>
          <w:p>
            <w:pPr>
              <w:keepNext w:val="0"/>
              <w:keepLines w:val="0"/>
              <w:pageBreakBefore w:val="0"/>
              <w:suppressLineNumbers/>
              <w:suppressAutoHyphens/>
              <w:kinsoku/>
              <w:wordWrap/>
              <w:overflowPunct/>
              <w:topLinePunct w:val="0"/>
              <w:bidi w:val="0"/>
              <w:snapToGrid w:val="0"/>
              <w:spacing w:after="31" w:afterLines="10"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投标报价的其他要求</w:t>
            </w:r>
          </w:p>
        </w:tc>
        <w:tc>
          <w:tcPr>
            <w:tcW w:w="6308" w:type="dxa"/>
          </w:tcPr>
          <w:p>
            <w:pPr>
              <w:autoSpaceDE w:val="0"/>
              <w:autoSpaceDN w:val="0"/>
              <w:adjustRightInd w:val="0"/>
              <w:spacing w:line="400" w:lineRule="exact"/>
              <w:ind w:firstLine="420" w:firstLineChars="200"/>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sz w:val="21"/>
                <w:szCs w:val="21"/>
                <w:highlight w:val="none"/>
              </w:rPr>
              <w:t>投标函中的投标</w:t>
            </w:r>
            <w:r>
              <w:rPr>
                <w:rFonts w:hint="eastAsia" w:asciiTheme="minorEastAsia" w:hAnsiTheme="minorEastAsia" w:eastAsiaTheme="minorEastAsia" w:cstheme="minorEastAsia"/>
                <w:color w:val="000000"/>
                <w:sz w:val="21"/>
                <w:szCs w:val="21"/>
                <w:highlight w:val="none"/>
                <w:lang w:val="en-US" w:eastAsia="zh-CN"/>
              </w:rPr>
              <w:t>总</w:t>
            </w:r>
            <w:r>
              <w:rPr>
                <w:rFonts w:hint="eastAsia" w:asciiTheme="minorEastAsia" w:hAnsiTheme="minorEastAsia" w:eastAsiaTheme="minorEastAsia" w:cstheme="minorEastAsia"/>
                <w:color w:val="000000"/>
                <w:sz w:val="21"/>
                <w:szCs w:val="21"/>
                <w:highlight w:val="none"/>
              </w:rPr>
              <w:t>报价与依据固定</w:t>
            </w:r>
            <w:r>
              <w:rPr>
                <w:rFonts w:hint="eastAsia" w:asciiTheme="minorEastAsia" w:hAnsiTheme="minorEastAsia" w:eastAsiaTheme="minorEastAsia" w:cstheme="minorEastAsia"/>
                <w:color w:val="000000"/>
                <w:sz w:val="21"/>
                <w:szCs w:val="21"/>
                <w:highlight w:val="none"/>
                <w:lang w:val="en-US" w:eastAsia="zh-CN"/>
              </w:rPr>
              <w:t>费</w:t>
            </w:r>
            <w:r>
              <w:rPr>
                <w:rFonts w:hint="eastAsia" w:asciiTheme="minorEastAsia" w:hAnsiTheme="minorEastAsia" w:eastAsiaTheme="minorEastAsia" w:cstheme="minorEastAsia"/>
                <w:color w:val="000000"/>
                <w:sz w:val="21"/>
                <w:szCs w:val="21"/>
                <w:highlight w:val="none"/>
              </w:rPr>
              <w:t>率（或固定单价）计算出的结果不一致的；采用勘察费用清单报价的，投标函中的投标总报价与勘察费用清单合计报价不一致的，均由评标委员会作否决投标处理。</w:t>
            </w:r>
          </w:p>
          <w:p>
            <w:pPr>
              <w:autoSpaceDE w:val="0"/>
              <w:autoSpaceDN w:val="0"/>
              <w:adjustRightInd w:val="0"/>
              <w:spacing w:line="400" w:lineRule="exact"/>
              <w:ind w:firstLine="420" w:firstLineChars="200"/>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color w:val="000000"/>
                <w:kern w:val="0"/>
                <w:sz w:val="21"/>
                <w:szCs w:val="21"/>
                <w:highlight w:val="none"/>
              </w:rPr>
              <w:t xml:space="preserve">投标人填报的勘察费包括： </w:t>
            </w:r>
          </w:p>
          <w:p>
            <w:pPr>
              <w:spacing w:line="400" w:lineRule="exact"/>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①完成本工程勘察工作范围内的所有工作，主要含项目测量（包括1:500地形管线测量及其他建构筑物的物探、纵横断面测量、施工控制网测量、施工单位进场前的原始地貌测量</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lang w:val="en-US" w:eastAsia="zh-CN"/>
              </w:rPr>
              <w:t>竣工测量</w:t>
            </w:r>
            <w:r>
              <w:rPr>
                <w:rFonts w:hint="eastAsia" w:asciiTheme="minorEastAsia" w:hAnsiTheme="minorEastAsia" w:eastAsiaTheme="minorEastAsia" w:cstheme="minorEastAsia"/>
                <w:sz w:val="21"/>
                <w:szCs w:val="21"/>
                <w:highlight w:val="none"/>
                <w:u w:val="single"/>
              </w:rPr>
              <w:t>，以及满足设计要求的其他测量等）、可研勘察、初步勘察（含水文地质勘察）、详细勘察、</w:t>
            </w:r>
            <w:r>
              <w:rPr>
                <w:rFonts w:hint="eastAsia" w:asciiTheme="minorEastAsia" w:hAnsiTheme="minorEastAsia" w:eastAsiaTheme="minorEastAsia" w:cstheme="minorEastAsia"/>
                <w:sz w:val="21"/>
                <w:szCs w:val="21"/>
                <w:highlight w:val="none"/>
                <w:u w:val="single"/>
                <w:lang w:val="en-US" w:eastAsia="zh-CN"/>
              </w:rPr>
              <w:t>专项勘察、补充勘察、周边环境调查等</w:t>
            </w:r>
            <w:r>
              <w:rPr>
                <w:rFonts w:hint="eastAsia" w:asciiTheme="minorEastAsia" w:hAnsiTheme="minorEastAsia" w:eastAsiaTheme="minorEastAsia" w:cstheme="minorEastAsia"/>
                <w:sz w:val="21"/>
                <w:szCs w:val="21"/>
                <w:highlight w:val="none"/>
                <w:u w:val="single"/>
              </w:rPr>
              <w:t>，并提交经审查合格的成果，以及提供相应的技术服务（包括配合招标人委托的设计咨询单位、协助招标人完成各项审批手续办理、提供勘察交底服务及在施工期间按招标人要求提供必要的服务等相关技术服务工作）；配合招标人完成满足行业主管部门相应要求的BIM模型等产生的所有费用。</w:t>
            </w:r>
          </w:p>
          <w:p>
            <w:pPr>
              <w:spacing w:line="400" w:lineRule="exact"/>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②投标人自行对现场条件进行勘测。水、电、场地、道路、环保措施等现场条件和涉及勘测措施所需的手续办理及相关协调费用均由中标人自行解决，招标人协助；开展勘察测量工作涉及的各类工程责任险、人员险等以及其他内容或形式的保险，在投标报价中综合考虑，按项目统一购买，投标人因保险投保义务履行的缺失造成的责任由其自行承担。投标人需将相关费用综合考虑纳入投标总报价中，包干计取。</w:t>
            </w:r>
          </w:p>
          <w:p>
            <w:pPr>
              <w:spacing w:line="400" w:lineRule="exact"/>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③开展勘测工作的人员必须与投标文件中承诺的人员一致；且施工过程中应该全程提供相应的勘测服务工作。否则，将按投标文件投标承诺书承诺的处罚方式对勘测单位予以处罚。</w:t>
            </w:r>
          </w:p>
          <w:p>
            <w:pPr>
              <w:suppressLineNumbers w:val="0"/>
              <w:suppressAutoHyphens w:val="0"/>
              <w:snapToGrid/>
              <w:spacing w:line="400" w:lineRule="exact"/>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④包括但不限于“七项费用”以及“高低温作业费”等所有其他费用，其中“七项费用”是指办理工程勘察相关许可，以及购买有关资料费；拆除障碍物，开挖以及修复地下管线费；修通至作业现场道路，接通电源、水源以及平整场地费；勘察材料以及加工费；水上作业用船、排、平台以及水监费；勘察作业大型机具搬运费；青苗、树木以及水域养殖物赔偿费等。</w:t>
            </w:r>
          </w:p>
          <w:p>
            <w:pPr>
              <w:suppressLineNumbers w:val="0"/>
              <w:suppressAutoHyphens w:val="0"/>
              <w:snapToGrid/>
              <w:spacing w:line="400" w:lineRule="exact"/>
              <w:ind w:firstLine="420"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i/>
                <w:sz w:val="21"/>
                <w:szCs w:val="21"/>
                <w:highlight w:val="none"/>
              </w:rPr>
              <w:t>[提示：招标人在编制招标文件时，可根据实际情况在</w:t>
            </w:r>
            <w:r>
              <w:rPr>
                <w:rFonts w:hint="eastAsia" w:asciiTheme="minorEastAsia" w:hAnsiTheme="minorEastAsia" w:eastAsiaTheme="minorEastAsia" w:cstheme="minorEastAsia"/>
                <w:i/>
                <w:sz w:val="21"/>
                <w:szCs w:val="21"/>
                <w:highlight w:val="none"/>
                <w:lang w:eastAsia="zh-CN"/>
              </w:rPr>
              <w:t>第</w:t>
            </w:r>
            <w:r>
              <w:rPr>
                <w:rFonts w:hint="eastAsia" w:asciiTheme="minorEastAsia" w:hAnsiTheme="minorEastAsia" w:eastAsiaTheme="minorEastAsia" w:cstheme="minorEastAsia"/>
                <w:i/>
                <w:sz w:val="21"/>
                <w:szCs w:val="21"/>
                <w:highlight w:val="none"/>
              </w:rPr>
              <w:t>3.2</w:t>
            </w:r>
            <w:r>
              <w:rPr>
                <w:rFonts w:hint="eastAsia" w:asciiTheme="minorEastAsia" w:hAnsiTheme="minorEastAsia" w:eastAsiaTheme="minorEastAsia" w:cstheme="minorEastAsia"/>
                <w:i/>
                <w:sz w:val="21"/>
                <w:szCs w:val="21"/>
                <w:highlight w:val="none"/>
                <w:lang w:val="en-US" w:eastAsia="zh-CN"/>
              </w:rPr>
              <w:t>.5项</w:t>
            </w:r>
            <w:r>
              <w:rPr>
                <w:rFonts w:hint="eastAsia" w:asciiTheme="minorEastAsia" w:hAnsiTheme="minorEastAsia" w:eastAsiaTheme="minorEastAsia" w:cstheme="minorEastAsia"/>
                <w:i/>
                <w:sz w:val="21"/>
                <w:szCs w:val="21"/>
                <w:highlight w:val="none"/>
              </w:rPr>
              <w:t>中予以增加或修改相关内容，但增加或修改的内容不得违背法律、法规及规范性文件的规定。]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3.3.1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投标有效期</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日历天（从提交投标文件截止日起计算）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3.4</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投标保证金</w:t>
            </w:r>
          </w:p>
        </w:tc>
        <w:tc>
          <w:tcPr>
            <w:tcW w:w="6308" w:type="dxa"/>
            <w:vAlign w:val="center"/>
          </w:tcPr>
          <w:p>
            <w:pPr>
              <w:keepNext w:val="0"/>
              <w:keepLines w:val="0"/>
              <w:pageBreakBefore w:val="0"/>
              <w:suppressLineNumbers w:val="0"/>
              <w:suppressAutoHyphens/>
              <w:kinsoku/>
              <w:wordWrap/>
              <w:overflowPunct/>
              <w:topLinePunct w:val="0"/>
              <w:bidi w:val="0"/>
              <w:snapToGrid w:val="0"/>
              <w:spacing w:line="400" w:lineRule="exact"/>
              <w:ind w:firstLine="420" w:firstLineChars="200"/>
              <w:jc w:val="left"/>
              <w:textAlignment w:val="auto"/>
              <w:rPr>
                <w:rFonts w:hint="eastAsia"/>
              </w:rPr>
            </w:pPr>
            <w:r>
              <w:rPr>
                <w:rFonts w:hint="eastAsia"/>
              </w:rPr>
              <w:t>是否要求投标人递交投标保证金：</w:t>
            </w:r>
          </w:p>
          <w:p>
            <w:pPr>
              <w:keepNext w:val="0"/>
              <w:keepLines w:val="0"/>
              <w:pageBreakBefore w:val="0"/>
              <w:suppressLineNumbers w:val="0"/>
              <w:suppressAutoHyphens/>
              <w:kinsoku/>
              <w:wordWrap/>
              <w:overflowPunct/>
              <w:topLinePunct w:val="0"/>
              <w:bidi w:val="0"/>
              <w:snapToGrid w:val="0"/>
              <w:spacing w:line="400" w:lineRule="exact"/>
              <w:ind w:firstLine="420" w:firstLineChars="200"/>
              <w:jc w:val="left"/>
              <w:textAlignment w:val="auto"/>
              <w:rPr>
                <w:rFonts w:hint="eastAsia"/>
              </w:rPr>
            </w:pPr>
            <w:r>
              <w:rPr>
                <w:rFonts w:hint="eastAsia"/>
              </w:rPr>
              <w:t>□不要求</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□要求，投标人可选择以下三种交纳方式之一：</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方式一</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一、以电子投标保函形式交纳投标保证金</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1. 电子投标保函交纳形式及要求：投标人在投标截止时间前通过重庆市公共资源交易金融服务平台电子投标保函系统向金融机构申请开具电子投标保函，电子投标保函应至少体现如下内容：①担保项目必须为本项目；②受益人必须为本项目招标人；③保函担保金额必须满足本项目要求；④保函生效时间必须在投标截止时间前，有效期限必须至少包含整个投标有效期；⑤保函须不可撤销且见索即付。</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若投标截止时间延期，则电子投标保函提交的截止时间和投标截止时间应当保持一致。</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不满足上述要求的电子投标保函</w:t>
            </w:r>
            <w:r>
              <w:rPr>
                <w:rFonts w:hint="eastAsia"/>
                <w:lang w:val="en-US" w:eastAsia="zh-CN"/>
              </w:rPr>
              <w:t>视为</w:t>
            </w:r>
            <w:r>
              <w:rPr>
                <w:rFonts w:hint="eastAsia"/>
              </w:rPr>
              <w:t>无效。</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2. 以电子投标保函形式担保的投标保证金的金额：</w:t>
            </w:r>
            <w:r>
              <w:rPr>
                <w:rFonts w:hint="eastAsia"/>
                <w:u w:val="single"/>
              </w:rPr>
              <w:t xml:space="preserve">      </w:t>
            </w:r>
            <w:r>
              <w:rPr>
                <w:rFonts w:hint="eastAsia"/>
              </w:rPr>
              <w:t>万元整（人民币），重庆市工程建设领域招标投标守信激励对象名单（以下简称红名单）中的投标人投标保证金金额为应缴纳金额的50%；联合体投标的，须联合体牵头人在红名单中。投标人是否属于红名单，以开标环节信用状况查询结果为准。</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[提示：投标保证金金额不超过该招标项目</w:t>
            </w:r>
            <w:r>
              <w:rPr>
                <w:rFonts w:hint="eastAsia"/>
                <w:lang w:val="en-US" w:eastAsia="zh-CN"/>
              </w:rPr>
              <w:t>勘察合同估算金额</w:t>
            </w:r>
            <w:r>
              <w:rPr>
                <w:rFonts w:hint="eastAsia"/>
              </w:rPr>
              <w:t xml:space="preserve">或最高限价的2%。] </w:t>
            </w:r>
          </w:p>
          <w:p>
            <w:pPr>
              <w:pStyle w:val="2"/>
              <w:ind w:firstLine="420" w:firstLineChars="200"/>
              <w:rPr>
                <w:rFonts w:hint="eastAsia"/>
              </w:rPr>
            </w:pPr>
            <w:r>
              <w:rPr>
                <w:rFonts w:hint="eastAsia"/>
                <w:lang w:eastAsia="zh-CN"/>
              </w:rPr>
              <w:t>□</w:t>
            </w:r>
            <w:r>
              <w:rPr>
                <w:rFonts w:hint="eastAsia"/>
              </w:rPr>
              <w:t>对符合《关于印发中小企业划型标准规定的通知》（工信部联企业〔2011〕300号）规定的</w:t>
            </w:r>
            <w:r>
              <w:rPr>
                <w:rFonts w:hint="default"/>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pStyle w:val="2"/>
              <w:ind w:firstLine="420" w:firstLineChars="200"/>
              <w:rPr>
                <w:rFonts w:hint="eastAsia"/>
              </w:rPr>
            </w:pPr>
            <w:r>
              <w:rPr>
                <w:rFonts w:hint="eastAsia"/>
                <w:lang w:eastAsia="zh-CN"/>
              </w:rPr>
              <w:t>□</w:t>
            </w:r>
            <w:r>
              <w:rPr>
                <w:rFonts w:hint="eastAsia"/>
              </w:rPr>
              <w:t>对符合《关于印发中小企业划型标准规定的通知》（工信部联企业〔2011〕300号）规定的</w:t>
            </w:r>
            <w:r>
              <w:rPr>
                <w:rFonts w:hint="default"/>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pStyle w:val="2"/>
              <w:ind w:firstLine="420" w:firstLineChars="200"/>
              <w:rPr>
                <w:rFonts w:hint="default"/>
                <w:i/>
                <w:iCs/>
              </w:rPr>
            </w:pPr>
            <w:r>
              <w:rPr>
                <w:rFonts w:hint="default"/>
                <w:i/>
                <w:iCs/>
              </w:rPr>
              <w:t>[提示： 招标人可自行决定是否设置上述条款，若需要设置，则在上述选项中只可选择其中一项进行设置]</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3. 电子投标保函</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以重庆市公共资源交易中心开标现场展示的电子投标保函交纳情况为准，投标人在投标时无须再提供电子投标保函的相关资料。</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4. 若投标人为联合体，则由联合体牵头人提供电子投标保函。</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二、电子投标保函的注销</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招标人应当在法定时间内确定中标人。招标人应当在中标通知书发出后2个工作日内将中标通知书和电子投标保函退还通知抄告重庆市公共资源交易中心，重庆市公共资源交易中心在收到电子投标保函退还通知后2个工作日内，将保函注销信息推送给重庆市公共资源交易金融服务平台，由保函出具机构注销除中标人和中标候选人以外的投标人电子投标保函。</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招标人应当在法定时间内和中标人签订合同。招标人应当在合同生效后2个工作日内将签订的合同和电子投标保函退还通知抄告重庆市公共资源交易中心，重庆市公共资源交易中心在收到电子投标保函退还通知后2个工作日内，将保函注销信息推送给重庆市公共资源交易金融服务平台，由保函出具机构注销中标人和中标候选人的电子投标保函。</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方式二</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一、以转账支票或电汇形式交纳投标保证金</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1、投标保证金交款形式及要求：投标人从企业的基本账户（开户行）在投标截止时间前通过转账支票直接划付或以电汇方式直接划付至指定的投标保证金账户。若投标截止时间延期，则投标保证金提交的截止时间和投标截止时间应当保持一致。不满足上述要求的投标保证金</w:t>
            </w:r>
            <w:r>
              <w:rPr>
                <w:rFonts w:hint="eastAsia"/>
                <w:lang w:val="en-US" w:eastAsia="zh-CN"/>
              </w:rPr>
              <w:t>视为</w:t>
            </w:r>
            <w:r>
              <w:rPr>
                <w:rFonts w:hint="eastAsia"/>
              </w:rPr>
              <w:t>无效。</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投标人自行考虑汇入时间风险，如同城汇入、异地汇入、跨行汇入的时间要求。</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2、以转账支票或电汇形式提交投标保证金的金额：</w:t>
            </w:r>
            <w:r>
              <w:rPr>
                <w:rFonts w:hint="eastAsia"/>
                <w:u w:val="single"/>
              </w:rPr>
              <w:t xml:space="preserve">    </w:t>
            </w:r>
            <w:r>
              <w:rPr>
                <w:rFonts w:hint="eastAsia"/>
              </w:rPr>
              <w:t>万元整（人民币），红名单中的投标人投标保证金金额为应缴纳金额的50%；联合体投标的，须联合体牵头人在红名单中。投标人是否属于红名单，以开标环节信用状况查询结果为准。</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i/>
                <w:iCs/>
              </w:rPr>
            </w:pPr>
            <w:r>
              <w:rPr>
                <w:rFonts w:hint="eastAsia"/>
                <w:i/>
                <w:iCs/>
              </w:rPr>
              <w:t>[提示：投标保证金金额不超过该招标项目</w:t>
            </w:r>
            <w:r>
              <w:rPr>
                <w:rFonts w:hint="eastAsia"/>
                <w:i/>
                <w:iCs/>
                <w:lang w:val="en-US" w:eastAsia="zh-CN"/>
              </w:rPr>
              <w:t>勘察合同估算金额</w:t>
            </w:r>
            <w:r>
              <w:rPr>
                <w:rFonts w:hint="eastAsia"/>
                <w:i/>
                <w:iCs/>
              </w:rPr>
              <w:t>或最高限价的2%。]</w:t>
            </w:r>
          </w:p>
          <w:p>
            <w:pPr>
              <w:pStyle w:val="2"/>
              <w:ind w:firstLine="420" w:firstLineChars="200"/>
              <w:rPr>
                <w:rFonts w:hint="eastAsia"/>
              </w:rPr>
            </w:pPr>
            <w:r>
              <w:rPr>
                <w:rFonts w:hint="eastAsia"/>
                <w:lang w:eastAsia="zh-CN"/>
              </w:rPr>
              <w:t>□</w:t>
            </w:r>
            <w:r>
              <w:rPr>
                <w:rFonts w:hint="eastAsia"/>
              </w:rPr>
              <w:t>对符合《关于印发中小企业划型标准规定的通知》（工信部联企业〔2011〕300号）规定的</w:t>
            </w:r>
            <w:r>
              <w:rPr>
                <w:rFonts w:hint="default"/>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pStyle w:val="2"/>
              <w:ind w:firstLine="420" w:firstLineChars="200"/>
              <w:rPr>
                <w:rFonts w:hint="eastAsia"/>
              </w:rPr>
            </w:pPr>
            <w:r>
              <w:rPr>
                <w:rFonts w:hint="eastAsia"/>
                <w:lang w:eastAsia="zh-CN"/>
              </w:rPr>
              <w:t>□</w:t>
            </w:r>
            <w:r>
              <w:rPr>
                <w:rFonts w:hint="eastAsia"/>
              </w:rPr>
              <w:t>对符合《关于印发中小企业划型标准规定的通知》（工信部联企业〔2011〕300号）规定的</w:t>
            </w:r>
            <w:r>
              <w:rPr>
                <w:rFonts w:hint="default"/>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pStyle w:val="2"/>
              <w:ind w:firstLine="420" w:firstLineChars="200"/>
              <w:rPr>
                <w:rFonts w:hint="default"/>
                <w:i/>
                <w:iCs/>
              </w:rPr>
            </w:pPr>
            <w:r>
              <w:rPr>
                <w:rFonts w:hint="default"/>
                <w:i/>
                <w:iCs/>
              </w:rPr>
              <w:t>[提示： 招标人可自行决定是否设置上述条款，若需要设置，则在上述选项中只可选择其中一项进行设置]</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3、投标保证金账户及账号（任选其一）：</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详见重庆市公共资源交易网（www.cqggzy.com）对应本项目招标公告信息栏中的保证金信息。</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投标保证金以重庆市公共资源交易中心开标现场展示的保证金交纳情况为准。投标人须在资格审查部分 “其他资料”中提供企业基本账户开户证明文件。</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4、投标人必须在付款凭证备注栏中注明是“</w:t>
            </w:r>
            <w:r>
              <w:rPr>
                <w:rFonts w:hint="eastAsia"/>
                <w:u w:val="single"/>
              </w:rPr>
              <w:t xml:space="preserve">        </w:t>
            </w:r>
            <w:r>
              <w:rPr>
                <w:rFonts w:hint="eastAsia"/>
              </w:rPr>
              <w:t>项目投标保证金”。项目名称可简写成：</w:t>
            </w:r>
            <w:r>
              <w:rPr>
                <w:rFonts w:hint="eastAsia"/>
                <w:u w:val="single"/>
              </w:rPr>
              <w:t xml:space="preserve">        </w:t>
            </w:r>
            <w:r>
              <w:rPr>
                <w:rFonts w:hint="eastAsia"/>
              </w:rPr>
              <w:t>。</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5、投标保证金有效期与投标有效期一致。</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6、根据重庆市公共资源交易中心《关于开展公共资源交易市场主体信息登记工作的公告》的要求，投标人在开标前需在重庆市公共资源交易网（www.cqggzy.com）办理市场主体信息登记手续。因故未能提前办理市场主体信息登记或更新的，评标过程中由评标委员会根据投标人在投标文件中提供的企业基本账户开户证明文件核实其投标保证金是否由基本账户转入，未从基本账户转入的，由评标委员会作否决投标处理。</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7、若投标人为联合体，则由联合体牵头人提交投标保证金。</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二、投标保证金的退还</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招标人应当在法定时间内确定中标人。招标人应当在中标通知书发出后2个工作日内将中标通知书和保证金退还通知抄告重庆市公共资源交易中心，重庆市公共资源交易中心在收到保证金退还通知后2个工作日内，向除中标人和中标候选人以外的投标人，退还投标保证金及银行同期活期存款利息。</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招标人应当在法定时间内和中标人签订合同。招标人应当在合同生效后2个工作日内将签订的合同和保证金退还通知抄告重庆市公共资源交易中心，重庆市公共资源交易中心在收到保证金退还通知后2个工作日内，向中标人和中标候选人退还投标保证金及银行同期活期存款利息。</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投标保证金专用账户由重庆市公共资源交易中心制定，关于保证金相关情况的问题请咨询重庆市公共资源交易中心，联系电话023-     。</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方式三</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一、以纸质投标保函形式交纳投标保证金</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1. 纸质投标保函交纳形式及要求：</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（1）交纳形式：纸质投标保函包括银行保函、保证保险和担保保函，其示范文本详见第六章投标文件格式。投标人提交的纸质投标保函应严格执行其示范文本，不得对示范文本中的实质性内容进行修改。</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2）具体要求：纸质投标保函的开立人应当是具有相应资格的银行、保险机构、融资担保公司，其信用资质、履约能力、担保能力、赔付流程、安全保密等应符合工程保函业务条件。纸质投标保函应合法合规，符合招投标行政监督部门、行业主管部门和金融监管部门的相关规定，满足招标文件约定要求。投标人应选择在渝依法设立总部或者设有分支机构的金融机构开具纸质投标保函。投标人对所提交的纸质投标保函的真实性、合法性、有效性负责。</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投标人须在投标文件资格审查部分“其他资料”中提供纸质投标保函扫描件，纸质投标保函原件应当于投标截止时间前在开标现场递交招标人保管。</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若投标截止时间延期，则纸质投标保函递交的截止时间和投标截止时间保持一致。</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不满足上述要求的纸质投标保函</w:t>
            </w:r>
            <w:r>
              <w:rPr>
                <w:rFonts w:hint="eastAsia"/>
                <w:lang w:val="en-US" w:eastAsia="zh-CN"/>
              </w:rPr>
              <w:t>视为</w:t>
            </w:r>
            <w:r>
              <w:rPr>
                <w:rFonts w:hint="eastAsia"/>
              </w:rPr>
              <w:t>无效。</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2. 以纸质投标保函形式担保的投标保证金的金额：</w:t>
            </w:r>
            <w:r>
              <w:rPr>
                <w:rFonts w:hint="eastAsia"/>
                <w:u w:val="single"/>
              </w:rPr>
              <w:t xml:space="preserve">    </w:t>
            </w:r>
            <w:r>
              <w:rPr>
                <w:rFonts w:hint="eastAsia"/>
              </w:rPr>
              <w:t>万元整（人民币），红名单中的投标人投标保证金金额为应缴纳金额的50%；联合体投标的，须联合体牵头人在红名单中。投标人是否属于红名单，以开标环节信用状况查询结果为准。</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i/>
                <w:iCs/>
              </w:rPr>
            </w:pPr>
            <w:r>
              <w:rPr>
                <w:rFonts w:hint="eastAsia"/>
                <w:i/>
                <w:iCs/>
              </w:rPr>
              <w:t>[提示：投标保证金金额不超过该招标项目</w:t>
            </w:r>
            <w:r>
              <w:rPr>
                <w:rFonts w:hint="eastAsia"/>
                <w:i/>
                <w:iCs/>
                <w:lang w:val="en-US" w:eastAsia="zh-CN"/>
              </w:rPr>
              <w:t>勘察合同估算金额</w:t>
            </w:r>
            <w:r>
              <w:rPr>
                <w:rFonts w:hint="eastAsia"/>
                <w:i/>
                <w:iCs/>
              </w:rPr>
              <w:t>或最高限价的2%。]</w:t>
            </w:r>
          </w:p>
          <w:p>
            <w:pPr>
              <w:pStyle w:val="2"/>
              <w:ind w:firstLine="420" w:firstLineChars="200"/>
              <w:rPr>
                <w:rFonts w:hint="eastAsia"/>
              </w:rPr>
            </w:pPr>
            <w:r>
              <w:rPr>
                <w:rFonts w:hint="eastAsia"/>
                <w:lang w:eastAsia="zh-CN"/>
              </w:rPr>
              <w:t>□</w:t>
            </w:r>
            <w:r>
              <w:rPr>
                <w:rFonts w:hint="eastAsia"/>
              </w:rPr>
              <w:t>对符合《关于印发中小企业划型标准规定的通知》（工信部联企业〔2011〕300号）规定的</w:t>
            </w:r>
            <w:r>
              <w:rPr>
                <w:rFonts w:hint="default"/>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pStyle w:val="2"/>
              <w:ind w:firstLine="420" w:firstLineChars="200"/>
              <w:rPr>
                <w:rFonts w:hint="eastAsia"/>
              </w:rPr>
            </w:pPr>
            <w:r>
              <w:rPr>
                <w:rFonts w:hint="eastAsia"/>
                <w:lang w:eastAsia="zh-CN"/>
              </w:rPr>
              <w:t>□</w:t>
            </w:r>
            <w:r>
              <w:rPr>
                <w:rFonts w:hint="eastAsia"/>
              </w:rPr>
              <w:t>对符合《关于印发中小企业划型标准规定的通知》（工信部联企业〔2011〕300号）规定的</w:t>
            </w:r>
            <w:r>
              <w:rPr>
                <w:rFonts w:hint="default"/>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pStyle w:val="2"/>
              <w:ind w:firstLine="420" w:firstLineChars="200"/>
              <w:rPr>
                <w:rFonts w:hint="default"/>
                <w:i/>
                <w:iCs/>
              </w:rPr>
            </w:pPr>
            <w:r>
              <w:rPr>
                <w:rFonts w:hint="default"/>
                <w:i/>
                <w:iCs/>
              </w:rPr>
              <w:t>[提示： 招标人可自行决定是否设置上述条款，若需要设置，则在上述选项中只可选择其中一项进行设置]</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3.投标人须在纸质投标保函中注明在重庆市辖区范围内的核验地址和核验方式，并确保其递交的纸质投标保函能在开立人在渝的总部或者分支机构进行核验。</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4. 投标人在开标现场递交的纸质投标保函原件应与投标文件中提供的纸质投标保函扫描件一致，否则由评标委员会作否决投标处理。</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5.在发出中标通知书前，招标人应当对投标人（至少中标候选人或中标人）递交的纸质投标保函的真实性、合法性、有效性进行核验，对核验不合格或无法按纸质投标保函注明的核验地点、核验方式进行核验的，视为投标人未提交纸质投标保函，对已取得中标候选人资格或中标资格的投标人，按相关规定取消中标候选人资格或中标资格，给招标人造成损失的，投标人依法承担赔偿责任。投标人提交的纸质投标保函涉及弄虚作假或其他违法违规情形的，移送相关部门处理。</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6. 若投标人为联合体，则由联合体牵头人提供纸质投标保函。</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二、纸质投标保函的退还、注销</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招标人应当在法定时间内确定中标人，向中标人发出中标通知书，同时向除中标候选人以外的其他投标人退还纸质投标保函正本并书面通知相关</w:t>
            </w:r>
            <w:r>
              <w:rPr>
                <w:rFonts w:hint="eastAsia"/>
                <w:lang w:val="en-US" w:eastAsia="zh-CN"/>
              </w:rPr>
              <w:t>金融机构</w:t>
            </w:r>
            <w:r>
              <w:rPr>
                <w:rFonts w:hint="eastAsia"/>
              </w:rPr>
              <w:t>本项目准予提前注销纸质投标保函。具体注销事宜由投标人与</w:t>
            </w:r>
            <w:r>
              <w:rPr>
                <w:rFonts w:hint="eastAsia"/>
                <w:lang w:val="en-US" w:eastAsia="zh-CN"/>
              </w:rPr>
              <w:t>金融机构</w:t>
            </w:r>
            <w:r>
              <w:rPr>
                <w:rFonts w:hint="eastAsia"/>
              </w:rPr>
              <w:t>协商。</w:t>
            </w:r>
          </w:p>
          <w:p>
            <w:pPr>
              <w:keepNext w:val="0"/>
              <w:keepLines w:val="0"/>
              <w:pageBreakBefore w:val="0"/>
              <w:kinsoku/>
              <w:wordWrap/>
              <w:overflowPunct/>
              <w:topLinePunct w:val="0"/>
              <w:bidi w:val="0"/>
              <w:snapToGrid w:val="0"/>
              <w:spacing w:line="400" w:lineRule="exact"/>
              <w:ind w:firstLine="420" w:firstLineChars="200"/>
              <w:jc w:val="left"/>
              <w:textAlignment w:val="auto"/>
              <w:rPr>
                <w:rFonts w:hint="eastAsia"/>
              </w:rPr>
            </w:pPr>
            <w:r>
              <w:rPr>
                <w:rFonts w:hint="eastAsia"/>
              </w:rPr>
              <w:t>招标人应在法定时间内和中标人签订合同，并同时书面通知相关</w:t>
            </w:r>
            <w:r>
              <w:rPr>
                <w:rFonts w:hint="eastAsia"/>
                <w:lang w:val="en-US" w:eastAsia="zh-CN"/>
              </w:rPr>
              <w:t>金融机构</w:t>
            </w:r>
            <w:r>
              <w:rPr>
                <w:rFonts w:hint="eastAsia"/>
              </w:rPr>
              <w:t>向中标人和其他中标候选人注销纸质投标保函。具体注销事宜由投标人与</w:t>
            </w:r>
            <w:r>
              <w:rPr>
                <w:rFonts w:hint="eastAsia"/>
                <w:lang w:val="en-US" w:eastAsia="zh-CN"/>
              </w:rPr>
              <w:t>金融机构</w:t>
            </w:r>
            <w:r>
              <w:rPr>
                <w:rFonts w:hint="eastAsia"/>
              </w:rPr>
              <w:t>协商。</w:t>
            </w:r>
          </w:p>
          <w:p>
            <w:pPr>
              <w:keepNext w:val="0"/>
              <w:keepLines w:val="0"/>
              <w:suppressLineNumbers w:val="0"/>
              <w:snapToGrid w:val="0"/>
              <w:spacing w:before="0" w:beforeAutospacing="0" w:after="0" w:afterAutospacing="0" w:line="400" w:lineRule="exact"/>
              <w:ind w:left="0" w:right="0" w:firstLine="420" w:firstLineChars="200"/>
              <w:jc w:val="left"/>
              <w:rPr>
                <w:rFonts w:hint="eastAsia" w:ascii="宋体" w:hAnsi="宋体" w:cs="宋体"/>
                <w:color w:val="auto"/>
                <w:highlight w:val="none"/>
              </w:rPr>
            </w:pPr>
            <w:r>
              <w:rPr>
                <w:rFonts w:hint="eastAsia" w:ascii="宋体" w:hAnsi="宋体" w:cs="宋体"/>
                <w:color w:val="auto"/>
                <w:highlight w:val="none"/>
              </w:rPr>
              <w:t>□说明：1.中小微企业投标人如需免除投标保证金，须在投标文件资格审查部分“其他资料”中提供《中小微企业声明函》（格式详见第</w:t>
            </w:r>
            <w:r>
              <w:rPr>
                <w:rFonts w:hint="eastAsia" w:ascii="宋体" w:hAnsi="宋体" w:cs="宋体"/>
                <w:color w:val="auto"/>
                <w:highlight w:val="none"/>
                <w:lang w:val="en-US" w:eastAsia="zh-CN"/>
              </w:rPr>
              <w:t>六</w:t>
            </w:r>
            <w:r>
              <w:rPr>
                <w:rFonts w:hint="eastAsia" w:ascii="宋体" w:hAnsi="宋体" w:cs="宋体"/>
                <w:color w:val="auto"/>
                <w:highlight w:val="none"/>
              </w:rPr>
              <w:t>章）及相应证明材料。以联合体形式参与投标的，符合中小微企业认定标准的联合体成员单位需提供《中小微企业声明函》（格式详见第</w:t>
            </w:r>
            <w:r>
              <w:rPr>
                <w:rFonts w:hint="eastAsia" w:ascii="宋体" w:hAnsi="宋体" w:cs="宋体"/>
                <w:color w:val="auto"/>
                <w:highlight w:val="none"/>
                <w:lang w:val="en-US" w:eastAsia="zh-CN"/>
              </w:rPr>
              <w:t>六</w:t>
            </w:r>
            <w:r>
              <w:rPr>
                <w:rFonts w:hint="eastAsia" w:ascii="宋体" w:hAnsi="宋体" w:cs="宋体"/>
                <w:color w:val="auto"/>
                <w:highlight w:val="none"/>
              </w:rPr>
              <w:t>章）及相应证明材料。</w:t>
            </w:r>
          </w:p>
          <w:p>
            <w:pPr>
              <w:snapToGrid w:val="0"/>
              <w:spacing w:after="0" w:line="400" w:lineRule="exact"/>
              <w:ind w:firstLine="420" w:firstLineChars="200"/>
              <w:jc w:val="left"/>
              <w:rPr>
                <w:rFonts w:hint="eastAsia"/>
              </w:rPr>
            </w:pPr>
            <w:r>
              <w:rPr>
                <w:rFonts w:hint="eastAsia" w:ascii="宋体" w:hAnsi="宋体" w:eastAsia="宋体" w:cs="宋体"/>
                <w:color w:val="auto"/>
                <w:highlight w:val="none"/>
              </w:rPr>
              <w:t>2.提供了《中小微企业声明函》且未在规定时间内足额递交投标保证金的中标候选人，经查实不属于中小微企业的，将依照相关法律法规进行处理。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3.4.4</w:t>
            </w:r>
          </w:p>
        </w:tc>
        <w:tc>
          <w:tcPr>
            <w:tcW w:w="1644" w:type="dxa"/>
            <w:vAlign w:val="center"/>
          </w:tcPr>
          <w:p>
            <w:pPr>
              <w:keepNext w:val="0"/>
              <w:keepLines w:val="0"/>
              <w:pageBreakBefore w:val="0"/>
              <w:suppressLineNumbers/>
              <w:suppressAutoHyphens/>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其他不予退还投标保证金的情形</w:t>
            </w:r>
          </w:p>
        </w:tc>
        <w:tc>
          <w:tcPr>
            <w:tcW w:w="6308" w:type="dxa"/>
            <w:vAlign w:val="center"/>
          </w:tcPr>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1</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投标人在投标有效期内撤销或修改投标文件；</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color w:val="auto"/>
                <w:sz w:val="21"/>
                <w:szCs w:val="21"/>
                <w:highlight w:val="none"/>
              </w:rPr>
              <w:t>中标人在收到中标通知书后，无正当理由不与招标人订立合同，在签订合同时向招标人提出附加条件，或者不按照招标文件要求提交履约保证金；</w:t>
            </w:r>
          </w:p>
          <w:p>
            <w:pPr>
              <w:keepNext w:val="0"/>
              <w:keepLines w:val="0"/>
              <w:pageBreakBefore w:val="0"/>
              <w:kinsoku/>
              <w:wordWrap/>
              <w:overflowPunct/>
              <w:topLinePunct w:val="0"/>
              <w:bidi w:val="0"/>
              <w:spacing w:line="400" w:lineRule="exact"/>
              <w:ind w:firstLine="420" w:firstLineChars="200"/>
              <w:textAlignment w:val="auto"/>
              <w:rPr>
                <w:rFonts w:hint="eastAsia" w:eastAsia="宋体" w:asciiTheme="minorEastAsia" w:hAnsiTheme="minorEastAsia" w:cstheme="minorEastAsia"/>
                <w:sz w:val="21"/>
                <w:szCs w:val="21"/>
                <w:highlight w:val="none"/>
                <w:lang w:eastAsia="zh-CN"/>
              </w:rPr>
            </w:pPr>
            <w:r>
              <w:rPr>
                <w:rFonts w:hint="eastAsia" w:asciiTheme="minorEastAsia" w:hAnsiTheme="minorEastAsia" w:eastAsiaTheme="minorEastAsia" w:cstheme="minorEastAsia"/>
                <w:kern w:val="0"/>
                <w:sz w:val="21"/>
                <w:szCs w:val="21"/>
                <w:highlight w:val="none"/>
              </w:rPr>
              <w:t>口</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eastAsia="zh-CN"/>
              </w:rPr>
              <w:t>）</w:t>
            </w:r>
            <w:r>
              <w:rPr>
                <w:rFonts w:hint="eastAsia" w:ascii="宋体" w:hAnsi="宋体"/>
                <w:kern w:val="0"/>
                <w:szCs w:val="21"/>
              </w:rPr>
              <w:t>拟中标人拒不提供或者不按时提供低价风险担保（适用于经评审的最低投标价法）</w:t>
            </w:r>
            <w:r>
              <w:rPr>
                <w:rFonts w:hint="eastAsia" w:ascii="宋体" w:hAnsi="宋体"/>
                <w:kern w:val="0"/>
                <w:szCs w:val="21"/>
                <w:lang w:eastAsia="zh-CN"/>
              </w:rPr>
              <w:t>；</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口</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eastAsia="zh-CN"/>
              </w:rPr>
              <w:t>）</w:t>
            </w:r>
            <w:r>
              <w:rPr>
                <w:rFonts w:ascii="宋体" w:hAnsi="宋体"/>
                <w:kern w:val="0"/>
                <w:szCs w:val="21"/>
              </w:rPr>
              <w:t>违反</w:t>
            </w:r>
            <w:r>
              <w:rPr>
                <w:rFonts w:hint="eastAsia" w:ascii="宋体" w:hAnsi="宋体"/>
                <w:kern w:val="0"/>
                <w:szCs w:val="21"/>
              </w:rPr>
              <w:t>投标人须知</w:t>
            </w:r>
            <w:r>
              <w:rPr>
                <w:rFonts w:ascii="宋体" w:hAnsi="宋体"/>
                <w:kern w:val="0"/>
                <w:szCs w:val="21"/>
              </w:rPr>
              <w:t>第9.2</w:t>
            </w:r>
            <w:r>
              <w:rPr>
                <w:rFonts w:hint="eastAsia" w:ascii="宋体" w:hAnsi="宋体"/>
                <w:kern w:val="0"/>
                <w:szCs w:val="21"/>
              </w:rPr>
              <w:t>款</w:t>
            </w:r>
            <w:r>
              <w:rPr>
                <w:rFonts w:ascii="宋体" w:hAnsi="宋体"/>
                <w:kern w:val="0"/>
                <w:szCs w:val="21"/>
              </w:rPr>
              <w:t>对投标人的纪律要求的</w:t>
            </w:r>
            <w:r>
              <w:rPr>
                <w:rFonts w:hint="eastAsia" w:asciiTheme="minorEastAsia" w:hAnsiTheme="minorEastAsia" w:eastAsiaTheme="minorEastAsia" w:cstheme="minorEastAsia"/>
                <w:sz w:val="21"/>
                <w:szCs w:val="21"/>
                <w:highlight w:val="none"/>
              </w:rPr>
              <w:t>；</w:t>
            </w:r>
          </w:p>
          <w:p>
            <w:pPr>
              <w:keepNext w:val="0"/>
              <w:keepLines w:val="0"/>
              <w:pageBreakBefore w:val="0"/>
              <w:suppressLineNumbers/>
              <w:suppressAutoHyphens/>
              <w:kinsoku/>
              <w:wordWrap/>
              <w:overflowPunct/>
              <w:topLinePunct w:val="0"/>
              <w:bidi w:val="0"/>
              <w:snapToGrid w:val="0"/>
              <w:spacing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lang w:eastAsia="zh-CN"/>
              </w:rPr>
              <w:t>）</w:t>
            </w:r>
            <w:r>
              <w:rPr>
                <w:rFonts w:ascii="宋体" w:hAnsi="宋体"/>
                <w:kern w:val="0"/>
                <w:szCs w:val="21"/>
              </w:rPr>
              <w:t>法律法规规定的其他情形</w:t>
            </w:r>
            <w:r>
              <w:rPr>
                <w:rFonts w:hint="eastAsia" w:asciiTheme="minorEastAsia" w:hAnsiTheme="minorEastAsia" w:eastAsiaTheme="minorEastAsia" w:cstheme="minorEastAsia"/>
                <w:sz w:val="21"/>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3.6.1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是否允许递交</w:t>
            </w:r>
          </w:p>
          <w:p>
            <w:pPr>
              <w:keepNext w:val="0"/>
              <w:keepLines w:val="0"/>
              <w:pageBreakBefore w:val="0"/>
              <w:kinsoku/>
              <w:wordWrap/>
              <w:overflowPunct/>
              <w:topLinePunct w:val="0"/>
              <w:bidi w:val="0"/>
              <w:snapToGrid w:val="0"/>
              <w:spacing w:after="93" w:afterLines="30"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备选投标方案</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口不允许</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口允许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3.7.1</w:t>
            </w:r>
          </w:p>
        </w:tc>
        <w:tc>
          <w:tcPr>
            <w:tcW w:w="1644" w:type="dxa"/>
            <w:vAlign w:val="center"/>
          </w:tcPr>
          <w:p>
            <w:pPr>
              <w:keepNext w:val="0"/>
              <w:keepLines w:val="0"/>
              <w:pageBreakBefore w:val="0"/>
              <w:kinsoku/>
              <w:wordWrap/>
              <w:overflowPunct/>
              <w:topLinePunct w:val="0"/>
              <w:bidi w:val="0"/>
              <w:snapToGrid w:val="0"/>
              <w:spacing w:after="93" w:afterLines="30"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投标文件格式要求</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编制投标文件时不得对第六章“投标文件格式”的相应要素作实质性修改，否则视为重大偏差，由评标委员会作否决投标处理。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3.7.3</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签名盖章要求</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投标文件应使用专用的“新点投标文件制作软件（重庆版）”编制而成。第六章 投标文件格式要求法定代表人或其委托代理人签名（或盖章）的须齐全，</w:t>
            </w:r>
            <w:r>
              <w:rPr>
                <w:rFonts w:hint="eastAsia" w:asciiTheme="minorEastAsia" w:hAnsiTheme="minorEastAsia" w:eastAsiaTheme="minorEastAsia" w:cstheme="minorEastAsia"/>
                <w:color w:val="auto"/>
                <w:sz w:val="21"/>
                <w:szCs w:val="21"/>
                <w:highlight w:val="none"/>
                <w:lang w:val="en-US" w:eastAsia="zh-CN"/>
              </w:rPr>
              <w:t>要求签名的，</w:t>
            </w:r>
            <w:r>
              <w:rPr>
                <w:rFonts w:hint="eastAsia" w:asciiTheme="minorEastAsia" w:hAnsiTheme="minorEastAsia" w:eastAsiaTheme="minorEastAsia" w:cstheme="minorEastAsia"/>
                <w:color w:val="auto"/>
                <w:sz w:val="21"/>
                <w:szCs w:val="21"/>
                <w:highlight w:val="none"/>
              </w:rPr>
              <w:t>签名采用手写签名</w:t>
            </w:r>
            <w:r>
              <w:rPr>
                <w:rFonts w:hint="eastAsia" w:asciiTheme="minorEastAsia" w:hAnsiTheme="minorEastAsia" w:eastAsiaTheme="minorEastAsia" w:cstheme="minorEastAsia"/>
                <w:color w:val="auto"/>
                <w:sz w:val="21"/>
                <w:szCs w:val="21"/>
                <w:highlight w:val="none"/>
                <w:lang w:val="en-US" w:eastAsia="zh-CN"/>
              </w:rPr>
              <w:t>或签章</w:t>
            </w:r>
            <w:r>
              <w:rPr>
                <w:rFonts w:hint="eastAsia" w:asciiTheme="minorEastAsia" w:hAnsiTheme="minorEastAsia" w:eastAsiaTheme="minorEastAsia" w:cstheme="minorEastAsia"/>
                <w:color w:val="auto"/>
                <w:sz w:val="21"/>
                <w:szCs w:val="21"/>
                <w:highlight w:val="none"/>
              </w:rPr>
              <w:t>或加盖CA数字证书均可</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sz w:val="21"/>
                <w:szCs w:val="21"/>
                <w:highlight w:val="none"/>
              </w:rPr>
              <w:t>要求加盖单位法人章的，应使用 CA 数字证书加盖投标人的单位电子印章。</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若投标单位为联合体，则联合体协议书中各联合体成员单位签名（或盖章）须齐全，要求各联合体成员盖单位法人章的，各联合体成员盖章须齐全；联合体协议书以外的投标文件格式中，要求法定代表人或其委托代理人签名（或盖章）的均由联合体牵头人法定代表人或其委托代理人签名（或盖章），要求投标人加盖单位法人章的，均由联合体牵头人使用 CA 数字证书加盖其单位电子印章。</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未按上述规定执行的，交由评标委员会作否决投标处理。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3.7.4</w:t>
            </w:r>
          </w:p>
        </w:tc>
        <w:tc>
          <w:tcPr>
            <w:tcW w:w="1644" w:type="dxa"/>
            <w:vAlign w:val="center"/>
          </w:tcPr>
          <w:p>
            <w:pPr>
              <w:keepNext w:val="0"/>
              <w:keepLines w:val="0"/>
              <w:pageBreakBefore w:val="0"/>
              <w:kinsoku/>
              <w:wordWrap/>
              <w:overflowPunct/>
              <w:topLinePunct w:val="0"/>
              <w:bidi w:val="0"/>
              <w:snapToGrid w:val="0"/>
              <w:spacing w:line="400" w:lineRule="exact"/>
              <w:textAlignment w:val="auto"/>
              <w:rPr>
                <w:rFonts w:hint="eastAsia" w:asciiTheme="minorEastAsia" w:hAnsiTheme="minorEastAsia" w:eastAsiaTheme="minorEastAsia" w:cstheme="minorEastAsia"/>
                <w:spacing w:val="-6"/>
                <w:kern w:val="0"/>
                <w:sz w:val="21"/>
                <w:szCs w:val="21"/>
                <w:highlight w:val="none"/>
              </w:rPr>
            </w:pPr>
            <w:r>
              <w:rPr>
                <w:rFonts w:hint="eastAsia" w:asciiTheme="minorEastAsia" w:hAnsiTheme="minorEastAsia" w:eastAsiaTheme="minorEastAsia" w:cstheme="minorEastAsia"/>
                <w:spacing w:val="-6"/>
                <w:kern w:val="0"/>
                <w:sz w:val="21"/>
                <w:szCs w:val="21"/>
                <w:highlight w:val="none"/>
              </w:rPr>
              <w:t>投标文件的份数</w:t>
            </w: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after="93" w:afterLines="30" w:line="400" w:lineRule="exact"/>
              <w:ind w:firstLine="420" w:firstLineChars="200"/>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kern w:val="0"/>
                <w:sz w:val="21"/>
                <w:szCs w:val="21"/>
                <w:highlight w:val="none"/>
              </w:rPr>
              <w:t>本工程采用全流程电子招标投标，投标人提供的投标文件为：加密电子投标文件（网上递交）一份。</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3.7.5</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编制要求</w:t>
            </w:r>
          </w:p>
        </w:tc>
        <w:tc>
          <w:tcPr>
            <w:tcW w:w="6308" w:type="dxa"/>
            <w:vAlign w:val="center"/>
          </w:tcPr>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[提示：适用于电子标暗标编制要求]</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具体要求：</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（1）投标函部分</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应按照第六章规定格式排版，原则上应编制目录，但不得将目录编制作为评审因素。</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（2）商务部分</w:t>
            </w:r>
            <w:r>
              <w:rPr>
                <w:rFonts w:hint="eastAsia" w:asciiTheme="minorEastAsia" w:hAnsiTheme="minorEastAsia" w:eastAsiaTheme="minorEastAsia" w:cstheme="minorEastAsia"/>
                <w:iCs/>
                <w:sz w:val="21"/>
                <w:szCs w:val="21"/>
                <w:highlight w:val="none"/>
              </w:rPr>
              <w:t>（如有）</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应按照第六章规定格式排版，原则上应编制目录，但不得将目录编制作为评审因素。</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（3）技术部分</w:t>
            </w:r>
            <w:r>
              <w:rPr>
                <w:rFonts w:hint="eastAsia" w:asciiTheme="minorEastAsia" w:hAnsiTheme="minorEastAsia" w:eastAsiaTheme="minorEastAsia" w:cstheme="minorEastAsia"/>
                <w:iCs/>
                <w:sz w:val="21"/>
                <w:szCs w:val="21"/>
                <w:highlight w:val="none"/>
              </w:rPr>
              <w:t>（如有）</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电子投标文件技术</w:t>
            </w:r>
            <w:r>
              <w:rPr>
                <w:rFonts w:hint="eastAsia" w:asciiTheme="minorEastAsia" w:hAnsiTheme="minorEastAsia" w:eastAsiaTheme="minorEastAsia" w:cstheme="minorEastAsia"/>
                <w:sz w:val="21"/>
                <w:szCs w:val="21"/>
                <w:highlight w:val="none"/>
                <w:lang w:val="en-US" w:eastAsia="zh-CN"/>
              </w:rPr>
              <w:t>部分</w:t>
            </w:r>
            <w:r>
              <w:rPr>
                <w:rFonts w:hint="eastAsia" w:asciiTheme="minorEastAsia" w:hAnsiTheme="minorEastAsia" w:eastAsiaTheme="minorEastAsia" w:cstheme="minorEastAsia"/>
                <w:sz w:val="21"/>
                <w:szCs w:val="21"/>
                <w:highlight w:val="none"/>
              </w:rPr>
              <w:t>暗标不设封面，整个技术部分均不得出现白页和倒页；不得出现与本工程无关的内容；不得显示与投标人企业有关的任何信息；技术部分文本部分的文字采用四号仿宋字体，文本部分采用A4页面；图表内的字体、字号大小不限，图表部分采用A3或A4页面；文字、图表不得使用彩色，整个技术</w:t>
            </w:r>
            <w:r>
              <w:rPr>
                <w:rFonts w:hint="eastAsia" w:asciiTheme="minorEastAsia" w:hAnsiTheme="minorEastAsia" w:eastAsiaTheme="minorEastAsia" w:cstheme="minorEastAsia"/>
                <w:sz w:val="21"/>
                <w:szCs w:val="21"/>
                <w:highlight w:val="none"/>
                <w:lang w:val="en-US" w:eastAsia="zh-CN"/>
              </w:rPr>
              <w:t>部分</w:t>
            </w:r>
            <w:r>
              <w:rPr>
                <w:rFonts w:hint="eastAsia" w:asciiTheme="minorEastAsia" w:hAnsiTheme="minorEastAsia" w:eastAsiaTheme="minorEastAsia" w:cstheme="minorEastAsia"/>
                <w:sz w:val="21"/>
                <w:szCs w:val="21"/>
                <w:highlight w:val="none"/>
              </w:rPr>
              <w:t>暗标不得编制页码。违反上述任何一项，采用综合评估法的其投标文件技术部分为零分；采用经评审的最低投标价法的其投标文件技术部分符合性评审不合格，由评标委员会作否决投标处理。</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《勘察纲要》原则上不超过</w:t>
            </w:r>
            <w:r>
              <w:rPr>
                <w:rFonts w:hint="eastAsia" w:asciiTheme="minorEastAsia" w:hAnsiTheme="minorEastAsia" w:eastAsiaTheme="minorEastAsia" w:cstheme="minorEastAsia"/>
                <w:sz w:val="21"/>
                <w:szCs w:val="21"/>
                <w:highlight w:val="none"/>
                <w:u w:val="single"/>
              </w:rPr>
              <w:t xml:space="preserve"> 200 </w:t>
            </w:r>
            <w:r>
              <w:rPr>
                <w:rFonts w:hint="eastAsia" w:asciiTheme="minorEastAsia" w:hAnsiTheme="minorEastAsia" w:eastAsiaTheme="minorEastAsia" w:cstheme="minorEastAsia"/>
                <w:sz w:val="21"/>
                <w:szCs w:val="21"/>
                <w:highlight w:val="none"/>
              </w:rPr>
              <w:t>页，但不得将页数作为评审因素。</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（4）资格审查部分</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Style w:val="46"/>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应按照第六章规定格式排版，原则上应编制目录，但不得将目录编制作为评审因素。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3.7.5</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编制要求</w:t>
            </w:r>
          </w:p>
        </w:tc>
        <w:tc>
          <w:tcPr>
            <w:tcW w:w="6308" w:type="dxa"/>
            <w:vAlign w:val="center"/>
          </w:tcPr>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[提示：适用于电子标明标编制要求]</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具体要求：</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（1）投标函部分</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应按照第六章规定格式排版，原则上应编制目录，但不得将目录编制作为评审因素。</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（2）商务部分</w:t>
            </w:r>
            <w:r>
              <w:rPr>
                <w:rFonts w:hint="eastAsia" w:asciiTheme="minorEastAsia" w:hAnsiTheme="minorEastAsia" w:eastAsiaTheme="minorEastAsia" w:cstheme="minorEastAsia"/>
                <w:iCs/>
                <w:sz w:val="21"/>
                <w:szCs w:val="21"/>
                <w:highlight w:val="none"/>
              </w:rPr>
              <w:t>（如有）</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应按照第六章规定格式排版，原则上应编制目录，但不得将目录编制作为评审因素。</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（3）技术部分（如有）</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投标文件技术部分明标不设封面，应按照第六章规定格式排版，原则上应编制目录，但不得将封面设置、目录编制作为评审因素。注：技术部分采用明标评审时，不因形式评审的问题（包括但不限于封面、页码、目录、字体、格式等）而被否决投标。</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《勘察纲要》原则上不超过</w:t>
            </w:r>
            <w:r>
              <w:rPr>
                <w:rFonts w:hint="eastAsia" w:asciiTheme="minorEastAsia" w:hAnsiTheme="minorEastAsia" w:eastAsiaTheme="minorEastAsia" w:cstheme="minorEastAsia"/>
                <w:sz w:val="21"/>
                <w:szCs w:val="21"/>
                <w:highlight w:val="none"/>
                <w:u w:val="single"/>
              </w:rPr>
              <w:t xml:space="preserve"> 200 </w:t>
            </w:r>
            <w:r>
              <w:rPr>
                <w:rFonts w:hint="eastAsia" w:asciiTheme="minorEastAsia" w:hAnsiTheme="minorEastAsia" w:eastAsiaTheme="minorEastAsia" w:cstheme="minorEastAsia"/>
                <w:sz w:val="21"/>
                <w:szCs w:val="21"/>
                <w:highlight w:val="none"/>
              </w:rPr>
              <w:t>页，但不得将页数作为评审因素。</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（4）资格审查部分</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应按照第六章规定格式排版，原则上应编制目录，但不得将目录编制作为评审因素。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4.1.1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spacing w:val="-6"/>
                <w:kern w:val="0"/>
                <w:sz w:val="21"/>
                <w:szCs w:val="21"/>
                <w:highlight w:val="none"/>
              </w:rPr>
            </w:pPr>
            <w:r>
              <w:rPr>
                <w:rFonts w:hint="eastAsia" w:asciiTheme="minorEastAsia" w:hAnsiTheme="minorEastAsia" w:eastAsiaTheme="minorEastAsia" w:cstheme="minorEastAsia"/>
                <w:spacing w:val="-6"/>
                <w:kern w:val="0"/>
                <w:sz w:val="21"/>
                <w:szCs w:val="21"/>
                <w:highlight w:val="none"/>
              </w:rPr>
              <w:t>投标文件的密封</w:t>
            </w:r>
          </w:p>
        </w:tc>
        <w:tc>
          <w:tcPr>
            <w:tcW w:w="6308" w:type="dxa"/>
            <w:vAlign w:val="center"/>
          </w:tcPr>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电子投标文件的加密</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加密的电子投标文件应按照本章第4.1.3项要求制作并加密，未按要求加密的电子投标文件，将无法上传至重庆市电子招投标系统，逾期未完成上传投标文件的，视为撤回投标文件。</w:t>
            </w:r>
          </w:p>
          <w:p>
            <w:pPr>
              <w:keepNext w:val="0"/>
              <w:keepLines w:val="0"/>
              <w:pageBreakBefore w:val="0"/>
              <w:kinsoku/>
              <w:wordWrap/>
              <w:overflowPunct/>
              <w:topLinePunct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如需递交不加密电子投标文件，应用“投标文件”袋单独封装，并在封口处加盖投标人单位法人章，同时“投标文件”袋应按本表第4.1.2项的规定写明相应内容。“投标文件”袋未按要求密封的，招标人或代理机构应该拒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4.1.2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封套上写明</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应在</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kern w:val="0"/>
                <w:sz w:val="21"/>
                <w:szCs w:val="21"/>
                <w:highlight w:val="none"/>
              </w:rPr>
              <w:t>“投标文件”袋封套上写明如下内容：</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招标人名称：</w:t>
            </w:r>
            <w:r>
              <w:rPr>
                <w:rFonts w:hint="eastAsia" w:asciiTheme="minorEastAsia" w:hAnsiTheme="minorEastAsia" w:eastAsiaTheme="minorEastAsia" w:cstheme="minorEastAsia"/>
                <w:kern w:val="0"/>
                <w:sz w:val="21"/>
                <w:szCs w:val="21"/>
                <w:highlight w:val="none"/>
                <w:u w:val="single"/>
              </w:rPr>
              <w:t xml:space="preserve">            </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投标人名称：</w:t>
            </w:r>
            <w:r>
              <w:rPr>
                <w:rFonts w:hint="eastAsia" w:asciiTheme="minorEastAsia" w:hAnsiTheme="minorEastAsia" w:eastAsiaTheme="minorEastAsia" w:cstheme="minorEastAsia"/>
                <w:kern w:val="0"/>
                <w:sz w:val="21"/>
                <w:szCs w:val="21"/>
                <w:highlight w:val="none"/>
                <w:u w:val="single"/>
              </w:rPr>
              <w:t xml:space="preserve">            </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u w:val="single"/>
              </w:rPr>
              <w:t xml:space="preserve">                （项目名称）</w:t>
            </w:r>
            <w:r>
              <w:rPr>
                <w:rFonts w:hint="eastAsia" w:asciiTheme="minorEastAsia" w:hAnsiTheme="minorEastAsia" w:eastAsiaTheme="minorEastAsia" w:cstheme="minorEastAsia"/>
                <w:kern w:val="0"/>
                <w:sz w:val="21"/>
                <w:szCs w:val="21"/>
                <w:highlight w:val="none"/>
              </w:rPr>
              <w:t>投标文件</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在</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年</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月</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日</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时</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分前不得开启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4.2.1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投标截止时间</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详见招标公告中规定的投标文件递交截止时间。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4.2.2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递交投标文件地点</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投标人应当在投标截止时间前，通过互联网使用CA数字证书登录重庆市电子招投标系统，将加密的电子投标文件上传。</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特别注意：投标人如需现场递交不加密电子投标文件（光盘备份）等备用资料，则须在投标截止时间前递交，递交地点为</w:t>
            </w:r>
            <w:r>
              <w:rPr>
                <w:rFonts w:hint="eastAsia" w:asciiTheme="minorEastAsia" w:hAnsiTheme="minorEastAsia" w:eastAsiaTheme="minorEastAsia" w:cstheme="minorEastAsia"/>
                <w:bCs/>
                <w:sz w:val="21"/>
                <w:szCs w:val="21"/>
                <w:highlight w:val="none"/>
                <w:u w:val="single"/>
              </w:rPr>
              <w:t>重庆市公共资源交易中心</w:t>
            </w:r>
            <w:r>
              <w:rPr>
                <w:rFonts w:hint="eastAsia" w:asciiTheme="minorEastAsia" w:hAnsiTheme="minorEastAsia" w:eastAsiaTheme="minorEastAsia" w:cstheme="minorEastAsia"/>
                <w:bCs/>
                <w:sz w:val="21"/>
                <w:szCs w:val="21"/>
                <w:highlight w:val="none"/>
              </w:rPr>
              <w:t>开标区（具体请登陆</w:t>
            </w:r>
            <w:r>
              <w:rPr>
                <w:rFonts w:hint="eastAsia" w:asciiTheme="minorEastAsia" w:hAnsiTheme="minorEastAsia" w:eastAsiaTheme="minorEastAsia" w:cstheme="minorEastAsia"/>
                <w:bCs/>
                <w:sz w:val="21"/>
                <w:szCs w:val="21"/>
                <w:highlight w:val="none"/>
                <w:u w:val="single"/>
              </w:rPr>
              <w:t>重庆市公共资源交易网（www.cqggzy.com）</w:t>
            </w:r>
            <w:r>
              <w:rPr>
                <w:rFonts w:hint="eastAsia" w:asciiTheme="minorEastAsia" w:hAnsiTheme="minorEastAsia" w:eastAsiaTheme="minorEastAsia" w:cstheme="minorEastAsia"/>
                <w:bCs/>
                <w:sz w:val="21"/>
                <w:szCs w:val="21"/>
                <w:highlight w:val="none"/>
              </w:rPr>
              <w:t>查询或递交文件当日见交易中心大厅电子显示屏）。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4.2.3</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是否退还投标文件</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5.1.1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开标时间和</w:t>
            </w:r>
          </w:p>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地点</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开标时间：同投标截止时间</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kern w:val="0"/>
                <w:sz w:val="21"/>
                <w:szCs w:val="21"/>
                <w:highlight w:val="none"/>
              </w:rPr>
              <w:t>开标地点：</w:t>
            </w:r>
            <w:r>
              <w:rPr>
                <w:rFonts w:hint="eastAsia" w:asciiTheme="minorEastAsia" w:hAnsiTheme="minorEastAsia" w:eastAsiaTheme="minorEastAsia" w:cstheme="minorEastAsia"/>
                <w:bCs/>
                <w:sz w:val="21"/>
                <w:szCs w:val="21"/>
                <w:highlight w:val="none"/>
                <w:u w:val="single"/>
              </w:rPr>
              <w:t>重庆市公共资源交易中心</w:t>
            </w:r>
            <w:r>
              <w:rPr>
                <w:rFonts w:hint="eastAsia" w:asciiTheme="minorEastAsia" w:hAnsiTheme="minorEastAsia" w:eastAsiaTheme="minorEastAsia" w:cstheme="minorEastAsia"/>
                <w:bCs/>
                <w:sz w:val="21"/>
                <w:szCs w:val="21"/>
                <w:highlight w:val="none"/>
              </w:rPr>
              <w:t>开标室（具体请登陆</w:t>
            </w:r>
            <w:r>
              <w:rPr>
                <w:rFonts w:hint="eastAsia" w:asciiTheme="minorEastAsia" w:hAnsiTheme="minorEastAsia" w:eastAsiaTheme="minorEastAsia" w:cstheme="minorEastAsia"/>
                <w:bCs/>
                <w:sz w:val="21"/>
                <w:szCs w:val="21"/>
                <w:highlight w:val="none"/>
                <w:u w:val="single"/>
              </w:rPr>
              <w:t>重庆市公共资源交易网（www.cqggzy.com）</w:t>
            </w:r>
            <w:r>
              <w:rPr>
                <w:rFonts w:hint="eastAsia" w:asciiTheme="minorEastAsia" w:hAnsiTheme="minorEastAsia" w:eastAsiaTheme="minorEastAsia" w:cstheme="minorEastAsia"/>
                <w:bCs/>
                <w:sz w:val="21"/>
                <w:szCs w:val="21"/>
                <w:highlight w:val="none"/>
              </w:rPr>
              <w:t>查询或递交文件当日见交易中心大厅电子显示屏）。</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特别注意：</w:t>
            </w:r>
            <w:r>
              <w:rPr>
                <w:rFonts w:hint="eastAsia" w:asciiTheme="minorEastAsia" w:hAnsiTheme="minorEastAsia" w:eastAsiaTheme="minorEastAsia" w:cstheme="minorEastAsia"/>
                <w:bCs/>
                <w:sz w:val="21"/>
                <w:szCs w:val="21"/>
                <w:highlight w:val="none"/>
                <w:lang w:val="en-US" w:eastAsia="zh-CN"/>
              </w:rPr>
              <w:t>1、</w:t>
            </w:r>
            <w:r>
              <w:rPr>
                <w:rFonts w:hint="eastAsia" w:asciiTheme="minorEastAsia" w:hAnsiTheme="minorEastAsia" w:eastAsiaTheme="minorEastAsia" w:cstheme="minorEastAsia"/>
                <w:bCs/>
                <w:sz w:val="21"/>
                <w:szCs w:val="21"/>
                <w:highlight w:val="none"/>
              </w:rPr>
              <w:t>解密投标文件需使用加密电子投标文件的CA数字证书。投标人代表可携带该CA数字证书到开标现场完成投标文件解密工作，或通过互联网使用该CA数字证书登录重庆市电子招投标系统，采用远程解密的方式在投标须知前附表规定的时间内完成投标文件解密工作。</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color w:val="auto"/>
                <w:sz w:val="21"/>
                <w:szCs w:val="21"/>
                <w:highlight w:val="none"/>
              </w:rPr>
              <w:t>口2</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本项目开标将试用“重庆市工程建设项目不见面开标系统”</w:t>
            </w:r>
            <w:r>
              <w:rPr>
                <w:rFonts w:hint="eastAsia" w:asciiTheme="minorEastAsia" w:hAnsiTheme="minorEastAsia" w:eastAsiaTheme="minorEastAsia" w:cstheme="minorEastAsia"/>
                <w:bCs/>
                <w:color w:val="auto"/>
                <w:sz w:val="21"/>
                <w:szCs w:val="21"/>
                <w:highlight w:val="none"/>
                <w:lang w:eastAsia="zh-CN"/>
              </w:rPr>
              <w:t>（</w:t>
            </w:r>
            <w:r>
              <w:rPr>
                <w:rFonts w:hint="eastAsia"/>
                <w:bCs/>
              </w:rPr>
              <w:t>https://bjm.jszx.cqggzy.com/BidOpeningHall/bidhall/dqcq/login，</w:t>
            </w:r>
            <w:r>
              <w:rPr>
                <w:rFonts w:hint="eastAsia" w:asciiTheme="minorEastAsia" w:hAnsiTheme="minorEastAsia" w:eastAsiaTheme="minorEastAsia" w:cstheme="minorEastAsia"/>
                <w:bCs/>
                <w:color w:val="auto"/>
                <w:sz w:val="21"/>
                <w:szCs w:val="21"/>
                <w:highlight w:val="none"/>
                <w:lang w:val="en-US" w:eastAsia="zh-CN"/>
              </w:rPr>
              <w:t>以下简称：</w:t>
            </w:r>
            <w:r>
              <w:rPr>
                <w:rFonts w:hint="eastAsia" w:asciiTheme="minorEastAsia" w:hAnsiTheme="minorEastAsia" w:eastAsiaTheme="minorEastAsia" w:cstheme="minorEastAsia"/>
                <w:bCs/>
                <w:color w:val="auto"/>
                <w:sz w:val="21"/>
                <w:szCs w:val="21"/>
                <w:highlight w:val="none"/>
              </w:rPr>
              <w:t>不见面开标系统</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。不出席现场开标的投标人也可登录不见面开标系统参与全过程开标活动。开标活动信息以</w:t>
            </w:r>
            <w:r>
              <w:rPr>
                <w:rFonts w:hint="eastAsia" w:asciiTheme="minorEastAsia" w:hAnsiTheme="minorEastAsia" w:eastAsiaTheme="minorEastAsia" w:cstheme="minorEastAsia"/>
                <w:bCs/>
                <w:color w:val="auto"/>
                <w:sz w:val="21"/>
                <w:szCs w:val="21"/>
                <w:highlight w:val="none"/>
                <w:lang w:val="en-US" w:eastAsia="zh-CN"/>
              </w:rPr>
              <w:t>开标现场或</w:t>
            </w:r>
            <w:r>
              <w:rPr>
                <w:rFonts w:hint="eastAsia" w:asciiTheme="minorEastAsia" w:hAnsiTheme="minorEastAsia" w:eastAsiaTheme="minorEastAsia" w:cstheme="minorEastAsia"/>
                <w:bCs/>
                <w:color w:val="auto"/>
                <w:sz w:val="21"/>
                <w:szCs w:val="21"/>
                <w:highlight w:val="none"/>
              </w:rPr>
              <w:t>不见面开标系统收到并展示的信息为准。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5.1.2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解密时间</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解密时长为 30 分钟。</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特别注意：因电子招标投标系统原因影响解密时间的，招标人可根据现场实际情况延长解密时间；因投标人原因未完成解密工作的，视为撤销其投标文件，其投标保证金以现金形式交纳的不予退还，以保函形式交纳的由保函开立人支付保函担保的与投标保证金等额的款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开标程序</w:t>
            </w: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主持人按下列程序进行开标：</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 开标时间（应与投标截止时间一致），交易系统自动提取所有在投标截止时间前成功递交的投标文件，系统自动展示投标人数量是否大于（等于）3家，经招标人或代理机构确认达到法定开标条件的，系统进入开标环节。</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 投标文件提取完成，经招标人或代理机构确认开始解密环节，系统提示投标人在招标文件规定的时间内自行解密其经加密的电子投标文件。</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在规定的时间内投标人未成功解密的投标文件处理方式：①对因故不能解密的，经投标人申请，可以采取导入由相应投标人提供的不加密的电子投标文件（光盘备份）作为补救措施；②对因电子招投标系统原因造成的未解密情况，投标人又未提供不加密的电子投标文件（光盘备份）作为补救措施的，视为投标人撤回投标文件；③对因投标人原因造成的未解密情况，视为投标人撤销投标文件。</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 解密全部完成或招标文件规定的解密时间截止后，经招标人或代理机构确认，进入唱标环节。交易系统展示最终解密结果，主持人公布所有投标人名称和成功解密投标人名单，并备注投标人未成功解密投标文件的原因（若有）。</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 汇总投标保证金交纳情况</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4.1 展示以电子投标保函方式递交投标保证金的情况，展示内容应至少包含投标人名称、金额、投标保函提交时间、保函有效期及是否具有不可撤销且见索即付属性等。电子投标保函应在投标截止时间前提交至指定系统，异常情况在开标记录表“异常情况”栏中记录并交由评标委员会评审。</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4.2 展示以电子转账方式递交投标保证金的情况，展示内容应至少包含投标人名称、金额、投标保证金打入指定账户的时间等，异常情况在开标记录表“异常情况”栏中记录并交由评标委员会评审。</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4.3 展示以纸质投标保函方式递交投标保证金的情况，并记录在“纸质投标保函递交情况一览表”中，异常情况在开标记录表“异常情况”栏中记录。</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4.4 打印所有投标人的投标保证金交纳情</w:t>
            </w:r>
            <w:r>
              <w:rPr>
                <w:rFonts w:hint="eastAsia" w:asciiTheme="minorEastAsia" w:hAnsiTheme="minorEastAsia" w:eastAsiaTheme="minorEastAsia" w:cstheme="minorEastAsia"/>
                <w:sz w:val="21"/>
                <w:szCs w:val="21"/>
                <w:highlight w:val="none"/>
                <w:lang w:val="en-US" w:eastAsia="zh-CN"/>
              </w:rPr>
              <w:t>况</w:t>
            </w:r>
            <w:r>
              <w:rPr>
                <w:rFonts w:hint="eastAsia" w:asciiTheme="minorEastAsia" w:hAnsiTheme="minorEastAsia" w:eastAsiaTheme="minorEastAsia" w:cstheme="minorEastAsia"/>
                <w:sz w:val="21"/>
                <w:szCs w:val="21"/>
                <w:highlight w:val="none"/>
              </w:rPr>
              <w:t>，并由招标人代表、监标人、记录人签名确认。</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 公布最高限价</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□采用经评审最低投标价法的还需计算最高限价的85%数值，以便评标委员会评审。</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 公布投标人名称、投标报价、项目负责人、质量目标、勘察服务期及其他内容。</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 对经招投标监督部门同意采用综合评估法的项目，需要抽取评标基准价浮动值的，在开标现场完成抽取，抽取结果记入开标记录表。相关系数抽取方式如下：</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①</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②</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③……</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 在重庆市工程建设领域招标投标信用平台上查询、公布所有投标人（含联合体成员单位）信用状况（若遇特殊情况，可在开标现场或开标当日，采用人工方式在“重庆市公共资源交易监督网”的“信用信息”栏目查询、核实），汇总并打印所有投标人的信用查询结果，并由招标人代表、监标人、记录人签名确认。</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9.投标人对开标有异议的，应当场或在线（不见面开标适用）提出，由招标人或代理机构当场或在线（不见面开标适用）答复，并记录到开标记录表中。异议处理完毕后，汇总开标情况，打印开标记录表。</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 投标人代表、招标人代表、监标人、主持人、记录人等有关人员在开标记录上签名确认。因其他原因未能签名的，视为默认开标结果。</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纸质投标保函原件、投标保证金缴纳情况表、开标记录表、投标人信用情况汇总表一并交由评标委员会评审。</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 主持人宣布开标结束。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6.1.1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评标委员会的组建</w:t>
            </w: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36"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pacing w:val="4"/>
                <w:kern w:val="0"/>
                <w:sz w:val="21"/>
                <w:szCs w:val="21"/>
                <w:highlight w:val="none"/>
              </w:rPr>
              <w:t>由招标人按法律法规及相关规定依法组建评标委员会</w:t>
            </w:r>
            <w:r>
              <w:rPr>
                <w:rFonts w:hint="eastAsia" w:asciiTheme="minorEastAsia" w:hAnsiTheme="minorEastAsia" w:eastAsiaTheme="minorEastAsia" w:cstheme="minorEastAsia"/>
                <w:kern w:val="0"/>
                <w:sz w:val="21"/>
                <w:szCs w:val="21"/>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sz w:val="21"/>
                <w:szCs w:val="21"/>
                <w:highlight w:val="none"/>
              </w:rPr>
            </w:pPr>
          </w:p>
          <w:p>
            <w:pPr>
              <w:pStyle w:val="2"/>
              <w:keepNext w:val="0"/>
              <w:keepLines w:val="0"/>
              <w:pageBreakBefore w:val="0"/>
              <w:suppressLineNumbers w:val="0"/>
              <w:suppressAutoHyphens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6.3.2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中标候选人数量</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rPr>
            </w:pPr>
            <w:r>
              <w:rPr>
                <w:rFonts w:hint="eastAsia"/>
              </w:rPr>
              <w:t>□推荐经评审综合得分由高到低排名前</w:t>
            </w:r>
            <w:r>
              <w:rPr>
                <w:rFonts w:hint="default" w:ascii="Times New Roman" w:hAnsi="Times New Roman" w:eastAsia="宋体" w:cs="Times New Roman"/>
                <w:kern w:val="2"/>
                <w:sz w:val="21"/>
                <w:szCs w:val="24"/>
                <w:highlight w:val="none"/>
                <w:lang w:val="en-US" w:eastAsia="zh-CN"/>
              </w:rPr>
              <w:t>3</w:t>
            </w:r>
            <w:r>
              <w:rPr>
                <w:rFonts w:hint="eastAsia"/>
              </w:rPr>
              <w:t>名为中标候选人，若有效投标人少于 3 个的则按实际数量推荐。</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rPr>
            </w:pPr>
            <w:r>
              <w:rPr>
                <w:rFonts w:hint="eastAsia"/>
              </w:rPr>
              <w:t>□推荐经评审合格投标报价由低到高排名前</w:t>
            </w:r>
            <w:r>
              <w:rPr>
                <w:rFonts w:hint="eastAsia"/>
                <w:lang w:eastAsia="zh-CN"/>
              </w:rPr>
              <w:t>3</w:t>
            </w:r>
            <w:r>
              <w:rPr>
                <w:rFonts w:hint="eastAsia"/>
              </w:rPr>
              <w:t>名为中标候选人，若有效投标人少于 3 个的则按实际数量推荐。</w:t>
            </w:r>
          </w:p>
          <w:p>
            <w:pPr>
              <w:pStyle w:val="2"/>
              <w:ind w:firstLine="420" w:firstLineChars="200"/>
              <w:rPr>
                <w:rFonts w:hint="eastAsia"/>
              </w:rPr>
            </w:pPr>
            <w:r>
              <w:rPr>
                <w:rFonts w:hint="eastAsia"/>
                <w:i/>
                <w:iCs/>
              </w:rPr>
              <w:t>[提示：中标候选人应当不超过3个，招标人根据实际需要设置中标候选人具体数量。]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7.1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中标候选人公示</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招标人在收到评标报告后3日内将评标结果在</w:t>
            </w:r>
            <w:r>
              <w:rPr>
                <w:rFonts w:hint="eastAsia" w:asciiTheme="minorEastAsia" w:hAnsiTheme="minorEastAsia" w:eastAsiaTheme="minorEastAsia" w:cstheme="minorEastAsia"/>
                <w:sz w:val="21"/>
                <w:szCs w:val="21"/>
                <w:highlight w:val="none"/>
                <w:u w:val="single"/>
              </w:rPr>
              <w:t xml:space="preserve">    （相应网站）  </w:t>
            </w:r>
            <w:r>
              <w:rPr>
                <w:rFonts w:hint="eastAsia" w:asciiTheme="minorEastAsia" w:hAnsiTheme="minorEastAsia" w:eastAsiaTheme="minorEastAsia" w:cstheme="minorEastAsia"/>
                <w:sz w:val="21"/>
                <w:szCs w:val="21"/>
                <w:highlight w:val="none"/>
              </w:rPr>
              <w:t>上进行公示，公示期</w:t>
            </w:r>
            <w:r>
              <w:rPr>
                <w:rFonts w:hint="eastAsia" w:asciiTheme="minorEastAsia" w:hAnsiTheme="minorEastAsia" w:eastAsiaTheme="minorEastAsia" w:cstheme="minorEastAsia"/>
                <w:sz w:val="21"/>
                <w:szCs w:val="21"/>
                <w:highlight w:val="none"/>
                <w:lang w:val="en-US" w:eastAsia="zh-CN"/>
              </w:rPr>
              <w:t>不少于</w:t>
            </w:r>
            <w:r>
              <w:rPr>
                <w:rFonts w:hint="eastAsia" w:asciiTheme="minorEastAsia" w:hAnsiTheme="minorEastAsia" w:eastAsiaTheme="minorEastAsia" w:cstheme="minorEastAsia"/>
                <w:sz w:val="21"/>
                <w:szCs w:val="21"/>
                <w:highlight w:val="none"/>
              </w:rPr>
              <w:t>3日。为深化信息公开，接受社会监督，本项目将按照《招标公告和公示信息发布管理办法》（国家发改委令第10号）的要求，公示内容包括中标候选人名称、排序、投标总报价、质量、勘察服务期；中标候选人资质、投标业绩名称</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如有</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，中标候选人项目负责人姓名及其相关证书名称和编号、项目负责人投标业绩名称</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如有</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rPr>
              <w:t>；□未递交投标保证金且提交了《中小微企业声明函》的中标候选人名单；否决投标情况及理由；提出异议、投诉的渠道和方式。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062" w:hRule="atLeast"/>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7.4</w:t>
            </w:r>
          </w:p>
        </w:tc>
        <w:tc>
          <w:tcPr>
            <w:tcW w:w="1644" w:type="dxa"/>
            <w:vAlign w:val="center"/>
          </w:tcPr>
          <w:p>
            <w:pPr>
              <w:keepNext w:val="0"/>
              <w:keepLines w:val="0"/>
              <w:pageBreakBefore w:val="0"/>
              <w:kinsoku/>
              <w:wordWrap/>
              <w:overflowPunct/>
              <w:topLinePunct w:val="0"/>
              <w:bidi w:val="0"/>
              <w:snapToGrid w:val="0"/>
              <w:spacing w:after="62" w:afterLines="20"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是否授权评标委员会确定中标人</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□是</w:t>
            </w:r>
          </w:p>
          <w:p>
            <w:pPr>
              <w:pStyle w:val="2"/>
              <w:keepNext w:val="0"/>
              <w:keepLines w:val="0"/>
              <w:pageBreakBefore w:val="0"/>
              <w:suppressLineNumbers w:val="0"/>
              <w:suppressAutoHyphens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7.6.1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履约保证金</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1、中标人是否提供履约保证金：</w:t>
            </w:r>
            <w:r>
              <w:rPr>
                <w:rFonts w:hint="eastAsia" w:asciiTheme="minorEastAsia" w:hAnsiTheme="minorEastAsia" w:eastAsiaTheme="minorEastAsia" w:cstheme="minorEastAsia"/>
                <w:kern w:val="0"/>
                <w:sz w:val="21"/>
                <w:szCs w:val="21"/>
                <w:highlight w:val="none"/>
                <w:u w:val="single"/>
              </w:rPr>
              <w:t>提供</w:t>
            </w:r>
            <w:r>
              <w:rPr>
                <w:rFonts w:hint="eastAsia" w:asciiTheme="minorEastAsia" w:hAnsiTheme="minorEastAsia" w:eastAsiaTheme="minorEastAsia" w:cstheme="minorEastAsia"/>
                <w:kern w:val="0"/>
                <w:sz w:val="21"/>
                <w:szCs w:val="21"/>
                <w:highlight w:val="none"/>
              </w:rPr>
              <w:t>。</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□联合体投标的</w:t>
            </w:r>
            <w:r>
              <w:rPr>
                <w:rFonts w:hint="eastAsia" w:asciiTheme="minorEastAsia" w:hAnsiTheme="minorEastAsia" w:eastAsiaTheme="minorEastAsia" w:cstheme="minorEastAsia"/>
                <w:kern w:val="0"/>
                <w:sz w:val="21"/>
                <w:szCs w:val="21"/>
                <w:highlight w:val="none"/>
              </w:rPr>
              <w:t>，由联合体牵头人或按照联合体协议的约定提交履约保证金。</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2、中标人提供履约保证金的形式、金额及期限：</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履约保证金的形式：现金或履约保函或现金+履约保函的组合，履约保函包括银行保函、保证保险和担保保函，其示范文本详见合同附件。承包人提交的履约保函应严格执行其示范文本，不得对示范文本中的实质性内容进行修改。承包人若采用现金提交履约担保的，允许使用符合《关于在全市工程建设领域全面推行工程保函工作的通知》（渝公管发〔2022〕25号）、《关于进一步规范工程建设领域工程保函示范文本的通知》（渝公管发〔2022〕26号）要求的履约保函置换。</w:t>
            </w:r>
          </w:p>
          <w:p>
            <w:pPr>
              <w:keepNext w:val="0"/>
              <w:keepLines w:val="0"/>
              <w:pageBreakBefore w:val="0"/>
              <w:suppressLineNumbers w:val="0"/>
              <w:suppressAutoHyphens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具体要求：履约保函的开立人应当是具有相应资格的银行、保险机构、融资担保公司，其信用资质、履约能力、担保能力、赔付流程、安全保密等应符合履约保函业务条件。履约保函应合法合规，符合招投标行政监督部门、行业主管部门和金融监管部门的相关规定，满足招标文件约定要求。承包人应选择在渝依法设立总部或者设有分支机构的金融机构开具履约保函（包括纸质保函或电子保函）。履约保函为纸质保函的，纸质保函应注明在重庆市辖区范围内的核验地址和核验方式，并确保该纸质保函能在开立人在渝的总部或者分支机构进行核验。承包人对所提交的履约保函的真实性、合法性、有效性负责。</w:t>
            </w:r>
          </w:p>
          <w:p>
            <w:pPr>
              <w:keepNext w:val="0"/>
              <w:keepLines w:val="0"/>
              <w:pageBreakBefore w:val="0"/>
              <w:suppressLineNumbers w:val="0"/>
              <w:suppressAutoHyphens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lang w:val="en-US" w:eastAsia="zh-CN"/>
              </w:rPr>
              <w:t>3</w:t>
            </w:r>
            <w:r>
              <w:rPr>
                <w:rFonts w:hint="eastAsia" w:asciiTheme="minorEastAsia" w:hAnsiTheme="minorEastAsia" w:eastAsiaTheme="minorEastAsia" w:cstheme="minorEastAsia"/>
                <w:kern w:val="0"/>
                <w:sz w:val="21"/>
                <w:szCs w:val="21"/>
                <w:highlight w:val="none"/>
              </w:rPr>
              <w:t>）履约保证金的金额：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，红名单中的中标人履约担保金额为应缴纳金额的</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（50%～80%）；联合体中标的，须联合体牵头人在红名单中。中标人是否属于红名单□方式一：以开标环节信用状况查询结果为准；□方式二：以中标通知书落款时间当日信用状况查询结果为准；□方式三：</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i/>
                <w:kern w:val="0"/>
                <w:sz w:val="21"/>
                <w:szCs w:val="21"/>
                <w:highlight w:val="none"/>
              </w:rPr>
              <w:t>[提示：不超过中标合同金额的10%。]</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lang w:val="en-US" w:eastAsia="zh-CN"/>
              </w:rPr>
              <w:t>4</w:t>
            </w:r>
            <w:r>
              <w:rPr>
                <w:rFonts w:hint="eastAsia" w:asciiTheme="minorEastAsia" w:hAnsiTheme="minorEastAsia" w:eastAsiaTheme="minorEastAsia" w:cstheme="minorEastAsia"/>
                <w:kern w:val="0"/>
                <w:sz w:val="21"/>
                <w:szCs w:val="21"/>
                <w:highlight w:val="none"/>
              </w:rPr>
              <w:t>）履约保证金的提交时间：见专用合同条款。</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lang w:val="en-US" w:eastAsia="zh-CN"/>
              </w:rPr>
              <w:t>5</w:t>
            </w:r>
            <w:r>
              <w:rPr>
                <w:rFonts w:hint="eastAsia" w:asciiTheme="minorEastAsia" w:hAnsiTheme="minorEastAsia" w:eastAsiaTheme="minorEastAsia" w:cstheme="minorEastAsia"/>
                <w:kern w:val="0"/>
                <w:sz w:val="21"/>
                <w:szCs w:val="21"/>
                <w:highlight w:val="none"/>
              </w:rPr>
              <w:t>）履约保证金的期限：见专用合同条款。</w:t>
            </w:r>
          </w:p>
          <w:p>
            <w:pPr>
              <w:keepNext w:val="0"/>
              <w:keepLines w:val="0"/>
              <w:pageBreakBefore w:val="0"/>
              <w:kinsoku/>
              <w:wordWrap/>
              <w:overflowPunct/>
              <w:topLinePunct w:val="0"/>
              <w:bidi w:val="0"/>
              <w:snapToGrid w:val="0"/>
              <w:spacing w:after="62" w:afterLines="2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lang w:val="en-US" w:eastAsia="zh-CN"/>
              </w:rPr>
              <w:t>6</w:t>
            </w:r>
            <w:r>
              <w:rPr>
                <w:rFonts w:hint="eastAsia" w:asciiTheme="minorEastAsia" w:hAnsiTheme="minorEastAsia" w:eastAsiaTheme="minorEastAsia" w:cstheme="minorEastAsia"/>
                <w:kern w:val="0"/>
                <w:sz w:val="21"/>
                <w:szCs w:val="21"/>
                <w:highlight w:val="none"/>
              </w:rPr>
              <w:t>）履约保证金的退还时间：见专用合同条款。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7.7</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签订合同</w:t>
            </w:r>
          </w:p>
        </w:tc>
        <w:tc>
          <w:tcPr>
            <w:tcW w:w="6308" w:type="dxa"/>
            <w:vAlign w:val="center"/>
          </w:tcPr>
          <w:p>
            <w:pPr>
              <w:keepNext w:val="0"/>
              <w:keepLines w:val="0"/>
              <w:pageBreakBefore w:val="0"/>
              <w:kinsoku/>
              <w:wordWrap/>
              <w:overflowPunct/>
              <w:topLinePunct w:val="0"/>
              <w:bidi w:val="0"/>
              <w:snapToGrid w:val="0"/>
              <w:spacing w:after="62" w:afterLines="2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依法必须进行招标的项目，中标候选人有《</w:t>
            </w:r>
            <w:r>
              <w:rPr>
                <w:rFonts w:hint="eastAsia" w:asciiTheme="minorEastAsia" w:hAnsiTheme="minorEastAsia" w:eastAsiaTheme="minorEastAsia" w:cstheme="minorEastAsia"/>
                <w:kern w:val="0"/>
                <w:sz w:val="21"/>
                <w:szCs w:val="21"/>
                <w:highlight w:val="none"/>
                <w:lang w:val="en-US" w:eastAsia="zh-CN"/>
              </w:rPr>
              <w:t>中华人民共和国</w:t>
            </w:r>
            <w:r>
              <w:rPr>
                <w:rFonts w:hint="eastAsia" w:asciiTheme="minorEastAsia" w:hAnsiTheme="minorEastAsia" w:eastAsiaTheme="minorEastAsia" w:cstheme="minorEastAsia"/>
                <w:kern w:val="0"/>
                <w:sz w:val="21"/>
                <w:szCs w:val="21"/>
                <w:highlight w:val="none"/>
              </w:rPr>
              <w:t>招标投标法实施条例》第七十四条规定行为的，视为特别严重信用不良行为且情节特别严重，按信用记分上限一次性记12分，纳入黑名单管理；中标人有《</w:t>
            </w:r>
            <w:r>
              <w:rPr>
                <w:rFonts w:hint="eastAsia" w:asciiTheme="minorEastAsia" w:hAnsiTheme="minorEastAsia" w:eastAsiaTheme="minorEastAsia" w:cstheme="minorEastAsia"/>
                <w:kern w:val="0"/>
                <w:sz w:val="21"/>
                <w:szCs w:val="21"/>
                <w:highlight w:val="none"/>
                <w:lang w:val="en-US" w:eastAsia="zh-CN"/>
              </w:rPr>
              <w:t>中华人民共和国</w:t>
            </w:r>
            <w:r>
              <w:rPr>
                <w:rFonts w:hint="eastAsia" w:asciiTheme="minorEastAsia" w:hAnsiTheme="minorEastAsia" w:eastAsiaTheme="minorEastAsia" w:cstheme="minorEastAsia"/>
                <w:kern w:val="0"/>
                <w:sz w:val="21"/>
                <w:szCs w:val="21"/>
                <w:highlight w:val="none"/>
              </w:rPr>
              <w:t>招标投标法实施条例》第七十四条规定行为的，按中标项目金额10‰罚款上限予以行政处罚，按信用记分上限一次性并处记12分，纳入黑名单管理。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8.1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重新招标的情形</w:t>
            </w:r>
          </w:p>
        </w:tc>
        <w:tc>
          <w:tcPr>
            <w:tcW w:w="6308" w:type="dxa"/>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1.按投标人须知第8.1（1）执行；</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2.按投标人须知第8.1（2）执行；</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napToGrid w:val="0"/>
                <w:kern w:val="0"/>
                <w:sz w:val="21"/>
                <w:szCs w:val="21"/>
                <w:highlight w:val="none"/>
              </w:rPr>
              <w:t>3.</w:t>
            </w:r>
            <w:r>
              <w:rPr>
                <w:rFonts w:hint="eastAsia" w:asciiTheme="minorEastAsia" w:hAnsiTheme="minorEastAsia" w:eastAsiaTheme="minorEastAsia" w:cstheme="minorEastAsia"/>
                <w:kern w:val="0"/>
                <w:sz w:val="21"/>
                <w:szCs w:val="21"/>
                <w:highlight w:val="none"/>
              </w:rPr>
              <w:t>按投标人须知第8.1（3）执行；</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napToGrid w:val="0"/>
                <w:kern w:val="0"/>
                <w:sz w:val="21"/>
                <w:szCs w:val="21"/>
                <w:highlight w:val="none"/>
              </w:rPr>
              <w:t>4.</w:t>
            </w:r>
            <w:r>
              <w:rPr>
                <w:rFonts w:hint="eastAsia" w:asciiTheme="minorEastAsia" w:hAnsiTheme="minorEastAsia" w:eastAsiaTheme="minorEastAsia" w:cstheme="minorEastAsia"/>
                <w:kern w:val="0"/>
                <w:sz w:val="21"/>
                <w:szCs w:val="21"/>
                <w:highlight w:val="none"/>
              </w:rPr>
              <w:t>按投标人须知第8.1（4）执行；</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napToGrid w:val="0"/>
                <w:kern w:val="0"/>
                <w:sz w:val="21"/>
                <w:szCs w:val="21"/>
                <w:highlight w:val="none"/>
                <w:lang w:val="en"/>
              </w:rPr>
              <w:t>注：本款只适用于首次招标。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8.2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sz w:val="21"/>
                <w:szCs w:val="21"/>
                <w:highlight w:val="none"/>
              </w:rPr>
            </w:pPr>
            <w:bookmarkStart w:id="242" w:name="_Toc536628250"/>
            <w:bookmarkStart w:id="243" w:name="_Toc16930431"/>
            <w:bookmarkStart w:id="244" w:name="_Toc430530434"/>
            <w:bookmarkStart w:id="245" w:name="_Toc509218709"/>
            <w:bookmarkStart w:id="246" w:name="_Toc13210670"/>
            <w:r>
              <w:rPr>
                <w:rFonts w:hint="eastAsia" w:asciiTheme="minorEastAsia" w:hAnsiTheme="minorEastAsia" w:eastAsiaTheme="minorEastAsia" w:cstheme="minorEastAsia"/>
                <w:kern w:val="0"/>
                <w:sz w:val="21"/>
                <w:szCs w:val="21"/>
                <w:highlight w:val="none"/>
              </w:rPr>
              <w:t>重新招标和不再招标</w:t>
            </w:r>
            <w:bookmarkEnd w:id="242"/>
            <w:bookmarkEnd w:id="243"/>
            <w:bookmarkEnd w:id="244"/>
            <w:bookmarkEnd w:id="245"/>
            <w:bookmarkEnd w:id="246"/>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after="62" w:afterLines="20" w:line="400" w:lineRule="exact"/>
              <w:ind w:firstLine="420" w:firstLineChars="200"/>
              <w:textAlignment w:val="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备案手续的依法必须进行招标的项目，应当报原项目投资主管部门审批、核准、备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10</w:t>
            </w:r>
          </w:p>
        </w:tc>
        <w:tc>
          <w:tcPr>
            <w:tcW w:w="7952" w:type="dxa"/>
            <w:gridSpan w:val="2"/>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需要补充的其他内容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lang w:eastAsia="zh-CN"/>
              </w:rPr>
            </w:pPr>
            <w:r>
              <w:rPr>
                <w:rFonts w:hint="eastAsia" w:asciiTheme="minorEastAsia" w:hAnsiTheme="minorEastAsia" w:eastAsiaTheme="minorEastAsia" w:cstheme="minorEastAsia"/>
                <w:kern w:val="0"/>
                <w:sz w:val="21"/>
                <w:szCs w:val="21"/>
                <w:highlight w:val="none"/>
              </w:rPr>
              <w:t>10.</w:t>
            </w:r>
            <w:r>
              <w:rPr>
                <w:rFonts w:hint="eastAsia" w:asciiTheme="minorEastAsia" w:hAnsiTheme="minorEastAsia" w:eastAsiaTheme="minorEastAsia" w:cstheme="minorEastAsia"/>
                <w:kern w:val="0"/>
                <w:sz w:val="21"/>
                <w:szCs w:val="21"/>
                <w:highlight w:val="none"/>
                <w:lang w:val="en-US" w:eastAsia="zh-CN"/>
              </w:rPr>
              <w:t>1</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异议、投诉处理</w:t>
            </w:r>
          </w:p>
        </w:tc>
        <w:tc>
          <w:tcPr>
            <w:tcW w:w="6308" w:type="dxa"/>
            <w:vAlign w:val="center"/>
          </w:tcPr>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 投标人或者其他利害关系人就本项目的招标文件（含澄清修改）、开标情况、评标结果等事项提出投诉的，应当先向招标人提出异议；招标人应当在规定时间内答复；对招标人的答复不满意，可向行政监督部门投诉。</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提出异议或投诉时应当包括下列内容：</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（1）异议</w:t>
            </w:r>
            <w:r>
              <w:rPr>
                <w:rFonts w:hint="eastAsia" w:asciiTheme="minorEastAsia" w:hAnsiTheme="minorEastAsia" w:eastAsiaTheme="minorEastAsia" w:cstheme="minorEastAsia"/>
                <w:kern w:val="0"/>
                <w:sz w:val="21"/>
                <w:szCs w:val="21"/>
                <w:highlight w:val="none"/>
                <w:lang w:val="en-US" w:eastAsia="zh-CN"/>
              </w:rPr>
              <w:t>人</w:t>
            </w:r>
            <w:r>
              <w:rPr>
                <w:rFonts w:hint="eastAsia" w:asciiTheme="minorEastAsia" w:hAnsiTheme="minorEastAsia" w:eastAsiaTheme="minorEastAsia" w:cstheme="minorEastAsia"/>
                <w:kern w:val="0"/>
                <w:sz w:val="21"/>
                <w:szCs w:val="21"/>
                <w:highlight w:val="none"/>
              </w:rPr>
              <w:t>或投诉人的</w:t>
            </w:r>
            <w:r>
              <w:rPr>
                <w:rFonts w:hint="eastAsia" w:asciiTheme="minorEastAsia" w:hAnsiTheme="minorEastAsia" w:eastAsiaTheme="minorEastAsia" w:cstheme="minorEastAsia"/>
                <w:kern w:val="0"/>
                <w:sz w:val="21"/>
                <w:szCs w:val="21"/>
                <w:highlight w:val="none"/>
                <w:lang w:val="en-US" w:eastAsia="zh-CN"/>
              </w:rPr>
              <w:t>姓名/</w:t>
            </w:r>
            <w:r>
              <w:rPr>
                <w:rFonts w:hint="eastAsia" w:asciiTheme="minorEastAsia" w:hAnsiTheme="minorEastAsia" w:eastAsiaTheme="minorEastAsia" w:cstheme="minorEastAsia"/>
                <w:kern w:val="0"/>
                <w:sz w:val="21"/>
                <w:szCs w:val="21"/>
                <w:highlight w:val="none"/>
              </w:rPr>
              <w:t>名称、地址及有效联系方式；</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（2）被异议</w:t>
            </w:r>
            <w:r>
              <w:rPr>
                <w:rFonts w:hint="eastAsia" w:asciiTheme="minorEastAsia" w:hAnsiTheme="minorEastAsia" w:eastAsiaTheme="minorEastAsia" w:cstheme="minorEastAsia"/>
                <w:kern w:val="0"/>
                <w:sz w:val="21"/>
                <w:szCs w:val="21"/>
                <w:highlight w:val="none"/>
                <w:lang w:val="en-US" w:eastAsia="zh-CN"/>
              </w:rPr>
              <w:t>人</w:t>
            </w:r>
            <w:r>
              <w:rPr>
                <w:rFonts w:hint="eastAsia" w:asciiTheme="minorEastAsia" w:hAnsiTheme="minorEastAsia" w:eastAsiaTheme="minorEastAsia" w:cstheme="minorEastAsia"/>
                <w:kern w:val="0"/>
                <w:sz w:val="21"/>
                <w:szCs w:val="21"/>
                <w:highlight w:val="none"/>
              </w:rPr>
              <w:t>或</w:t>
            </w:r>
            <w:r>
              <w:rPr>
                <w:rFonts w:hint="eastAsia" w:asciiTheme="minorEastAsia" w:hAnsiTheme="minorEastAsia" w:eastAsiaTheme="minorEastAsia" w:cstheme="minorEastAsia"/>
                <w:kern w:val="0"/>
                <w:sz w:val="21"/>
                <w:szCs w:val="21"/>
                <w:highlight w:val="none"/>
                <w:lang w:val="en-US" w:eastAsia="zh-CN"/>
              </w:rPr>
              <w:t>被</w:t>
            </w:r>
            <w:r>
              <w:rPr>
                <w:rFonts w:hint="eastAsia" w:asciiTheme="minorEastAsia" w:hAnsiTheme="minorEastAsia" w:eastAsiaTheme="minorEastAsia" w:cstheme="minorEastAsia"/>
                <w:kern w:val="0"/>
                <w:sz w:val="21"/>
                <w:szCs w:val="21"/>
                <w:highlight w:val="none"/>
              </w:rPr>
              <w:t>投诉人的名称、地址及有效联系方式；</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（3）异议或投诉事项的基本事实；</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（4）请求及主张；</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（5）涉及事项的证据、证明材料。</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异议人或投诉人是法人的，异议书或投诉书必须由其法定代表人或者委托代理人签名并加盖单位</w:t>
            </w:r>
            <w:r>
              <w:rPr>
                <w:rFonts w:hint="eastAsia" w:asciiTheme="minorEastAsia" w:hAnsiTheme="minorEastAsia" w:eastAsiaTheme="minorEastAsia" w:cstheme="minorEastAsia"/>
                <w:kern w:val="0"/>
                <w:sz w:val="21"/>
                <w:szCs w:val="21"/>
                <w:highlight w:val="none"/>
                <w:lang w:val="en-US" w:eastAsia="zh-CN"/>
              </w:rPr>
              <w:t>法人</w:t>
            </w:r>
            <w:r>
              <w:rPr>
                <w:rFonts w:hint="eastAsia" w:asciiTheme="minorEastAsia" w:hAnsiTheme="minorEastAsia" w:eastAsiaTheme="minorEastAsia" w:cstheme="minorEastAsia"/>
                <w:kern w:val="0"/>
                <w:sz w:val="21"/>
                <w:szCs w:val="21"/>
                <w:highlight w:val="none"/>
              </w:rPr>
              <w:t>章；异议人或投诉人是其他组织或者自然人的，异议书或投诉书必须由其主要负责人签名或者异议人（或投诉人）本人签名，并附有效身份证明。如有关材料是外文，应当同时提供中文译本。</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 xml:space="preserve"> 2. 行政监督部门依照《中华人民共和国招标投标法》、《中华人民共和国招标投标法实施条例》、《重庆市招标投标条例》、《工程建设项目招标投标活动投诉处理办法》（七部委令第11号（根据九部门2013年第23号令修正））、《关于印发&lt;重庆市招标投标活动投诉处理实施细则（修订）&gt;的通知》（渝公管发〔2021〕54号）等法律法规文件处理投诉。</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 根据《重庆市工程建设领域招标投标信用管理暂行办法》的规定，投标人捏造事实、伪造材料，或者以非法手段获取证明材料进行质疑或者投诉的，将被列入黑名单管理；给他人造成损失的，依法承担赔偿责任。</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kern w:val="0"/>
                <w:sz w:val="21"/>
                <w:szCs w:val="21"/>
                <w:highlight w:val="none"/>
              </w:rPr>
              <w:t>异议受理单位：</w:t>
            </w:r>
          </w:p>
          <w:p>
            <w:pPr>
              <w:keepNext w:val="0"/>
              <w:keepLines w:val="0"/>
              <w:pageBreakBefore w:val="0"/>
              <w:kinsoku/>
              <w:wordWrap/>
              <w:overflowPunct/>
              <w:topLinePunct w:val="0"/>
              <w:bidi w:val="0"/>
              <w:snapToGrid w:val="0"/>
              <w:spacing w:line="400" w:lineRule="exact"/>
              <w:ind w:firstLine="420" w:firstLineChars="200"/>
              <w:textAlignment w:val="auto"/>
              <w:rPr>
                <w:rFonts w:hint="default"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联系电话：</w:t>
            </w:r>
            <w:r>
              <w:rPr>
                <w:rFonts w:hint="eastAsia" w:asciiTheme="minorEastAsia" w:hAnsiTheme="minorEastAsia" w:eastAsiaTheme="minorEastAsia" w:cstheme="minorEastAsia"/>
                <w:kern w:val="0"/>
                <w:sz w:val="21"/>
                <w:szCs w:val="21"/>
                <w:highlight w:val="none"/>
                <w:u w:val="single"/>
                <w:lang w:val="en-US" w:eastAsia="zh-CN"/>
              </w:rPr>
              <w:t xml:space="preserve">                        </w:t>
            </w:r>
          </w:p>
          <w:p>
            <w:pPr>
              <w:keepNext w:val="0"/>
              <w:keepLines w:val="0"/>
              <w:pageBreakBefore w:val="0"/>
              <w:kinsoku/>
              <w:wordWrap/>
              <w:overflowPunct/>
              <w:topLinePunct w:val="0"/>
              <w:bidi w:val="0"/>
              <w:snapToGrid w:val="0"/>
              <w:spacing w:line="400" w:lineRule="exact"/>
              <w:ind w:firstLine="420" w:firstLineChars="200"/>
              <w:textAlignment w:val="auto"/>
              <w:rPr>
                <w:rFonts w:hint="default"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投诉受理部门：</w:t>
            </w:r>
            <w:r>
              <w:rPr>
                <w:rFonts w:hint="eastAsia" w:asciiTheme="minorEastAsia" w:hAnsiTheme="minorEastAsia" w:eastAsiaTheme="minorEastAsia" w:cstheme="minorEastAsia"/>
                <w:kern w:val="0"/>
                <w:sz w:val="21"/>
                <w:szCs w:val="21"/>
                <w:highlight w:val="none"/>
                <w:u w:val="single"/>
                <w:lang w:val="en-US" w:eastAsia="zh-CN"/>
              </w:rPr>
              <w:t xml:space="preserve">                     </w:t>
            </w:r>
          </w:p>
          <w:p>
            <w:pPr>
              <w:keepNext w:val="0"/>
              <w:keepLines w:val="0"/>
              <w:pageBreakBefore w:val="0"/>
              <w:kinsoku/>
              <w:wordWrap/>
              <w:overflowPunct/>
              <w:topLinePunct w:val="0"/>
              <w:bidi w:val="0"/>
              <w:snapToGrid w:val="0"/>
              <w:spacing w:line="400" w:lineRule="exact"/>
              <w:ind w:firstLine="420" w:firstLineChars="200"/>
              <w:textAlignment w:val="auto"/>
              <w:rPr>
                <w:rFonts w:hint="default"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联系电话：</w:t>
            </w:r>
            <w:r>
              <w:rPr>
                <w:rFonts w:hint="eastAsia" w:asciiTheme="minorEastAsia" w:hAnsiTheme="minorEastAsia" w:eastAsiaTheme="minorEastAsia" w:cstheme="minorEastAsia"/>
                <w:kern w:val="0"/>
                <w:sz w:val="21"/>
                <w:szCs w:val="21"/>
                <w:highlight w:val="none"/>
                <w:u w:val="single"/>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lang w:eastAsia="zh-CN"/>
              </w:rPr>
            </w:pPr>
            <w:r>
              <w:rPr>
                <w:rFonts w:hint="eastAsia" w:asciiTheme="minorEastAsia" w:hAnsiTheme="minorEastAsia" w:eastAsiaTheme="minorEastAsia" w:cstheme="minorEastAsia"/>
                <w:kern w:val="0"/>
                <w:sz w:val="21"/>
                <w:szCs w:val="21"/>
                <w:highlight w:val="none"/>
              </w:rPr>
              <w:t>10.</w:t>
            </w:r>
            <w:r>
              <w:rPr>
                <w:rFonts w:hint="eastAsia" w:asciiTheme="minorEastAsia" w:hAnsiTheme="minorEastAsia" w:eastAsiaTheme="minorEastAsia" w:cstheme="minorEastAsia"/>
                <w:kern w:val="0"/>
                <w:sz w:val="21"/>
                <w:szCs w:val="21"/>
                <w:highlight w:val="none"/>
                <w:lang w:val="en-US" w:eastAsia="zh-CN"/>
              </w:rPr>
              <w:t>2</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低价风险担保（仅适用于采用经评审的最低投标价法的项目）</w:t>
            </w: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i/>
                <w:kern w:val="0"/>
                <w:sz w:val="21"/>
                <w:szCs w:val="21"/>
                <w:highlight w:val="none"/>
              </w:rPr>
              <w:t>[提示：采用经评审的最低投标价法的招标项目，招标人应当在招标文件中要求中标人（或拟中标人）提交低价风险担保，并明确担保方式和扣减担保金额的情形。低价风险担保提交标准为最高限价的85%与中标价格差额的1-3倍(即低价风险担保差额倍数），且最高不超过最高限价的85%。担保方式可以采用现金、银行保函、现金与银行保函组合形式，任何单位或个人不得只限定其中一种方式提交低价风险担保。对采用现金缴纳低价风险担保的，招标人应允许中标人（或拟中标人）在合同履行期间用符合要求的银行保函进行置换。</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i/>
                <w:kern w:val="0"/>
                <w:sz w:val="21"/>
                <w:szCs w:val="21"/>
                <w:highlight w:val="none"/>
              </w:rPr>
              <w:t>招标人在发出中标通知书之前(或同时)，应当将拟中标人提交低价风险担保的书面通知送达拟中标人。书面通知中应明确提交金额，提交截止时间，其中提交低价风险担保期限的起始时间从中标通知书送达拟中标人开始计算。招标人应当充分考虑拟中标人低价风险担保提交、手续办理时间等因素，从招标人中标通知书送达拟中标人之日起到拟中标人将低价风险担保提交送达至招标人之日止，原则上不得少于10个工作日。中标通知书发出后，中标人拒不提交或者在约定期限内未按要求提交低价风险担保的，招标人应当撤销中标通知书，并在约定的低价风险担保送达截止之日起3个工作日内将处理结果书面告知中标人。确实属于可以延长提交期限的特殊情形的，经招标人同意，可适当延长低价风险担保的提交期限。]</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1．低价风险担保：中标价低于最高限价的85%时提供，如不按时足额提供，视为中标人放弃中标，招标人有权不退还其投标保证金，</w:t>
            </w:r>
            <w:r>
              <w:rPr>
                <w:rFonts w:hint="eastAsia" w:asciiTheme="minorEastAsia" w:hAnsiTheme="minorEastAsia" w:eastAsiaTheme="minorEastAsia" w:cstheme="minorEastAsia"/>
                <w:sz w:val="21"/>
                <w:szCs w:val="21"/>
                <w:highlight w:val="none"/>
              </w:rPr>
              <w:t>并报招标投标行政监督部门按照信用管理办法的规定处理，对中标人的不良行为直接记12分，纳入重点关注名单。若投标人为联合体，由联合体牵头人提交低价风险担保</w:t>
            </w:r>
            <w:r>
              <w:rPr>
                <w:rFonts w:hint="eastAsia" w:asciiTheme="minorEastAsia" w:hAnsiTheme="minorEastAsia" w:eastAsiaTheme="minorEastAsia" w:cstheme="minorEastAsia"/>
                <w:kern w:val="0"/>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2．中标人提供低价风险担保的形式、金额及期限：</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（1）低价风险担保的形式：现金或银行保函或现金+银行保函的组合；采用银行保函形式的，保函必须为不可撤销、不可转让的见索即付独立保函，</w:t>
            </w:r>
            <w:r>
              <w:rPr>
                <w:rFonts w:hint="eastAsia" w:asciiTheme="minorEastAsia" w:hAnsiTheme="minorEastAsia" w:eastAsiaTheme="minorEastAsia" w:cstheme="minorEastAsia"/>
                <w:sz w:val="21"/>
                <w:szCs w:val="21"/>
                <w:highlight w:val="none"/>
              </w:rPr>
              <w:t>保函</w:t>
            </w:r>
            <w:r>
              <w:rPr>
                <w:rFonts w:hint="eastAsia" w:asciiTheme="minorEastAsia" w:hAnsiTheme="minorEastAsia" w:eastAsiaTheme="minorEastAsia" w:cstheme="minorEastAsia"/>
                <w:kern w:val="0"/>
                <w:sz w:val="21"/>
                <w:szCs w:val="21"/>
                <w:highlight w:val="none"/>
              </w:rPr>
              <w:t>格式详见第四章合同条款及格式附件，中标人出具银行保函时，不得修改“低价风险担保保函”名称，不得对低价风险担保函支付条件等实质性内容进行修改，</w:t>
            </w:r>
            <w:r>
              <w:rPr>
                <w:rFonts w:hint="eastAsia" w:asciiTheme="minorEastAsia" w:hAnsiTheme="minorEastAsia" w:eastAsiaTheme="minorEastAsia" w:cstheme="minorEastAsia"/>
                <w:sz w:val="21"/>
                <w:szCs w:val="21"/>
                <w:highlight w:val="none"/>
              </w:rPr>
              <w:t>也不得对低价风险担保保函示范文本中付款条件等实质性内容进行修改，否则视为不符合招标文件规定</w:t>
            </w:r>
            <w:r>
              <w:rPr>
                <w:rFonts w:hint="eastAsia" w:asciiTheme="minorEastAsia" w:hAnsiTheme="minorEastAsia" w:eastAsiaTheme="minorEastAsia" w:cstheme="minorEastAsia"/>
                <w:kern w:val="0"/>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（2）低价风险担保的金额：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（最高限价×85%-中标价）×□1□2□3，且最高不超过最高限价的85%；红名单中的中标人低价风险担保金额为应提交金额的</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50%～80%）；联合体中标的，须联合体牵头人在红名单中。中标人是否属于红名单□方式一：以开标环节信用状况查询结果为准；□方式二：以低价风险担保书面通知书落款时间当日信用状况查询结果为准；□方式三：</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i/>
                <w:iCs/>
                <w:kern w:val="0"/>
                <w:sz w:val="21"/>
                <w:szCs w:val="21"/>
                <w:highlight w:val="none"/>
              </w:rPr>
            </w:pPr>
            <w:r>
              <w:rPr>
                <w:rFonts w:hint="eastAsia" w:asciiTheme="minorEastAsia" w:hAnsiTheme="minorEastAsia" w:eastAsiaTheme="minorEastAsia" w:cstheme="minorEastAsia"/>
                <w:i/>
                <w:iCs/>
                <w:kern w:val="0"/>
                <w:sz w:val="21"/>
                <w:szCs w:val="21"/>
                <w:highlight w:val="none"/>
              </w:rPr>
              <w:t>[提示：招标项目最高限价超过10亿元（含）的，低价风险担保差额倍数设置为1倍；招标项目最高限价在1亿元（含）至10亿元（不含）之间的，低价风险担保差额倍数设置为1-2倍；招标项目最高限价低于1亿元（不含）的，低价风险担保差额倍数设置为1-3倍。]</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（3）低价风险担保送达招标人的时间：从招标人中标通知书送达拟中标人之日起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工作日内；</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中标人因自身原因未按中标通知书规定的时限与招标人签订合同的，其以现金形式提交低价风险担保的，招标人有权扣除其低价风险担保金并取消其中标资格；以保函形式提交低价风险担保的，招标人有权要求保函开立人支付保函担保的与低价风险担保金额等额的款项并取消中标人中标资格；中标人因自身原因未按中标通知书规定的时限与招标人签订合同，且未提交低价风险担保金或低价风险保函的，招标人有权要求中标人承担低价风险担保金等额的损失并取消中标人资格。</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（5）低价风险担保的期限：见专用合同条款。</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3．低价风险担保的退还时间：见专用合同条款。</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采用经评审最低投标价法的项目，拟中标人或者中标人放弃中标项目，无正当理由不与招标人签订合同，在签订合同时向招标人提出附加条件或者更改合同实质性内容，或者拒不按照招标文件规定提交低价风险担保或履约担保的，取消其中标资格，投标保证金以现金形式交纳的不予退还，以保函形式递交的由保函开立人支付保函担保的与投标保证金等额的款项，给招标人造成的损失超过投标保证金数额的，拟中标人或中标人应对超过部分予以赔偿。</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注：当中标人或拟中标人未按时提交低价风险担保，且属于可以延长低价风险担保提交期限的特殊情形时，经招标人同意，可适当延长低价风险担保的提交期限。</w:t>
            </w:r>
          </w:p>
          <w:p>
            <w:pPr>
              <w:keepNext w:val="0"/>
              <w:keepLines w:val="0"/>
              <w:pageBreakBefore w:val="0"/>
              <w:widowControl/>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kern w:val="2"/>
                <w:sz w:val="21"/>
                <w:szCs w:val="21"/>
                <w:highlight w:val="none"/>
              </w:rPr>
              <w:t>5、投标总报价低于最高限价85%的，投标人应在编制投标文件时，在投标函部分中递交低价风险担保</w:t>
            </w:r>
            <w:r>
              <w:rPr>
                <w:rFonts w:hint="eastAsia" w:asciiTheme="minorEastAsia" w:hAnsiTheme="minorEastAsia" w:eastAsiaTheme="minorEastAsia" w:cstheme="minorEastAsia"/>
                <w:sz w:val="21"/>
                <w:szCs w:val="21"/>
                <w:highlight w:val="none"/>
              </w:rPr>
              <w:t>提交</w:t>
            </w:r>
            <w:r>
              <w:rPr>
                <w:rFonts w:hint="eastAsia" w:asciiTheme="minorEastAsia" w:hAnsiTheme="minorEastAsia" w:eastAsiaTheme="minorEastAsia" w:cstheme="minorEastAsia"/>
                <w:kern w:val="2"/>
                <w:sz w:val="21"/>
                <w:szCs w:val="21"/>
                <w:highlight w:val="none"/>
              </w:rPr>
              <w:t>承诺书。承诺书格式详见第</w:t>
            </w:r>
            <w:r>
              <w:rPr>
                <w:rFonts w:hint="eastAsia" w:asciiTheme="minorEastAsia" w:hAnsiTheme="minorEastAsia" w:eastAsiaTheme="minorEastAsia" w:cstheme="minorEastAsia"/>
                <w:sz w:val="21"/>
                <w:szCs w:val="21"/>
                <w:highlight w:val="none"/>
              </w:rPr>
              <w:t>六</w:t>
            </w:r>
            <w:r>
              <w:rPr>
                <w:rFonts w:hint="eastAsia" w:asciiTheme="minorEastAsia" w:hAnsiTheme="minorEastAsia" w:eastAsiaTheme="minorEastAsia" w:cstheme="minorEastAsia"/>
                <w:kern w:val="2"/>
                <w:sz w:val="21"/>
                <w:szCs w:val="21"/>
                <w:highlight w:val="none"/>
              </w:rPr>
              <w:t>章投标文件格式。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lang w:eastAsia="zh-CN"/>
              </w:rPr>
            </w:pPr>
            <w:r>
              <w:rPr>
                <w:rFonts w:hint="eastAsia" w:asciiTheme="minorEastAsia" w:hAnsiTheme="minorEastAsia" w:eastAsiaTheme="minorEastAsia" w:cstheme="minorEastAsia"/>
                <w:kern w:val="0"/>
                <w:sz w:val="21"/>
                <w:szCs w:val="21"/>
                <w:highlight w:val="none"/>
              </w:rPr>
              <w:t>10.</w:t>
            </w:r>
            <w:r>
              <w:rPr>
                <w:rFonts w:hint="eastAsia" w:asciiTheme="minorEastAsia" w:hAnsiTheme="minorEastAsia" w:eastAsiaTheme="minorEastAsia" w:cstheme="minorEastAsia"/>
                <w:kern w:val="0"/>
                <w:sz w:val="21"/>
                <w:szCs w:val="21"/>
                <w:highlight w:val="none"/>
                <w:lang w:val="en-US" w:eastAsia="zh-CN"/>
              </w:rPr>
              <w:t>3</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关于对招标文件及投标争议的解释</w:t>
            </w: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对资格预审文件或者招标文件的评标标准和方法，以及资格审查和否决投标条款理解有争议的，应当作出不利于招标人的解释，但违背国家利益、社会公共利益的除外。</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对投标文件理解有争议的，应当作出不利于提交该投标文件的投标人的解释。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lang w:eastAsia="zh-CN"/>
              </w:rPr>
            </w:pPr>
            <w:r>
              <w:rPr>
                <w:rFonts w:hint="eastAsia" w:asciiTheme="minorEastAsia" w:hAnsiTheme="minorEastAsia" w:eastAsiaTheme="minorEastAsia" w:cstheme="minorEastAsia"/>
                <w:kern w:val="0"/>
                <w:sz w:val="21"/>
                <w:szCs w:val="21"/>
                <w:highlight w:val="none"/>
              </w:rPr>
              <w:t>10.</w:t>
            </w:r>
            <w:r>
              <w:rPr>
                <w:rFonts w:hint="eastAsia" w:asciiTheme="minorEastAsia" w:hAnsiTheme="minorEastAsia" w:eastAsiaTheme="minorEastAsia" w:cstheme="minorEastAsia"/>
                <w:kern w:val="0"/>
                <w:sz w:val="21"/>
                <w:szCs w:val="21"/>
                <w:highlight w:val="none"/>
                <w:lang w:val="en-US" w:eastAsia="zh-CN"/>
              </w:rPr>
              <w:t>4</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投标人注意事项</w:t>
            </w: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rPr>
            </w:pPr>
            <w:r>
              <w:rPr>
                <w:rFonts w:hint="eastAsia"/>
              </w:rPr>
              <w:t>1. 本次投标采用全流程电子开评标模式，第一次参与投标的单位务必在重庆市公共资源交易网（www.cqggzy.com）完成市场主体信息登记以及 CA 数字证书办理，并且下载新点投标文件制作软件（重庆版）制作投标文件。</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rPr>
            </w:pPr>
            <w:r>
              <w:rPr>
                <w:rFonts w:hint="eastAsia"/>
              </w:rPr>
              <w:t>2. 制作投标文件需要使用CA 数字证书加密，并且加盖电子印章，CA 数字证书购买及办理方式请参见重庆市公共资源交易网（www.cqggzy.com）导航栏“主体信息”页面中“市场主体信息登记”“CA数字证书办理”。</w:t>
            </w:r>
          </w:p>
          <w:p>
            <w:pPr>
              <w:keepNext w:val="0"/>
              <w:keepLines w:val="0"/>
              <w:pageBreakBefore w:val="0"/>
              <w:kinsoku/>
              <w:wordWrap/>
              <w:overflowPunct/>
              <w:topLinePunct w:val="0"/>
              <w:bidi w:val="0"/>
              <w:spacing w:line="400" w:lineRule="exact"/>
              <w:ind w:firstLine="420" w:firstLineChars="200"/>
              <w:textAlignment w:val="auto"/>
              <w:rPr>
                <w:rFonts w:hint="eastAsia"/>
              </w:rPr>
            </w:pPr>
            <w:r>
              <w:rPr>
                <w:rFonts w:hint="eastAsia"/>
              </w:rPr>
              <w:t>3.投标人应当在投标截止时间前，通过互联网使用CA数字证书登录重庆市电子招投标系统，将加密的电子投标文件上传，未按规定加密将无法上传。投标人应充分考虑上传文件时的不可预见因素，逾期未完成上传投标文件的，视为撤回投标文件。</w:t>
            </w:r>
          </w:p>
          <w:p>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rPr>
            </w:pPr>
            <w:r>
              <w:rPr>
                <w:rFonts w:hint="eastAsia"/>
              </w:rPr>
              <w:t>4.</w:t>
            </w:r>
            <w:r>
              <w:rPr>
                <w:rFonts w:hint="eastAsia"/>
                <w:lang w:val="en-US" w:eastAsia="zh-CN"/>
              </w:rPr>
              <w:t xml:space="preserve"> </w:t>
            </w:r>
            <w:r>
              <w:rPr>
                <w:rFonts w:hint="eastAsia"/>
              </w:rPr>
              <w:t>开标活动由招标人主持，邀请所有投标人参加。投标人未在开标现场提出异议，或者不见面开标系统未收到投标人异议的（采用不见面开标方式时适用），视为投标人默认开标结果。</w:t>
            </w:r>
          </w:p>
          <w:p>
            <w:pPr>
              <w:keepNext w:val="0"/>
              <w:keepLines w:val="0"/>
              <w:pageBreakBefore w:val="0"/>
              <w:suppressLineNumbers w:val="0"/>
              <w:suppressAutoHyphens w:val="0"/>
              <w:kinsoku/>
              <w:wordWrap/>
              <w:overflowPunct/>
              <w:topLinePunct w:val="0"/>
              <w:autoSpaceDE w:val="0"/>
              <w:autoSpaceDN w:val="0"/>
              <w:bidi w:val="0"/>
              <w:adjustRightInd w:val="0"/>
              <w:snapToGrid w:val="0"/>
              <w:spacing w:line="400" w:lineRule="exact"/>
              <w:ind w:firstLine="420" w:firstLineChars="200"/>
              <w:textAlignment w:val="auto"/>
              <w:rPr>
                <w:rFonts w:hint="eastAsia"/>
              </w:rPr>
            </w:pPr>
            <w:r>
              <w:rPr>
                <w:rFonts w:hint="eastAsia"/>
                <w:lang w:val="en-US" w:eastAsia="zh-CN"/>
              </w:rPr>
              <w:t>5</w:t>
            </w:r>
            <w:r>
              <w:rPr>
                <w:rFonts w:hint="eastAsia"/>
              </w:rPr>
              <w:t>. 投标人应按时解密，在评标结束前应在线或在现场关注项目进展情况，确保通讯联系正常。如评标委员会要求投标人澄清的，投标人应确保及时回复，否则视为拒绝按评标委员会要求澄清、说明或补正。</w:t>
            </w:r>
          </w:p>
          <w:p>
            <w:pPr>
              <w:suppressAutoHyphens w:val="0"/>
              <w:autoSpaceDE w:val="0"/>
              <w:autoSpaceDN w:val="0"/>
              <w:adjustRightInd w:val="0"/>
              <w:snapToGrid w:val="0"/>
              <w:spacing w:line="400" w:lineRule="exact"/>
              <w:ind w:firstLine="420" w:firstLineChars="200"/>
              <w:rPr>
                <w:rFonts w:hint="eastAsia" w:ascii="Times New Roman" w:hAnsi="Times New Roman" w:eastAsia="宋体" w:cs="Times New Roman"/>
              </w:rPr>
            </w:pPr>
            <w:r>
              <w:rPr>
                <w:rFonts w:hint="eastAsia" w:ascii="Times New Roman" w:hAnsi="Times New Roman" w:eastAsia="宋体" w:cs="Times New Roman"/>
              </w:rPr>
              <w:t>6. 电子投标文件编制要求</w:t>
            </w:r>
          </w:p>
          <w:p>
            <w:pPr>
              <w:suppressAutoHyphens w:val="0"/>
              <w:autoSpaceDE w:val="0"/>
              <w:autoSpaceDN w:val="0"/>
              <w:adjustRightInd w:val="0"/>
              <w:snapToGrid w:val="0"/>
              <w:spacing w:line="400" w:lineRule="exact"/>
              <w:ind w:firstLine="420" w:firstLineChars="200"/>
              <w:rPr>
                <w:rFonts w:hint="eastAsia" w:ascii="Times New Roman" w:hAnsi="Times New Roman" w:eastAsia="宋体" w:cs="Times New Roman"/>
              </w:rPr>
            </w:pPr>
            <w:r>
              <w:rPr>
                <w:rFonts w:hint="eastAsia" w:ascii="Times New Roman" w:hAnsi="Times New Roman" w:eastAsia="宋体" w:cs="Times New Roman"/>
              </w:rPr>
              <w:t>（1）电子投标文件由投标人使用专用的“新点投标文件制作软件（重庆版）”制作生成。</w:t>
            </w:r>
          </w:p>
          <w:p>
            <w:pPr>
              <w:suppressAutoHyphens w:val="0"/>
              <w:autoSpaceDE w:val="0"/>
              <w:autoSpaceDN w:val="0"/>
              <w:adjustRightInd w:val="0"/>
              <w:snapToGrid w:val="0"/>
              <w:spacing w:line="400" w:lineRule="exact"/>
              <w:ind w:firstLine="420" w:firstLineChars="200"/>
              <w:rPr>
                <w:rFonts w:hint="eastAsia" w:ascii="Times New Roman" w:hAnsi="Times New Roman" w:eastAsia="宋体" w:cs="Times New Roman"/>
              </w:rPr>
            </w:pPr>
            <w:r>
              <w:rPr>
                <w:rFonts w:hint="eastAsia" w:ascii="Times New Roman" w:hAnsi="Times New Roman" w:eastAsia="宋体" w:cs="Times New Roman"/>
              </w:rPr>
              <w:t>（2）投标人在编制电子投标文件时应当建立分级目录，并按照标签提示导入相关内容。</w:t>
            </w:r>
          </w:p>
          <w:p>
            <w:pPr>
              <w:suppressAutoHyphens w:val="0"/>
              <w:autoSpaceDE w:val="0"/>
              <w:autoSpaceDN w:val="0"/>
              <w:adjustRightInd w:val="0"/>
              <w:snapToGrid w:val="0"/>
              <w:spacing w:line="400" w:lineRule="exact"/>
              <w:ind w:firstLine="420" w:firstLineChars="200"/>
              <w:rPr>
                <w:rFonts w:hint="eastAsia" w:ascii="Times New Roman" w:hAnsi="Times New Roman" w:eastAsia="宋体" w:cs="Times New Roman"/>
              </w:rPr>
            </w:pPr>
            <w:r>
              <w:rPr>
                <w:rFonts w:hint="eastAsia" w:ascii="Times New Roman" w:hAnsi="Times New Roman" w:eastAsia="宋体" w:cs="Times New Roman"/>
              </w:rPr>
              <w:t>（3）按本章前附表第3.7.3项签名盖章要求进行投标文件的签署。</w:t>
            </w:r>
          </w:p>
          <w:p>
            <w:pPr>
              <w:suppressAutoHyphens w:val="0"/>
              <w:autoSpaceDE w:val="0"/>
              <w:autoSpaceDN w:val="0"/>
              <w:adjustRightInd w:val="0"/>
              <w:snapToGrid w:val="0"/>
              <w:spacing w:line="400" w:lineRule="exact"/>
              <w:ind w:firstLine="420" w:firstLineChars="200"/>
              <w:rPr>
                <w:rFonts w:hint="eastAsia" w:ascii="Times New Roman" w:hAnsi="Times New Roman" w:eastAsia="宋体" w:cs="Times New Roman"/>
              </w:rPr>
            </w:pPr>
            <w:r>
              <w:rPr>
                <w:rFonts w:hint="eastAsia" w:ascii="Times New Roman" w:hAnsi="Times New Roman" w:eastAsia="宋体" w:cs="Times New Roman"/>
              </w:rPr>
              <w:t>（4）电子投标文件制作完成后，将生成一份加密的电子投标文件（后缀名为. CQTF）和一份不加密的电子投标文件（后缀名为. nCQTF）。</w:t>
            </w:r>
          </w:p>
          <w:p>
            <w:pPr>
              <w:suppressAutoHyphens w:val="0"/>
              <w:autoSpaceDE w:val="0"/>
              <w:autoSpaceDN w:val="0"/>
              <w:adjustRightInd w:val="0"/>
              <w:snapToGrid w:val="0"/>
              <w:spacing w:line="400" w:lineRule="exact"/>
              <w:ind w:firstLine="420" w:firstLineChars="200"/>
              <w:rPr>
                <w:rFonts w:hint="eastAsia" w:ascii="Times New Roman" w:hAnsi="Times New Roman" w:eastAsia="宋体" w:cs="Times New Roman"/>
              </w:rPr>
            </w:pPr>
            <w:r>
              <w:rPr>
                <w:rFonts w:hint="eastAsia" w:ascii="Times New Roman" w:hAnsi="Times New Roman" w:eastAsia="宋体" w:cs="Times New Roman"/>
              </w:rPr>
              <w:t>（5）投标人如需递交不加密电子投标文件的，应将不加密的电子投标文件复制到一张光盘中（光盘备份），光盘表面粘贴标签贴加盖单位法人章，并将招标项目名称、投标人名称等信息填写在标签贴上。</w:t>
            </w:r>
          </w:p>
          <w:p>
            <w:pPr>
              <w:suppressAutoHyphens w:val="0"/>
              <w:autoSpaceDE w:val="0"/>
              <w:autoSpaceDN w:val="0"/>
              <w:adjustRightInd w:val="0"/>
              <w:snapToGrid w:val="0"/>
              <w:spacing w:line="400" w:lineRule="exact"/>
              <w:ind w:firstLine="420" w:firstLineChars="200"/>
              <w:rPr>
                <w:rFonts w:hint="eastAsia"/>
              </w:rPr>
            </w:pPr>
            <w:r>
              <w:rPr>
                <w:rFonts w:hint="eastAsia" w:ascii="Times New Roman" w:hAnsi="Times New Roman" w:eastAsia="宋体" w:cs="Times New Roman"/>
              </w:rPr>
              <w:t>（6）电子投标文件制作的具体方法详见“新点投标文件制作软件（重庆版）”中的帮助文档。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328" w:hRule="atLeast"/>
          <w:jc w:val="center"/>
        </w:trPr>
        <w:tc>
          <w:tcPr>
            <w:tcW w:w="1335" w:type="dxa"/>
            <w:vAlign w:val="center"/>
          </w:tcPr>
          <w:p>
            <w:pPr>
              <w:keepNext w:val="0"/>
              <w:keepLines w:val="0"/>
              <w:pageBreakBefore w:val="0"/>
              <w:suppressLineNumbers w:val="0"/>
              <w:suppressAutoHyphens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lang w:eastAsia="zh-CN"/>
              </w:rPr>
            </w:pPr>
            <w:r>
              <w:rPr>
                <w:rFonts w:hint="eastAsia" w:asciiTheme="minorEastAsia" w:hAnsiTheme="minorEastAsia" w:eastAsiaTheme="minorEastAsia" w:cstheme="minorEastAsia"/>
                <w:kern w:val="0"/>
                <w:sz w:val="21"/>
                <w:szCs w:val="21"/>
                <w:highlight w:val="none"/>
              </w:rPr>
              <w:t>10.</w:t>
            </w:r>
            <w:r>
              <w:rPr>
                <w:rFonts w:hint="eastAsia" w:asciiTheme="minorEastAsia" w:hAnsiTheme="minorEastAsia" w:eastAsiaTheme="minorEastAsia" w:cstheme="minorEastAsia"/>
                <w:kern w:val="0"/>
                <w:sz w:val="21"/>
                <w:szCs w:val="21"/>
                <w:highlight w:val="none"/>
                <w:lang w:val="en-US" w:eastAsia="zh-CN"/>
              </w:rPr>
              <w:t>5</w:t>
            </w:r>
          </w:p>
        </w:tc>
        <w:tc>
          <w:tcPr>
            <w:tcW w:w="1644" w:type="dxa"/>
            <w:vAlign w:val="center"/>
          </w:tcPr>
          <w:p>
            <w:pPr>
              <w:keepNext w:val="0"/>
              <w:keepLines w:val="0"/>
              <w:pageBreakBefore w:val="0"/>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其他</w:t>
            </w:r>
          </w:p>
        </w:tc>
        <w:tc>
          <w:tcPr>
            <w:tcW w:w="6308" w:type="dxa"/>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i/>
                <w:kern w:val="0"/>
                <w:sz w:val="21"/>
                <w:szCs w:val="21"/>
                <w:highlight w:val="none"/>
              </w:rPr>
              <w:t>[提示：招标人认为需要增加的，且与本表前述条款不重复的，不涉及资格和否决投标的内容]</w:t>
            </w:r>
          </w:p>
        </w:tc>
      </w:tr>
    </w:tbl>
    <w:p>
      <w:pPr>
        <w:widowControl/>
        <w:jc w:val="left"/>
        <w:rPr>
          <w:rFonts w:ascii="宋体" w:hAnsi="宋体"/>
          <w:b/>
          <w:snapToGrid w:val="0"/>
          <w:highlight w:val="none"/>
        </w:rPr>
      </w:pPr>
      <w:bookmarkStart w:id="247" w:name="_Toc277082552"/>
      <w:bookmarkStart w:id="248" w:name="_Toc200513126"/>
      <w:bookmarkStart w:id="249" w:name="_Toc430530435"/>
      <w:bookmarkStart w:id="250" w:name="_Toc509218710"/>
      <w:bookmarkStart w:id="251" w:name="_Toc224103317"/>
      <w:bookmarkStart w:id="252" w:name="_Toc287620685"/>
      <w:bookmarkStart w:id="253" w:name="_Toc287607746"/>
    </w:p>
    <w:p>
      <w:pPr>
        <w:widowControl/>
        <w:jc w:val="left"/>
        <w:rPr>
          <w:rFonts w:ascii="宋体" w:hAnsi="宋体"/>
          <w:b/>
          <w:snapToGrid w:val="0"/>
          <w:highlight w:val="none"/>
        </w:rPr>
      </w:pPr>
      <w:r>
        <w:rPr>
          <w:rFonts w:ascii="宋体" w:hAnsi="宋体"/>
          <w:b/>
          <w:snapToGrid w:val="0"/>
          <w:highlight w:val="none"/>
        </w:rPr>
        <w:br w:type="page"/>
      </w:r>
    </w:p>
    <w:p>
      <w:pPr>
        <w:widowControl/>
        <w:jc w:val="left"/>
        <w:rPr>
          <w:rFonts w:ascii="宋体" w:hAnsi="宋体"/>
          <w:b/>
          <w:bCs w:val="0"/>
          <w:snapToGrid w:val="0"/>
          <w:sz w:val="21"/>
          <w:szCs w:val="24"/>
          <w:highlight w:val="none"/>
        </w:rPr>
      </w:pPr>
    </w:p>
    <w:p>
      <w:pPr>
        <w:pStyle w:val="4"/>
        <w:spacing w:before="0" w:after="0" w:line="360" w:lineRule="auto"/>
        <w:rPr>
          <w:rFonts w:ascii="宋体" w:hAnsi="宋体"/>
          <w:b w:val="0"/>
          <w:snapToGrid w:val="0"/>
          <w:highlight w:val="none"/>
        </w:rPr>
      </w:pPr>
      <w:bookmarkStart w:id="254" w:name="_Toc11285"/>
      <w:bookmarkStart w:id="255" w:name="_Toc27324"/>
      <w:bookmarkStart w:id="256" w:name="_Toc75856988"/>
      <w:bookmarkStart w:id="257" w:name="_Toc31518"/>
      <w:bookmarkStart w:id="258" w:name="_Toc30938"/>
      <w:bookmarkStart w:id="259" w:name="_Toc14021"/>
      <w:r>
        <w:rPr>
          <w:rFonts w:ascii="宋体" w:hAnsi="宋体"/>
          <w:b w:val="0"/>
          <w:snapToGrid w:val="0"/>
          <w:highlight w:val="none"/>
        </w:rPr>
        <w:t>1.  总则</w:t>
      </w:r>
      <w:bookmarkEnd w:id="247"/>
      <w:bookmarkEnd w:id="248"/>
      <w:bookmarkEnd w:id="249"/>
      <w:bookmarkEnd w:id="250"/>
      <w:bookmarkEnd w:id="251"/>
      <w:bookmarkEnd w:id="252"/>
      <w:bookmarkEnd w:id="253"/>
      <w:bookmarkEnd w:id="254"/>
      <w:bookmarkEnd w:id="255"/>
      <w:bookmarkEnd w:id="256"/>
      <w:bookmarkEnd w:id="257"/>
      <w:bookmarkEnd w:id="258"/>
      <w:bookmarkEnd w:id="259"/>
    </w:p>
    <w:p>
      <w:pPr>
        <w:pStyle w:val="5"/>
        <w:snapToGrid w:val="0"/>
        <w:spacing w:before="0" w:after="0" w:line="360" w:lineRule="auto"/>
        <w:rPr>
          <w:rFonts w:ascii="宋体" w:hAnsi="宋体"/>
          <w:b w:val="0"/>
          <w:snapToGrid w:val="0"/>
          <w:sz w:val="24"/>
          <w:szCs w:val="24"/>
          <w:highlight w:val="none"/>
        </w:rPr>
      </w:pPr>
      <w:bookmarkStart w:id="260" w:name="_Toc29109"/>
      <w:bookmarkStart w:id="261" w:name="_Toc277082553"/>
      <w:bookmarkStart w:id="262" w:name="_Toc509218711"/>
      <w:bookmarkStart w:id="263" w:name="_Toc75856989"/>
      <w:bookmarkStart w:id="264" w:name="_Toc9702"/>
      <w:bookmarkStart w:id="265" w:name="_Toc17795"/>
      <w:bookmarkStart w:id="266" w:name="_Toc18236"/>
      <w:bookmarkStart w:id="267" w:name="_Toc430530436"/>
      <w:bookmarkStart w:id="268" w:name="_Toc16529"/>
      <w:bookmarkStart w:id="269" w:name="_Toc200513127"/>
      <w:bookmarkStart w:id="270" w:name="_Toc224103318"/>
      <w:bookmarkStart w:id="271" w:name="_Toc287607747"/>
      <w:bookmarkStart w:id="272" w:name="_Toc287620686"/>
      <w:r>
        <w:rPr>
          <w:rFonts w:ascii="宋体" w:hAnsi="宋体"/>
          <w:b w:val="0"/>
          <w:snapToGrid w:val="0"/>
          <w:sz w:val="24"/>
          <w:szCs w:val="24"/>
          <w:highlight w:val="none"/>
        </w:rPr>
        <w:t>1.1  招标项目概况</w:t>
      </w:r>
      <w:bookmarkEnd w:id="260"/>
      <w:bookmarkEnd w:id="261"/>
      <w:bookmarkEnd w:id="262"/>
      <w:bookmarkEnd w:id="263"/>
      <w:bookmarkEnd w:id="264"/>
      <w:bookmarkEnd w:id="265"/>
      <w:bookmarkEnd w:id="266"/>
      <w:bookmarkEnd w:id="267"/>
      <w:bookmarkEnd w:id="268"/>
      <w:bookmarkEnd w:id="269"/>
      <w:bookmarkEnd w:id="270"/>
      <w:bookmarkEnd w:id="271"/>
      <w:bookmarkEnd w:id="272"/>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 xml:space="preserve">1.1.1  </w:t>
      </w:r>
      <w:r>
        <w:rPr>
          <w:color w:val="000000"/>
          <w:szCs w:val="22"/>
          <w:highlight w:val="none"/>
        </w:rPr>
        <w:t>根据《中华人民共和国招标投标法》、《中华人民共和国招标投标法实施条例》等有关法律、法规和规章的规定，本招标项目已具备招标条件，现对勘察进行招标。</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1.1.2  招标人：见投标人须知前附表。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1.1.3  招标代理机构：见投标人须知前附表。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1.1.</w:t>
      </w:r>
      <w:r>
        <w:rPr>
          <w:rFonts w:hint="eastAsia" w:ascii="宋体" w:hAnsi="宋体"/>
          <w:snapToGrid w:val="0"/>
          <w:kern w:val="0"/>
          <w:szCs w:val="21"/>
          <w:highlight w:val="none"/>
        </w:rPr>
        <w:t>4</w:t>
      </w:r>
      <w:r>
        <w:rPr>
          <w:rFonts w:ascii="宋体" w:hAnsi="宋体"/>
          <w:snapToGrid w:val="0"/>
          <w:kern w:val="0"/>
          <w:szCs w:val="21"/>
          <w:highlight w:val="none"/>
        </w:rPr>
        <w:t xml:space="preserve">  招标项目名称：见投标人须知前附表。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1.1.5  项目建设地点：见投标人须知前附表。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1.1.6  项目建设规模：见投标人须知前附表。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1.1.</w:t>
      </w:r>
      <w:r>
        <w:rPr>
          <w:rFonts w:hint="eastAsia" w:ascii="宋体" w:hAnsi="宋体"/>
          <w:snapToGrid w:val="0"/>
          <w:kern w:val="0"/>
          <w:szCs w:val="21"/>
          <w:highlight w:val="none"/>
        </w:rPr>
        <w:t>7</w:t>
      </w:r>
      <w:r>
        <w:rPr>
          <w:rFonts w:ascii="宋体" w:hAnsi="宋体"/>
          <w:snapToGrid w:val="0"/>
          <w:kern w:val="0"/>
          <w:szCs w:val="21"/>
          <w:highlight w:val="none"/>
        </w:rPr>
        <w:t xml:space="preserve">  项目估算</w:t>
      </w:r>
      <w:r>
        <w:rPr>
          <w:rFonts w:hint="eastAsia" w:ascii="宋体" w:hAnsi="宋体"/>
          <w:snapToGrid w:val="0"/>
          <w:kern w:val="0"/>
          <w:szCs w:val="21"/>
          <w:highlight w:val="none"/>
          <w:lang w:val="en-US" w:eastAsia="zh-CN"/>
        </w:rPr>
        <w:t>金额</w:t>
      </w:r>
      <w:r>
        <w:rPr>
          <w:rFonts w:ascii="宋体" w:hAnsi="宋体"/>
          <w:snapToGrid w:val="0"/>
          <w:kern w:val="0"/>
          <w:szCs w:val="21"/>
          <w:highlight w:val="none"/>
        </w:rPr>
        <w:t>：见投标人须知前附表。</w:t>
      </w:r>
    </w:p>
    <w:p>
      <w:pPr>
        <w:pStyle w:val="5"/>
        <w:snapToGrid w:val="0"/>
        <w:spacing w:before="0" w:after="0" w:line="360" w:lineRule="auto"/>
        <w:rPr>
          <w:rFonts w:ascii="宋体" w:hAnsi="宋体"/>
          <w:b w:val="0"/>
          <w:snapToGrid w:val="0"/>
          <w:sz w:val="24"/>
          <w:szCs w:val="24"/>
          <w:highlight w:val="none"/>
        </w:rPr>
      </w:pPr>
      <w:bookmarkStart w:id="273" w:name="_Toc430530437"/>
      <w:bookmarkStart w:id="274" w:name="_Toc6828"/>
      <w:bookmarkStart w:id="275" w:name="_Toc200513128"/>
      <w:bookmarkStart w:id="276" w:name="_Toc509218712"/>
      <w:bookmarkStart w:id="277" w:name="_Toc18730"/>
      <w:bookmarkStart w:id="278" w:name="_Toc277082554"/>
      <w:bookmarkStart w:id="279" w:name="_Toc24647"/>
      <w:bookmarkStart w:id="280" w:name="_Toc287607748"/>
      <w:bookmarkStart w:id="281" w:name="_Toc75856990"/>
      <w:bookmarkStart w:id="282" w:name="_Toc224103319"/>
      <w:bookmarkStart w:id="283" w:name="_Toc31740"/>
      <w:bookmarkStart w:id="284" w:name="_Toc8753"/>
      <w:bookmarkStart w:id="285" w:name="_Toc287620687"/>
      <w:r>
        <w:rPr>
          <w:rFonts w:ascii="宋体" w:hAnsi="宋体"/>
          <w:b w:val="0"/>
          <w:snapToGrid w:val="0"/>
          <w:sz w:val="24"/>
          <w:szCs w:val="24"/>
          <w:highlight w:val="none"/>
        </w:rPr>
        <w:t>1.2  招标项目的资金来源和落实情况</w:t>
      </w:r>
      <w:bookmarkEnd w:id="273"/>
      <w:bookmarkEnd w:id="274"/>
      <w:bookmarkEnd w:id="275"/>
      <w:bookmarkEnd w:id="276"/>
      <w:bookmarkEnd w:id="277"/>
      <w:bookmarkEnd w:id="278"/>
      <w:bookmarkEnd w:id="279"/>
      <w:bookmarkEnd w:id="280"/>
      <w:bookmarkEnd w:id="281"/>
      <w:bookmarkEnd w:id="282"/>
      <w:bookmarkEnd w:id="283"/>
      <w:bookmarkEnd w:id="284"/>
      <w:bookmarkEnd w:id="285"/>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1.2.1  资金来源及比例：见投标人须知前附表。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1.2.2  资金落实情况：见投标人须知前附表。</w:t>
      </w:r>
    </w:p>
    <w:p>
      <w:pPr>
        <w:pStyle w:val="5"/>
        <w:snapToGrid w:val="0"/>
        <w:spacing w:before="0" w:after="0" w:line="360" w:lineRule="auto"/>
        <w:rPr>
          <w:rFonts w:ascii="宋体" w:hAnsi="宋体"/>
          <w:b w:val="0"/>
          <w:snapToGrid w:val="0"/>
          <w:sz w:val="24"/>
          <w:szCs w:val="24"/>
          <w:highlight w:val="none"/>
        </w:rPr>
      </w:pPr>
      <w:bookmarkStart w:id="286" w:name="_Toc200513129"/>
      <w:bookmarkStart w:id="287" w:name="_Toc509218713"/>
      <w:bookmarkStart w:id="288" w:name="_Toc430530438"/>
      <w:bookmarkStart w:id="289" w:name="_Toc287620688"/>
      <w:bookmarkStart w:id="290" w:name="_Toc277082555"/>
      <w:bookmarkStart w:id="291" w:name="_Toc287607749"/>
      <w:bookmarkStart w:id="292" w:name="_Toc224103320"/>
      <w:bookmarkStart w:id="293" w:name="_Toc75856991"/>
      <w:bookmarkStart w:id="294" w:name="_Toc25199"/>
      <w:bookmarkStart w:id="295" w:name="_Toc3870"/>
      <w:bookmarkStart w:id="296" w:name="_Toc20206"/>
      <w:bookmarkStart w:id="297" w:name="_Toc16051"/>
      <w:bookmarkStart w:id="298" w:name="_Toc32008"/>
      <w:r>
        <w:rPr>
          <w:rFonts w:ascii="宋体" w:hAnsi="宋体"/>
          <w:b w:val="0"/>
          <w:snapToGrid w:val="0"/>
          <w:sz w:val="24"/>
          <w:szCs w:val="24"/>
          <w:highlight w:val="none"/>
        </w:rPr>
        <w:t>1.3  招标范围、</w:t>
      </w:r>
      <w:bookmarkEnd w:id="286"/>
      <w:bookmarkEnd w:id="287"/>
      <w:bookmarkEnd w:id="288"/>
      <w:bookmarkEnd w:id="289"/>
      <w:bookmarkEnd w:id="290"/>
      <w:bookmarkEnd w:id="291"/>
      <w:bookmarkEnd w:id="292"/>
      <w:bookmarkStart w:id="299" w:name="_Toc287607750"/>
      <w:bookmarkStart w:id="300" w:name="_Toc200513130"/>
      <w:bookmarkStart w:id="301" w:name="_Toc277082556"/>
      <w:bookmarkStart w:id="302" w:name="_Toc509218714"/>
      <w:bookmarkStart w:id="303" w:name="_Toc224103321"/>
      <w:bookmarkStart w:id="304" w:name="_Toc287620689"/>
      <w:bookmarkStart w:id="305" w:name="_Toc430530439"/>
      <w:r>
        <w:rPr>
          <w:rFonts w:hint="eastAsia" w:ascii="宋体" w:hAnsi="宋体"/>
          <w:b w:val="0"/>
          <w:snapToGrid w:val="0"/>
          <w:sz w:val="24"/>
          <w:szCs w:val="24"/>
          <w:highlight w:val="none"/>
        </w:rPr>
        <w:t>勘察服务期限和质量标准</w:t>
      </w:r>
      <w:bookmarkEnd w:id="293"/>
      <w:bookmarkEnd w:id="294"/>
      <w:bookmarkEnd w:id="295"/>
      <w:bookmarkEnd w:id="296"/>
      <w:bookmarkEnd w:id="297"/>
      <w:bookmarkEnd w:id="298"/>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1.3.1 招标范围：见投标人须知前附表。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1.3.2 勘察服务期限：见投标人须知前附表。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1.3.3 质量标准：见投标人须知前附表。</w:t>
      </w:r>
    </w:p>
    <w:p>
      <w:pPr>
        <w:pStyle w:val="5"/>
        <w:snapToGrid w:val="0"/>
        <w:spacing w:before="0" w:after="0" w:line="360" w:lineRule="auto"/>
        <w:rPr>
          <w:rFonts w:ascii="宋体" w:hAnsi="宋体"/>
          <w:b w:val="0"/>
          <w:snapToGrid w:val="0"/>
          <w:sz w:val="24"/>
          <w:szCs w:val="24"/>
          <w:highlight w:val="none"/>
        </w:rPr>
      </w:pPr>
      <w:bookmarkStart w:id="306" w:name="_Toc18230"/>
      <w:bookmarkStart w:id="307" w:name="_Toc27241"/>
      <w:bookmarkStart w:id="308" w:name="_Toc5770"/>
      <w:bookmarkStart w:id="309" w:name="_Toc2913"/>
      <w:bookmarkStart w:id="310" w:name="_Toc75856992"/>
      <w:bookmarkStart w:id="311" w:name="_Toc2938"/>
      <w:r>
        <w:rPr>
          <w:rFonts w:ascii="宋体" w:hAnsi="宋体"/>
          <w:b w:val="0"/>
          <w:snapToGrid w:val="0"/>
          <w:sz w:val="24"/>
          <w:szCs w:val="24"/>
          <w:highlight w:val="none"/>
        </w:rPr>
        <w:t>1.4</w:t>
      </w:r>
      <w:r>
        <w:rPr>
          <w:rFonts w:hint="eastAsia" w:ascii="宋体" w:hAnsi="宋体"/>
          <w:b w:val="0"/>
          <w:snapToGrid w:val="0"/>
          <w:sz w:val="24"/>
          <w:szCs w:val="24"/>
          <w:highlight w:val="none"/>
        </w:rPr>
        <w:t>A</w:t>
      </w:r>
      <w:r>
        <w:rPr>
          <w:rFonts w:ascii="宋体" w:hAnsi="宋体"/>
          <w:b w:val="0"/>
          <w:snapToGrid w:val="0"/>
          <w:sz w:val="24"/>
          <w:szCs w:val="24"/>
          <w:highlight w:val="none"/>
        </w:rPr>
        <w:t xml:space="preserve">  投标人资格要求（</w:t>
      </w:r>
      <w:r>
        <w:rPr>
          <w:rFonts w:hint="eastAsia" w:ascii="宋体" w:hAnsi="宋体"/>
          <w:b w:val="0"/>
          <w:snapToGrid w:val="0"/>
          <w:sz w:val="24"/>
          <w:szCs w:val="24"/>
          <w:highlight w:val="none"/>
        </w:rPr>
        <w:t>适用于已进行资格预审的</w:t>
      </w:r>
      <w:r>
        <w:rPr>
          <w:rFonts w:ascii="宋体" w:hAnsi="宋体"/>
          <w:b w:val="0"/>
          <w:snapToGrid w:val="0"/>
          <w:sz w:val="24"/>
          <w:szCs w:val="24"/>
          <w:highlight w:val="none"/>
        </w:rPr>
        <w:t>）</w:t>
      </w:r>
      <w:bookmarkEnd w:id="299"/>
      <w:bookmarkEnd w:id="300"/>
      <w:bookmarkEnd w:id="301"/>
      <w:bookmarkEnd w:id="302"/>
      <w:bookmarkEnd w:id="303"/>
      <w:bookmarkEnd w:id="304"/>
      <w:bookmarkEnd w:id="305"/>
      <w:bookmarkEnd w:id="306"/>
      <w:bookmarkEnd w:id="307"/>
      <w:bookmarkEnd w:id="308"/>
      <w:bookmarkEnd w:id="309"/>
      <w:bookmarkEnd w:id="310"/>
      <w:bookmarkEnd w:id="311"/>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投标人应是收到招标人发出投标邀请书的单位。</w:t>
      </w:r>
    </w:p>
    <w:p>
      <w:pPr>
        <w:pStyle w:val="5"/>
        <w:snapToGrid w:val="0"/>
        <w:spacing w:before="0" w:after="0" w:line="360" w:lineRule="auto"/>
        <w:rPr>
          <w:rFonts w:ascii="宋体" w:hAnsi="宋体"/>
          <w:b w:val="0"/>
          <w:snapToGrid w:val="0"/>
          <w:sz w:val="24"/>
          <w:szCs w:val="24"/>
          <w:highlight w:val="none"/>
        </w:rPr>
      </w:pPr>
      <w:bookmarkStart w:id="312" w:name="_Toc21329"/>
      <w:bookmarkStart w:id="313" w:name="_Toc224103322"/>
      <w:bookmarkStart w:id="314" w:name="_Toc200513131"/>
      <w:bookmarkStart w:id="315" w:name="_Toc19979"/>
      <w:bookmarkStart w:id="316" w:name="_Toc287607751"/>
      <w:bookmarkStart w:id="317" w:name="_Toc509218715"/>
      <w:bookmarkStart w:id="318" w:name="_Toc4193"/>
      <w:bookmarkStart w:id="319" w:name="_Toc287620690"/>
      <w:bookmarkStart w:id="320" w:name="_Toc8455"/>
      <w:bookmarkStart w:id="321" w:name="_Toc24079"/>
      <w:bookmarkStart w:id="322" w:name="_Toc277082557"/>
      <w:bookmarkStart w:id="323" w:name="_Toc75856993"/>
      <w:bookmarkStart w:id="324" w:name="_Toc430530440"/>
      <w:r>
        <w:rPr>
          <w:rFonts w:ascii="宋体" w:hAnsi="宋体"/>
          <w:b w:val="0"/>
          <w:snapToGrid w:val="0"/>
          <w:sz w:val="24"/>
          <w:szCs w:val="24"/>
          <w:highlight w:val="none"/>
        </w:rPr>
        <w:t>1.4</w:t>
      </w:r>
      <w:r>
        <w:rPr>
          <w:rFonts w:hint="eastAsia" w:ascii="宋体" w:hAnsi="宋体"/>
          <w:b w:val="0"/>
          <w:snapToGrid w:val="0"/>
          <w:sz w:val="24"/>
          <w:szCs w:val="24"/>
          <w:highlight w:val="none"/>
        </w:rPr>
        <w:t>B</w:t>
      </w:r>
      <w:r>
        <w:rPr>
          <w:rFonts w:ascii="宋体" w:hAnsi="宋体"/>
          <w:b w:val="0"/>
          <w:snapToGrid w:val="0"/>
          <w:sz w:val="24"/>
          <w:szCs w:val="24"/>
          <w:highlight w:val="none"/>
        </w:rPr>
        <w:t xml:space="preserve">  投标人资格要求（</w:t>
      </w:r>
      <w:r>
        <w:rPr>
          <w:rFonts w:hint="eastAsia" w:ascii="宋体" w:hAnsi="宋体"/>
          <w:b w:val="0"/>
          <w:snapToGrid w:val="0"/>
          <w:sz w:val="24"/>
          <w:szCs w:val="24"/>
          <w:highlight w:val="none"/>
        </w:rPr>
        <w:t>适用于未进行资格预审的</w:t>
      </w:r>
      <w:r>
        <w:rPr>
          <w:rFonts w:ascii="宋体" w:hAnsi="宋体"/>
          <w:b w:val="0"/>
          <w:snapToGrid w:val="0"/>
          <w:sz w:val="24"/>
          <w:szCs w:val="24"/>
          <w:highlight w:val="none"/>
        </w:rPr>
        <w:t>）</w:t>
      </w:r>
      <w:bookmarkEnd w:id="312"/>
      <w:bookmarkEnd w:id="313"/>
      <w:bookmarkEnd w:id="314"/>
      <w:bookmarkEnd w:id="315"/>
      <w:bookmarkEnd w:id="316"/>
      <w:bookmarkEnd w:id="317"/>
      <w:bookmarkEnd w:id="318"/>
      <w:bookmarkEnd w:id="319"/>
      <w:bookmarkEnd w:id="320"/>
      <w:bookmarkEnd w:id="321"/>
      <w:bookmarkEnd w:id="322"/>
      <w:bookmarkEnd w:id="323"/>
      <w:bookmarkEnd w:id="324"/>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1.4.1 投标人应具备承担本标段</w:t>
      </w:r>
      <w:r>
        <w:rPr>
          <w:rFonts w:hint="eastAsia" w:ascii="宋体" w:hAnsi="宋体"/>
          <w:snapToGrid w:val="0"/>
          <w:kern w:val="0"/>
          <w:szCs w:val="21"/>
          <w:highlight w:val="none"/>
        </w:rPr>
        <w:t>勘察</w:t>
      </w:r>
      <w:r>
        <w:rPr>
          <w:rFonts w:ascii="宋体" w:hAnsi="宋体"/>
          <w:snapToGrid w:val="0"/>
          <w:kern w:val="0"/>
          <w:szCs w:val="21"/>
          <w:highlight w:val="none"/>
        </w:rPr>
        <w:t>的资质条件、能力和信誉。</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w:t>
      </w:r>
      <w:r>
        <w:rPr>
          <w:rFonts w:ascii="宋体" w:hAnsi="宋体"/>
          <w:szCs w:val="21"/>
          <w:highlight w:val="none"/>
        </w:rPr>
        <w:t>资质条件、营业执照</w:t>
      </w:r>
      <w:r>
        <w:rPr>
          <w:rFonts w:ascii="宋体" w:hAnsi="宋体"/>
          <w:snapToGrid w:val="0"/>
          <w:kern w:val="0"/>
          <w:szCs w:val="21"/>
          <w:highlight w:val="none"/>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（2）财务要求：见投标人须知前附表；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（3）业绩要求：见投标人须知前附表；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w:t>
      </w:r>
      <w:r>
        <w:rPr>
          <w:rFonts w:hint="eastAsia" w:ascii="宋体" w:hAnsi="宋体"/>
          <w:snapToGrid w:val="0"/>
          <w:kern w:val="0"/>
          <w:szCs w:val="21"/>
          <w:highlight w:val="none"/>
        </w:rPr>
        <w:t>投标截止日投标资格情况</w:t>
      </w:r>
      <w:r>
        <w:rPr>
          <w:rFonts w:ascii="宋体" w:hAnsi="宋体"/>
          <w:snapToGrid w:val="0"/>
          <w:kern w:val="0"/>
          <w:szCs w:val="21"/>
          <w:highlight w:val="none"/>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（5）项目</w:t>
      </w:r>
      <w:r>
        <w:rPr>
          <w:rFonts w:hint="eastAsia" w:ascii="宋体" w:hAnsi="宋体"/>
          <w:snapToGrid w:val="0"/>
          <w:kern w:val="0"/>
          <w:szCs w:val="21"/>
          <w:highlight w:val="none"/>
        </w:rPr>
        <w:t>负责人</w:t>
      </w:r>
      <w:r>
        <w:rPr>
          <w:rFonts w:ascii="宋体" w:hAnsi="宋体"/>
          <w:snapToGrid w:val="0"/>
          <w:kern w:val="0"/>
          <w:szCs w:val="21"/>
          <w:highlight w:val="none"/>
        </w:rPr>
        <w:t>资格</w:t>
      </w:r>
      <w:r>
        <w:rPr>
          <w:rFonts w:hint="eastAsia" w:ascii="宋体" w:hAnsi="宋体"/>
          <w:snapToGrid w:val="0"/>
          <w:kern w:val="0"/>
          <w:szCs w:val="21"/>
          <w:highlight w:val="none"/>
        </w:rPr>
        <w:t>要求</w:t>
      </w:r>
      <w:r>
        <w:rPr>
          <w:rFonts w:ascii="宋体" w:hAnsi="宋体"/>
          <w:snapToGrid w:val="0"/>
          <w:kern w:val="0"/>
          <w:szCs w:val="21"/>
          <w:highlight w:val="none"/>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（6）其他要求：见投标人须知前附表。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1.4.2  投标人须知前附表规定接受联合体投标的，除应符合本章第1.4.1项和投标人须知前附表的要求外，还应遵守以下规定：</w:t>
      </w:r>
    </w:p>
    <w:p>
      <w:pPr>
        <w:spacing w:line="360" w:lineRule="auto"/>
        <w:ind w:left="680"/>
        <w:rPr>
          <w:rFonts w:ascii="宋体" w:hAnsi="宋体"/>
          <w:highlight w:val="none"/>
        </w:rPr>
      </w:pPr>
      <w:r>
        <w:rPr>
          <w:rFonts w:ascii="宋体" w:hAnsi="宋体"/>
          <w:highlight w:val="none"/>
        </w:rPr>
        <w:t>（</w:t>
      </w:r>
      <w:r>
        <w:rPr>
          <w:rFonts w:eastAsia="Times New Roman"/>
          <w:highlight w:val="none"/>
        </w:rPr>
        <w:t>1</w:t>
      </w:r>
      <w:r>
        <w:rPr>
          <w:rFonts w:ascii="宋体" w:hAnsi="宋体"/>
          <w:highlight w:val="none"/>
        </w:rPr>
        <w:t>）联合体各方应按招标文件提供的格式签订联合体协议书，明确联合体牵头人和各方权</w:t>
      </w:r>
    </w:p>
    <w:p>
      <w:pPr>
        <w:spacing w:line="360" w:lineRule="auto"/>
        <w:ind w:left="360"/>
        <w:rPr>
          <w:rFonts w:ascii="宋体" w:hAnsi="宋体"/>
          <w:highlight w:val="none"/>
        </w:rPr>
      </w:pPr>
      <w:r>
        <w:rPr>
          <w:rFonts w:ascii="宋体" w:hAnsi="宋体"/>
          <w:highlight w:val="none"/>
        </w:rPr>
        <w:t>利义务，并承诺就中标项目向招标人承担连带责任；</w:t>
      </w:r>
    </w:p>
    <w:p>
      <w:pPr>
        <w:spacing w:line="360" w:lineRule="auto"/>
        <w:ind w:left="0" w:firstLine="676" w:firstLineChars="322"/>
        <w:rPr>
          <w:rFonts w:ascii="宋体" w:hAnsi="宋体"/>
          <w:highlight w:val="none"/>
        </w:rPr>
      </w:pPr>
      <w:r>
        <w:rPr>
          <w:rFonts w:ascii="宋体" w:hAnsi="宋体"/>
          <w:highlight w:val="none"/>
        </w:rPr>
        <w:t>（</w:t>
      </w:r>
      <w:r>
        <w:rPr>
          <w:rFonts w:ascii="宋体" w:hAnsi="宋体" w:eastAsia="宋体"/>
          <w:highlight w:val="none"/>
        </w:rPr>
        <w:t>2</w:t>
      </w:r>
      <w:r>
        <w:rPr>
          <w:rFonts w:ascii="宋体" w:hAnsi="宋体"/>
          <w:highlight w:val="none"/>
        </w:rPr>
        <w:t>）</w:t>
      </w:r>
      <w:r>
        <w:rPr>
          <w:rFonts w:hint="default" w:ascii="宋体" w:hAnsi="宋体"/>
          <w:highlight w:val="none"/>
        </w:rPr>
        <w:t>联合体协议约定同一专业分工由两个及以上单位共同承担的，</w:t>
      </w:r>
      <w:r>
        <w:rPr>
          <w:rFonts w:ascii="宋体" w:hAnsi="宋体"/>
          <w:highlight w:val="none"/>
        </w:rPr>
        <w:t>按照资质等级较低的单位确定资质等级；</w:t>
      </w:r>
    </w:p>
    <w:p>
      <w:pPr>
        <w:spacing w:line="360" w:lineRule="auto"/>
        <w:ind w:left="0" w:firstLine="630" w:firstLineChars="300"/>
        <w:rPr>
          <w:rFonts w:hint="eastAsia" w:eastAsia="宋体"/>
          <w:highlight w:val="none"/>
          <w:lang w:eastAsia="zh-CN"/>
        </w:rPr>
      </w:pPr>
      <w:r>
        <w:rPr>
          <w:rFonts w:ascii="宋体" w:hAnsi="宋体"/>
          <w:highlight w:val="none"/>
        </w:rPr>
        <w:t>（</w:t>
      </w:r>
      <w:r>
        <w:rPr>
          <w:rFonts w:eastAsia="Times New Roman"/>
          <w:highlight w:val="none"/>
        </w:rPr>
        <w:t>3</w:t>
      </w:r>
      <w:r>
        <w:rPr>
          <w:rFonts w:ascii="宋体" w:hAnsi="宋体"/>
          <w:highlight w:val="none"/>
        </w:rPr>
        <w:t>）联合体各方不得再以自己名义单独或参加其他联合体在本招标项目</w:t>
      </w:r>
      <w:r>
        <w:rPr>
          <w:rFonts w:hint="eastAsia" w:ascii="宋体" w:hAnsi="宋体"/>
          <w:highlight w:val="none"/>
          <w:lang w:val="en-US" w:eastAsia="zh-CN"/>
        </w:rPr>
        <w:t>同一标段</w:t>
      </w:r>
      <w:r>
        <w:rPr>
          <w:rFonts w:ascii="宋体" w:hAnsi="宋体"/>
          <w:highlight w:val="none"/>
        </w:rPr>
        <w:t>中投标，否则各相关投标均无效</w:t>
      </w:r>
      <w:r>
        <w:rPr>
          <w:rFonts w:hint="eastAsia" w:ascii="宋体" w:hAnsi="宋体"/>
          <w:highlight w:val="none"/>
          <w:lang w:eastAsia="zh-CN"/>
        </w:rPr>
        <w:t>。</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1.4.3  投标人不得存在下列情形之一：</w:t>
      </w:r>
    </w:p>
    <w:p>
      <w:pPr>
        <w:spacing w:line="400" w:lineRule="exact"/>
        <w:ind w:firstLine="420" w:firstLineChars="200"/>
        <w:rPr>
          <w:color w:val="000000"/>
          <w:szCs w:val="21"/>
          <w:highlight w:val="none"/>
        </w:rPr>
      </w:pPr>
      <w:bookmarkStart w:id="325" w:name="_Toc277082558"/>
      <w:bookmarkStart w:id="326" w:name="_Toc224103323"/>
      <w:bookmarkStart w:id="327" w:name="_Toc430530441"/>
      <w:bookmarkStart w:id="328" w:name="_Toc509218716"/>
      <w:bookmarkStart w:id="329" w:name="_Toc287620691"/>
      <w:bookmarkStart w:id="330" w:name="_Toc287607752"/>
      <w:bookmarkStart w:id="331" w:name="_Toc200513132"/>
      <w:r>
        <w:rPr>
          <w:color w:val="000000"/>
          <w:szCs w:val="21"/>
          <w:highlight w:val="none"/>
        </w:rPr>
        <w:t>（1）为招标人不具有独立法人资格的附属机构（单位）；</w:t>
      </w:r>
    </w:p>
    <w:p>
      <w:pPr>
        <w:spacing w:line="400" w:lineRule="exact"/>
        <w:ind w:firstLine="420" w:firstLineChars="200"/>
        <w:rPr>
          <w:color w:val="000000"/>
          <w:szCs w:val="21"/>
          <w:highlight w:val="none"/>
        </w:rPr>
      </w:pPr>
      <w:r>
        <w:rPr>
          <w:color w:val="000000"/>
          <w:szCs w:val="21"/>
          <w:highlight w:val="none"/>
        </w:rPr>
        <w:t>（2）与招标人存在利害关系且可能影响招标公正性；</w:t>
      </w:r>
    </w:p>
    <w:p>
      <w:pPr>
        <w:spacing w:line="400" w:lineRule="exact"/>
        <w:ind w:firstLine="420" w:firstLineChars="200"/>
        <w:rPr>
          <w:color w:val="000000"/>
          <w:szCs w:val="21"/>
          <w:highlight w:val="none"/>
        </w:rPr>
      </w:pPr>
      <w:r>
        <w:rPr>
          <w:color w:val="000000"/>
          <w:szCs w:val="21"/>
          <w:highlight w:val="none"/>
        </w:rPr>
        <w:t>（3）与本招标项目的其他投标人为同一个单位负责人；</w:t>
      </w:r>
    </w:p>
    <w:p>
      <w:pPr>
        <w:spacing w:line="400" w:lineRule="exact"/>
        <w:ind w:firstLine="420" w:firstLineChars="200"/>
        <w:rPr>
          <w:color w:val="000000"/>
          <w:szCs w:val="21"/>
          <w:highlight w:val="none"/>
        </w:rPr>
      </w:pPr>
      <w:r>
        <w:rPr>
          <w:color w:val="000000"/>
          <w:szCs w:val="21"/>
          <w:highlight w:val="none"/>
        </w:rPr>
        <w:t>（4）与本招标项目的其他投标人存在控股、管理关系；</w:t>
      </w:r>
    </w:p>
    <w:p>
      <w:pPr>
        <w:spacing w:line="400" w:lineRule="exact"/>
        <w:ind w:firstLine="420" w:firstLineChars="200"/>
        <w:rPr>
          <w:color w:val="000000"/>
          <w:szCs w:val="21"/>
          <w:highlight w:val="none"/>
        </w:rPr>
      </w:pPr>
      <w:r>
        <w:rPr>
          <w:color w:val="000000"/>
          <w:szCs w:val="21"/>
          <w:highlight w:val="none"/>
        </w:rPr>
        <w:t>（5）为本招标项目的代建人；</w:t>
      </w:r>
    </w:p>
    <w:p>
      <w:pPr>
        <w:spacing w:line="400" w:lineRule="exact"/>
        <w:ind w:firstLine="420" w:firstLineChars="200"/>
        <w:rPr>
          <w:color w:val="000000"/>
          <w:szCs w:val="21"/>
          <w:highlight w:val="none"/>
        </w:rPr>
      </w:pPr>
      <w:r>
        <w:rPr>
          <w:color w:val="000000"/>
          <w:szCs w:val="21"/>
          <w:highlight w:val="none"/>
        </w:rPr>
        <w:t>（6）为本招标项目的招标代理机构；</w:t>
      </w:r>
    </w:p>
    <w:p>
      <w:pPr>
        <w:spacing w:line="400" w:lineRule="exact"/>
        <w:ind w:firstLine="420" w:firstLineChars="200"/>
        <w:rPr>
          <w:color w:val="000000"/>
          <w:szCs w:val="21"/>
          <w:highlight w:val="none"/>
        </w:rPr>
      </w:pPr>
      <w:r>
        <w:rPr>
          <w:color w:val="000000"/>
          <w:szCs w:val="21"/>
          <w:highlight w:val="none"/>
        </w:rPr>
        <w:t>（7）与本招标项目的代建人或招标代理机构同为一个法定代表人；</w:t>
      </w:r>
    </w:p>
    <w:p>
      <w:pPr>
        <w:spacing w:line="400" w:lineRule="exact"/>
        <w:ind w:firstLine="420" w:firstLineChars="200"/>
        <w:rPr>
          <w:color w:val="000000"/>
          <w:szCs w:val="21"/>
          <w:highlight w:val="none"/>
        </w:rPr>
      </w:pPr>
      <w:r>
        <w:rPr>
          <w:color w:val="000000"/>
          <w:szCs w:val="21"/>
          <w:highlight w:val="none"/>
        </w:rPr>
        <w:t>（8）与本招标项目的代建人或招标代理机构存在控股或参股关系；</w:t>
      </w:r>
    </w:p>
    <w:p>
      <w:pPr>
        <w:spacing w:line="400" w:lineRule="exact"/>
        <w:ind w:firstLine="420" w:firstLineChars="200"/>
        <w:rPr>
          <w:color w:val="000000"/>
          <w:szCs w:val="21"/>
          <w:highlight w:val="none"/>
        </w:rPr>
      </w:pPr>
      <w:r>
        <w:rPr>
          <w:color w:val="000000"/>
          <w:szCs w:val="21"/>
          <w:highlight w:val="none"/>
        </w:rPr>
        <w:t>（9）被依法暂停或者取消投标资格；</w:t>
      </w:r>
    </w:p>
    <w:p>
      <w:pPr>
        <w:spacing w:line="400" w:lineRule="exact"/>
        <w:ind w:firstLine="420" w:firstLineChars="200"/>
        <w:rPr>
          <w:color w:val="000000"/>
          <w:szCs w:val="21"/>
          <w:highlight w:val="none"/>
        </w:rPr>
      </w:pPr>
      <w:r>
        <w:rPr>
          <w:color w:val="000000"/>
          <w:szCs w:val="21"/>
          <w:highlight w:val="none"/>
        </w:rPr>
        <w:t>（10）被责令停产停业、暂扣或者吊销许可证、暂扣或者吊销执照；</w:t>
      </w:r>
    </w:p>
    <w:p>
      <w:pPr>
        <w:spacing w:line="400" w:lineRule="exact"/>
        <w:ind w:firstLine="420" w:firstLineChars="200"/>
        <w:rPr>
          <w:color w:val="000000"/>
          <w:szCs w:val="21"/>
          <w:highlight w:val="none"/>
        </w:rPr>
      </w:pPr>
      <w:r>
        <w:rPr>
          <w:color w:val="000000"/>
          <w:szCs w:val="21"/>
          <w:highlight w:val="none"/>
        </w:rPr>
        <w:t>（11）进入清算程序，或被宣告破产，或其他丧失履约能力的情形；</w:t>
      </w:r>
    </w:p>
    <w:p>
      <w:pPr>
        <w:spacing w:line="400" w:lineRule="exact"/>
        <w:ind w:firstLine="420" w:firstLineChars="200"/>
        <w:rPr>
          <w:color w:val="000000"/>
          <w:szCs w:val="21"/>
          <w:highlight w:val="none"/>
        </w:rPr>
      </w:pPr>
      <w:r>
        <w:rPr>
          <w:color w:val="000000"/>
          <w:szCs w:val="21"/>
          <w:highlight w:val="none"/>
        </w:rPr>
        <w:t>（1</w:t>
      </w:r>
      <w:r>
        <w:rPr>
          <w:rFonts w:hint="eastAsia"/>
          <w:color w:val="000000"/>
          <w:szCs w:val="21"/>
          <w:highlight w:val="none"/>
          <w:lang w:val="en-US" w:eastAsia="zh-CN"/>
        </w:rPr>
        <w:t>2</w:t>
      </w:r>
      <w:r>
        <w:rPr>
          <w:color w:val="000000"/>
          <w:szCs w:val="21"/>
          <w:highlight w:val="none"/>
        </w:rPr>
        <w:t>）被</w:t>
      </w:r>
      <w:r>
        <w:rPr>
          <w:rFonts w:hint="eastAsia"/>
          <w:color w:val="000000"/>
          <w:szCs w:val="21"/>
          <w:highlight w:val="none"/>
          <w:lang w:val="en-US" w:eastAsia="zh-CN"/>
        </w:rPr>
        <w:t>市场监督</w:t>
      </w:r>
      <w:r>
        <w:rPr>
          <w:color w:val="000000"/>
          <w:szCs w:val="21"/>
          <w:highlight w:val="none"/>
        </w:rPr>
        <w:t>管理机关在全国企业信用信息公示系统中列入严重违法失信企业名单；</w:t>
      </w:r>
    </w:p>
    <w:p>
      <w:pPr>
        <w:spacing w:line="400" w:lineRule="exact"/>
        <w:ind w:firstLine="420" w:firstLineChars="200"/>
        <w:rPr>
          <w:rFonts w:ascii="宋体" w:hAnsi="宋体"/>
          <w:snapToGrid w:val="0"/>
          <w:kern w:val="0"/>
          <w:szCs w:val="21"/>
          <w:highlight w:val="none"/>
        </w:rPr>
      </w:pPr>
      <w:r>
        <w:rPr>
          <w:rFonts w:hint="eastAsia" w:ascii="宋体" w:hAnsi="宋体"/>
          <w:snapToGrid w:val="0"/>
          <w:kern w:val="0"/>
          <w:szCs w:val="21"/>
          <w:highlight w:val="none"/>
        </w:rPr>
        <w:t>（</w:t>
      </w:r>
      <w:r>
        <w:rPr>
          <w:rFonts w:hint="eastAsia" w:ascii="宋体" w:hAnsi="宋体"/>
          <w:snapToGrid w:val="0"/>
          <w:kern w:val="0"/>
          <w:szCs w:val="21"/>
          <w:highlight w:val="none"/>
          <w:lang w:val="en-US" w:eastAsia="zh-CN"/>
        </w:rPr>
        <w:t>13</w:t>
      </w:r>
      <w:r>
        <w:rPr>
          <w:rFonts w:hint="eastAsia" w:ascii="宋体" w:hAnsi="宋体"/>
          <w:snapToGrid w:val="0"/>
          <w:kern w:val="0"/>
          <w:szCs w:val="21"/>
          <w:highlight w:val="none"/>
        </w:rPr>
        <w:t>）被国家、重庆市（含市或任意区县）有关行政部门处以暂停投标资格行政处罚，且在处罚期限内的</w:t>
      </w:r>
      <w:r>
        <w:rPr>
          <w:rFonts w:ascii="宋体" w:hAnsi="宋体"/>
          <w:snapToGrid w:val="0"/>
          <w:kern w:val="0"/>
          <w:szCs w:val="21"/>
          <w:highlight w:val="none"/>
        </w:rPr>
        <w:t>；</w:t>
      </w:r>
    </w:p>
    <w:p>
      <w:pPr>
        <w:spacing w:line="400" w:lineRule="exact"/>
        <w:ind w:firstLine="420" w:firstLineChars="200"/>
        <w:rPr>
          <w:color w:val="000000"/>
          <w:szCs w:val="21"/>
          <w:highlight w:val="none"/>
        </w:rPr>
      </w:pPr>
      <w:r>
        <w:rPr>
          <w:rFonts w:hint="eastAsia"/>
          <w:color w:val="000000"/>
          <w:szCs w:val="21"/>
          <w:highlight w:val="none"/>
        </w:rPr>
        <w:t>（</w:t>
      </w:r>
      <w:r>
        <w:rPr>
          <w:rFonts w:hint="eastAsia"/>
          <w:color w:val="000000"/>
          <w:szCs w:val="21"/>
          <w:highlight w:val="none"/>
          <w:lang w:val="en-US" w:eastAsia="zh-CN"/>
        </w:rPr>
        <w:t>14</w:t>
      </w:r>
      <w:r>
        <w:rPr>
          <w:rFonts w:hint="eastAsia"/>
          <w:color w:val="000000"/>
          <w:szCs w:val="21"/>
          <w:highlight w:val="none"/>
        </w:rPr>
        <w:t>）</w:t>
      </w:r>
      <w:r>
        <w:rPr>
          <w:color w:val="000000"/>
          <w:szCs w:val="21"/>
          <w:highlight w:val="none"/>
        </w:rPr>
        <w:t>法律法规或投标人须知前附表规定的其他情形。</w:t>
      </w:r>
    </w:p>
    <w:p>
      <w:pPr>
        <w:pStyle w:val="5"/>
        <w:snapToGrid w:val="0"/>
        <w:spacing w:before="0" w:after="0" w:line="360" w:lineRule="auto"/>
        <w:rPr>
          <w:rFonts w:ascii="宋体" w:hAnsi="宋体"/>
          <w:b w:val="0"/>
          <w:snapToGrid w:val="0"/>
          <w:sz w:val="24"/>
          <w:szCs w:val="24"/>
          <w:highlight w:val="none"/>
        </w:rPr>
      </w:pPr>
      <w:bookmarkStart w:id="332" w:name="_Toc21238"/>
      <w:bookmarkStart w:id="333" w:name="_Toc75856994"/>
      <w:bookmarkStart w:id="334" w:name="_Toc27258"/>
      <w:bookmarkStart w:id="335" w:name="_Toc23929"/>
      <w:bookmarkStart w:id="336" w:name="_Toc2952"/>
      <w:bookmarkStart w:id="337" w:name="_Toc17015"/>
      <w:r>
        <w:rPr>
          <w:rFonts w:ascii="宋体" w:hAnsi="宋体"/>
          <w:b w:val="0"/>
          <w:snapToGrid w:val="0"/>
          <w:sz w:val="24"/>
          <w:szCs w:val="24"/>
          <w:highlight w:val="none"/>
        </w:rPr>
        <w:t>1.5  费用承担</w:t>
      </w:r>
      <w:bookmarkEnd w:id="325"/>
      <w:bookmarkEnd w:id="326"/>
      <w:bookmarkEnd w:id="327"/>
      <w:bookmarkEnd w:id="328"/>
      <w:bookmarkEnd w:id="329"/>
      <w:bookmarkEnd w:id="330"/>
      <w:bookmarkEnd w:id="331"/>
      <w:bookmarkEnd w:id="332"/>
      <w:bookmarkEnd w:id="333"/>
      <w:bookmarkEnd w:id="334"/>
      <w:bookmarkEnd w:id="335"/>
      <w:bookmarkEnd w:id="336"/>
      <w:bookmarkEnd w:id="337"/>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投标人准备和参加投标活动发生的费用自理。</w:t>
      </w:r>
    </w:p>
    <w:p>
      <w:pPr>
        <w:pStyle w:val="5"/>
        <w:snapToGrid w:val="0"/>
        <w:spacing w:before="0" w:after="0" w:line="360" w:lineRule="auto"/>
        <w:rPr>
          <w:rFonts w:ascii="宋体" w:hAnsi="宋体"/>
          <w:b w:val="0"/>
          <w:snapToGrid w:val="0"/>
          <w:sz w:val="24"/>
          <w:szCs w:val="24"/>
          <w:highlight w:val="none"/>
        </w:rPr>
      </w:pPr>
      <w:bookmarkStart w:id="338" w:name="_Toc287620692"/>
      <w:bookmarkStart w:id="339" w:name="_Toc7838"/>
      <w:bookmarkStart w:id="340" w:name="_Toc6605"/>
      <w:bookmarkStart w:id="341" w:name="_Toc13656"/>
      <w:bookmarkStart w:id="342" w:name="_Toc75856995"/>
      <w:bookmarkStart w:id="343" w:name="_Toc200513133"/>
      <w:bookmarkStart w:id="344" w:name="_Toc287607753"/>
      <w:bookmarkStart w:id="345" w:name="_Toc224103324"/>
      <w:bookmarkStart w:id="346" w:name="_Toc3374"/>
      <w:bookmarkStart w:id="347" w:name="_Toc10399"/>
      <w:bookmarkStart w:id="348" w:name="_Toc277082559"/>
      <w:bookmarkStart w:id="349" w:name="_Toc509218717"/>
      <w:bookmarkStart w:id="350" w:name="_Toc430530442"/>
      <w:r>
        <w:rPr>
          <w:rFonts w:ascii="宋体" w:hAnsi="宋体"/>
          <w:b w:val="0"/>
          <w:snapToGrid w:val="0"/>
          <w:sz w:val="24"/>
          <w:szCs w:val="24"/>
          <w:highlight w:val="none"/>
        </w:rPr>
        <w:t>1.6  保密</w:t>
      </w:r>
      <w:bookmarkEnd w:id="338"/>
      <w:bookmarkEnd w:id="339"/>
      <w:bookmarkEnd w:id="340"/>
      <w:bookmarkEnd w:id="341"/>
      <w:bookmarkEnd w:id="342"/>
      <w:bookmarkEnd w:id="343"/>
      <w:bookmarkEnd w:id="344"/>
      <w:bookmarkEnd w:id="345"/>
      <w:bookmarkEnd w:id="346"/>
      <w:bookmarkEnd w:id="347"/>
      <w:bookmarkEnd w:id="348"/>
      <w:bookmarkEnd w:id="349"/>
      <w:bookmarkEnd w:id="350"/>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参与招标投标活动的各方应对招标文件和投标文件中的商业和技术等秘密保密，违者应对由此造成的后果承担法律责任。</w:t>
      </w:r>
    </w:p>
    <w:p>
      <w:pPr>
        <w:pStyle w:val="5"/>
        <w:snapToGrid w:val="0"/>
        <w:spacing w:before="0" w:after="0" w:line="360" w:lineRule="auto"/>
        <w:rPr>
          <w:rFonts w:ascii="宋体" w:hAnsi="宋体"/>
          <w:b w:val="0"/>
          <w:snapToGrid w:val="0"/>
          <w:sz w:val="24"/>
          <w:szCs w:val="24"/>
          <w:highlight w:val="none"/>
        </w:rPr>
      </w:pPr>
      <w:bookmarkStart w:id="351" w:name="_Toc75856996"/>
      <w:bookmarkStart w:id="352" w:name="_Toc15153"/>
      <w:bookmarkStart w:id="353" w:name="_Toc509218718"/>
      <w:bookmarkStart w:id="354" w:name="_Toc224103325"/>
      <w:bookmarkStart w:id="355" w:name="_Toc13379"/>
      <w:bookmarkStart w:id="356" w:name="_Toc287620693"/>
      <w:bookmarkStart w:id="357" w:name="_Toc287607754"/>
      <w:bookmarkStart w:id="358" w:name="_Toc277082560"/>
      <w:bookmarkStart w:id="359" w:name="_Toc200513134"/>
      <w:bookmarkStart w:id="360" w:name="_Toc18809"/>
      <w:bookmarkStart w:id="361" w:name="_Toc13455"/>
      <w:bookmarkStart w:id="362" w:name="_Toc430530443"/>
      <w:bookmarkStart w:id="363" w:name="_Toc23331"/>
      <w:r>
        <w:rPr>
          <w:rFonts w:ascii="宋体" w:hAnsi="宋体"/>
          <w:b w:val="0"/>
          <w:snapToGrid w:val="0"/>
          <w:sz w:val="24"/>
          <w:szCs w:val="24"/>
          <w:highlight w:val="none"/>
        </w:rPr>
        <w:t>1.7  语言文字</w:t>
      </w:r>
      <w:bookmarkEnd w:id="351"/>
      <w:bookmarkEnd w:id="352"/>
      <w:bookmarkEnd w:id="353"/>
      <w:bookmarkEnd w:id="354"/>
      <w:bookmarkEnd w:id="355"/>
      <w:bookmarkEnd w:id="356"/>
      <w:bookmarkEnd w:id="357"/>
      <w:bookmarkEnd w:id="358"/>
      <w:bookmarkEnd w:id="359"/>
      <w:bookmarkEnd w:id="360"/>
      <w:bookmarkEnd w:id="361"/>
      <w:bookmarkEnd w:id="362"/>
      <w:bookmarkEnd w:id="363"/>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除专用术语外，与招标投标有关的语言均使用中文。必要时专用术语应附有中文注释。</w:t>
      </w:r>
    </w:p>
    <w:p>
      <w:pPr>
        <w:pStyle w:val="5"/>
        <w:snapToGrid w:val="0"/>
        <w:spacing w:before="0" w:after="0" w:line="360" w:lineRule="auto"/>
        <w:rPr>
          <w:rFonts w:ascii="宋体" w:hAnsi="宋体"/>
          <w:b w:val="0"/>
          <w:snapToGrid w:val="0"/>
          <w:sz w:val="24"/>
          <w:szCs w:val="24"/>
          <w:highlight w:val="none"/>
        </w:rPr>
      </w:pPr>
      <w:bookmarkStart w:id="364" w:name="_Toc27006"/>
      <w:bookmarkStart w:id="365" w:name="_Toc430530444"/>
      <w:bookmarkStart w:id="366" w:name="_Toc509218719"/>
      <w:bookmarkStart w:id="367" w:name="_Toc287607755"/>
      <w:bookmarkStart w:id="368" w:name="_Toc28221"/>
      <w:bookmarkStart w:id="369" w:name="_Toc287620694"/>
      <w:bookmarkStart w:id="370" w:name="_Toc224103326"/>
      <w:bookmarkStart w:id="371" w:name="_Toc75856997"/>
      <w:bookmarkStart w:id="372" w:name="_Toc200513135"/>
      <w:bookmarkStart w:id="373" w:name="_Toc547"/>
      <w:bookmarkStart w:id="374" w:name="_Toc277082561"/>
      <w:bookmarkStart w:id="375" w:name="_Toc15139"/>
      <w:bookmarkStart w:id="376" w:name="_Toc3153"/>
      <w:r>
        <w:rPr>
          <w:rFonts w:ascii="宋体" w:hAnsi="宋体"/>
          <w:b w:val="0"/>
          <w:snapToGrid w:val="0"/>
          <w:sz w:val="24"/>
          <w:szCs w:val="24"/>
          <w:highlight w:val="none"/>
        </w:rPr>
        <w:t>1.8  计量单位</w:t>
      </w:r>
      <w:bookmarkEnd w:id="364"/>
      <w:bookmarkEnd w:id="365"/>
      <w:bookmarkEnd w:id="366"/>
      <w:bookmarkEnd w:id="367"/>
      <w:bookmarkEnd w:id="368"/>
      <w:bookmarkEnd w:id="369"/>
      <w:bookmarkEnd w:id="370"/>
      <w:bookmarkEnd w:id="371"/>
      <w:bookmarkEnd w:id="372"/>
      <w:bookmarkEnd w:id="373"/>
      <w:bookmarkEnd w:id="374"/>
      <w:bookmarkEnd w:id="375"/>
      <w:bookmarkEnd w:id="376"/>
    </w:p>
    <w:p>
      <w:pPr>
        <w:autoSpaceDE w:val="0"/>
        <w:autoSpaceDN w:val="0"/>
        <w:adjustRightInd w:val="0"/>
        <w:snapToGrid w:val="0"/>
        <w:spacing w:line="360" w:lineRule="auto"/>
        <w:ind w:firstLine="424" w:firstLineChars="202"/>
        <w:rPr>
          <w:rFonts w:ascii="宋体" w:hAnsi="宋体"/>
          <w:snapToGrid w:val="0"/>
          <w:kern w:val="0"/>
          <w:szCs w:val="21"/>
          <w:highlight w:val="none"/>
        </w:rPr>
      </w:pPr>
      <w:r>
        <w:rPr>
          <w:rFonts w:ascii="宋体" w:hAnsi="宋体"/>
          <w:snapToGrid w:val="0"/>
          <w:kern w:val="0"/>
          <w:szCs w:val="21"/>
          <w:highlight w:val="none"/>
        </w:rPr>
        <w:t>所有计量均采用中华人民共和国法定计量单位。</w:t>
      </w:r>
    </w:p>
    <w:p>
      <w:pPr>
        <w:pStyle w:val="5"/>
        <w:snapToGrid w:val="0"/>
        <w:spacing w:before="0" w:after="0" w:line="360" w:lineRule="auto"/>
        <w:rPr>
          <w:rFonts w:ascii="宋体" w:hAnsi="宋体"/>
          <w:b w:val="0"/>
          <w:snapToGrid w:val="0"/>
          <w:sz w:val="24"/>
          <w:szCs w:val="24"/>
          <w:highlight w:val="none"/>
        </w:rPr>
      </w:pPr>
      <w:bookmarkStart w:id="377" w:name="_Toc6461"/>
      <w:bookmarkStart w:id="378" w:name="_Toc509218720"/>
      <w:bookmarkStart w:id="379" w:name="_Toc430530445"/>
      <w:bookmarkStart w:id="380" w:name="_Toc32209"/>
      <w:bookmarkStart w:id="381" w:name="_Toc287620695"/>
      <w:bookmarkStart w:id="382" w:name="_Toc277082562"/>
      <w:bookmarkStart w:id="383" w:name="_Toc9773"/>
      <w:bookmarkStart w:id="384" w:name="_Toc224103327"/>
      <w:bookmarkStart w:id="385" w:name="_Toc27557"/>
      <w:bookmarkStart w:id="386" w:name="_Toc287607756"/>
      <w:bookmarkStart w:id="387" w:name="_Toc200513136"/>
      <w:bookmarkStart w:id="388" w:name="_Toc488"/>
      <w:bookmarkStart w:id="389" w:name="_Toc75856998"/>
      <w:r>
        <w:rPr>
          <w:rFonts w:ascii="宋体" w:hAnsi="宋体"/>
          <w:b w:val="0"/>
          <w:snapToGrid w:val="0"/>
          <w:sz w:val="24"/>
          <w:szCs w:val="24"/>
          <w:highlight w:val="none"/>
        </w:rPr>
        <w:t>1.9  踏勘现场</w:t>
      </w:r>
      <w:bookmarkEnd w:id="377"/>
      <w:bookmarkEnd w:id="378"/>
      <w:bookmarkEnd w:id="379"/>
      <w:bookmarkEnd w:id="380"/>
      <w:bookmarkEnd w:id="381"/>
      <w:bookmarkEnd w:id="382"/>
      <w:bookmarkEnd w:id="383"/>
      <w:bookmarkEnd w:id="384"/>
      <w:bookmarkEnd w:id="385"/>
      <w:bookmarkEnd w:id="386"/>
      <w:bookmarkEnd w:id="387"/>
      <w:bookmarkEnd w:id="388"/>
      <w:bookmarkEnd w:id="389"/>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1.9.1  投标人须知前附表规定组织踏勘现场的，招标人按投标人须知前附表规定的时间、 地点组织投标人踏勘项目现场。</w:t>
      </w:r>
      <w:r>
        <w:rPr>
          <w:rFonts w:hint="eastAsia" w:ascii="宋体" w:hAnsi="宋体"/>
          <w:snapToGrid w:val="0"/>
          <w:kern w:val="0"/>
          <w:szCs w:val="21"/>
          <w:highlight w:val="none"/>
        </w:rPr>
        <w:t>部分投标人未按时参加踏勘现场的，不影响踏勘现场的正常进行。</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1.9.2  投标人踏勘现场发生的费用自理。</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1.9.3  除招标人的原因外，投标人自行负责在踏勘现场中所发生的人员伤亡和财产损失。</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1.9.4  招标人在踏勘现场中介绍的工程场地和相关的周边环境情况，供投标人在编制投标文件时参考，招标人不对投标人据此做出的判断和决策负责。</w:t>
      </w:r>
    </w:p>
    <w:p>
      <w:pPr>
        <w:pStyle w:val="5"/>
        <w:snapToGrid w:val="0"/>
        <w:spacing w:before="0" w:after="0" w:line="360" w:lineRule="auto"/>
        <w:rPr>
          <w:rFonts w:ascii="宋体" w:hAnsi="宋体"/>
          <w:b w:val="0"/>
          <w:snapToGrid w:val="0"/>
          <w:sz w:val="24"/>
          <w:szCs w:val="24"/>
          <w:highlight w:val="none"/>
        </w:rPr>
      </w:pPr>
      <w:bookmarkStart w:id="390" w:name="_Toc287607757"/>
      <w:bookmarkStart w:id="391" w:name="_Toc430530446"/>
      <w:bookmarkStart w:id="392" w:name="_Toc509218721"/>
      <w:bookmarkStart w:id="393" w:name="_Toc19936"/>
      <w:bookmarkStart w:id="394" w:name="_Toc200513137"/>
      <w:bookmarkStart w:id="395" w:name="_Toc287620696"/>
      <w:bookmarkStart w:id="396" w:name="_Toc2130"/>
      <w:bookmarkStart w:id="397" w:name="_Toc25517"/>
      <w:bookmarkStart w:id="398" w:name="_Toc10680"/>
      <w:bookmarkStart w:id="399" w:name="_Toc75856999"/>
      <w:bookmarkStart w:id="400" w:name="_Toc277082563"/>
      <w:bookmarkStart w:id="401" w:name="_Toc224103328"/>
      <w:bookmarkStart w:id="402" w:name="_Toc28313"/>
      <w:r>
        <w:rPr>
          <w:rFonts w:ascii="宋体" w:hAnsi="宋体"/>
          <w:b w:val="0"/>
          <w:snapToGrid w:val="0"/>
          <w:sz w:val="24"/>
          <w:szCs w:val="24"/>
          <w:highlight w:val="none"/>
        </w:rPr>
        <w:t>1.10  投标预备会</w:t>
      </w:r>
      <w:bookmarkEnd w:id="390"/>
      <w:bookmarkEnd w:id="391"/>
      <w:bookmarkEnd w:id="392"/>
      <w:bookmarkEnd w:id="393"/>
      <w:bookmarkEnd w:id="394"/>
      <w:bookmarkEnd w:id="395"/>
      <w:bookmarkEnd w:id="396"/>
      <w:bookmarkEnd w:id="397"/>
      <w:bookmarkEnd w:id="398"/>
      <w:bookmarkEnd w:id="399"/>
      <w:bookmarkEnd w:id="400"/>
      <w:bookmarkEnd w:id="401"/>
      <w:bookmarkEnd w:id="402"/>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 xml:space="preserve">1.10.1 </w:t>
      </w:r>
      <w:r>
        <w:rPr>
          <w:rFonts w:hint="eastAsia" w:ascii="宋体" w:hAnsi="宋体"/>
          <w:snapToGrid w:val="0"/>
          <w:color w:val="000000"/>
          <w:kern w:val="0"/>
          <w:szCs w:val="21"/>
          <w:highlight w:val="none"/>
        </w:rPr>
        <w:t>投标人须知前附表规定召开投标预备会的，招标人按投标人须知前附表规定的时间和地点召开投标预备会，澄清投标人提出的问题。</w:t>
      </w:r>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 xml:space="preserve">1.10.2 </w:t>
      </w:r>
      <w:r>
        <w:rPr>
          <w:rFonts w:hint="eastAsia" w:ascii="宋体" w:hAnsi="宋体"/>
          <w:snapToGrid w:val="0"/>
          <w:color w:val="000000"/>
          <w:kern w:val="0"/>
          <w:szCs w:val="21"/>
          <w:highlight w:val="none"/>
        </w:rPr>
        <w:t>投标人应按投标人须知前附表规定的时间和形式将提出的问题送达招标人，以便招标人在会议期间澄清。</w:t>
      </w:r>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1.10.3</w:t>
      </w:r>
      <w:r>
        <w:rPr>
          <w:rFonts w:hint="eastAsia" w:ascii="宋体" w:hAnsi="宋体"/>
          <w:snapToGrid w:val="0"/>
          <w:kern w:val="0"/>
          <w:szCs w:val="21"/>
          <w:highlight w:val="none"/>
        </w:rPr>
        <w:t xml:space="preserve"> 投标预备会后，招标人将对投标人所提问题的澄清，以投标人须知前附表规定的形式通知所有潜在投标人。该澄清内容为招标文件的组成部分。</w:t>
      </w:r>
    </w:p>
    <w:p>
      <w:pPr>
        <w:pStyle w:val="5"/>
        <w:snapToGrid w:val="0"/>
        <w:spacing w:before="0" w:after="0" w:line="360" w:lineRule="auto"/>
        <w:rPr>
          <w:rFonts w:ascii="宋体" w:hAnsi="宋体"/>
          <w:b w:val="0"/>
          <w:snapToGrid w:val="0"/>
          <w:sz w:val="24"/>
          <w:szCs w:val="24"/>
          <w:highlight w:val="none"/>
        </w:rPr>
      </w:pPr>
      <w:bookmarkStart w:id="403" w:name="_Toc200513138"/>
      <w:bookmarkStart w:id="404" w:name="_Toc30042"/>
      <w:bookmarkStart w:id="405" w:name="_Toc75857000"/>
      <w:bookmarkStart w:id="406" w:name="_Toc287620697"/>
      <w:bookmarkStart w:id="407" w:name="_Toc277082564"/>
      <w:bookmarkStart w:id="408" w:name="_Toc23504"/>
      <w:bookmarkStart w:id="409" w:name="_Toc26263"/>
      <w:bookmarkStart w:id="410" w:name="_Toc287607758"/>
      <w:bookmarkStart w:id="411" w:name="_Toc23309"/>
      <w:bookmarkStart w:id="412" w:name="_Toc509218722"/>
      <w:bookmarkStart w:id="413" w:name="_Toc430530447"/>
      <w:bookmarkStart w:id="414" w:name="_Toc224103329"/>
      <w:bookmarkStart w:id="415" w:name="_Toc17020"/>
      <w:r>
        <w:rPr>
          <w:rFonts w:ascii="宋体" w:hAnsi="宋体"/>
          <w:b w:val="0"/>
          <w:snapToGrid w:val="0"/>
          <w:sz w:val="24"/>
          <w:szCs w:val="24"/>
          <w:highlight w:val="none"/>
        </w:rPr>
        <w:t>1.11  分包</w:t>
      </w:r>
      <w:bookmarkEnd w:id="403"/>
      <w:bookmarkEnd w:id="404"/>
      <w:bookmarkEnd w:id="405"/>
      <w:bookmarkEnd w:id="406"/>
      <w:bookmarkEnd w:id="407"/>
      <w:bookmarkEnd w:id="408"/>
      <w:bookmarkEnd w:id="409"/>
      <w:bookmarkEnd w:id="410"/>
      <w:bookmarkEnd w:id="411"/>
      <w:bookmarkEnd w:id="412"/>
      <w:bookmarkEnd w:id="413"/>
      <w:bookmarkEnd w:id="414"/>
      <w:bookmarkEnd w:id="415"/>
    </w:p>
    <w:p>
      <w:pPr>
        <w:autoSpaceDE w:val="0"/>
        <w:autoSpaceDN w:val="0"/>
        <w:adjustRightInd w:val="0"/>
        <w:snapToGrid w:val="0"/>
        <w:spacing w:line="360" w:lineRule="auto"/>
        <w:ind w:firstLine="424" w:firstLineChars="202"/>
        <w:rPr>
          <w:rFonts w:ascii="宋体" w:hAnsi="宋体"/>
          <w:snapToGrid w:val="0"/>
          <w:kern w:val="0"/>
          <w:szCs w:val="21"/>
          <w:highlight w:val="none"/>
        </w:rPr>
      </w:pPr>
      <w:bookmarkStart w:id="416" w:name="_Toc509218723"/>
      <w:bookmarkStart w:id="417" w:name="_Toc287620698"/>
      <w:bookmarkStart w:id="418" w:name="_Toc430530448"/>
      <w:bookmarkStart w:id="419" w:name="_Toc287607759"/>
      <w:bookmarkStart w:id="420" w:name="_Toc277082565"/>
      <w:bookmarkStart w:id="421" w:name="_Toc200513139"/>
      <w:bookmarkStart w:id="422" w:name="_Toc224103330"/>
      <w:r>
        <w:rPr>
          <w:rFonts w:ascii="宋体" w:hAnsi="宋体"/>
          <w:snapToGrid w:val="0"/>
          <w:kern w:val="0"/>
          <w:szCs w:val="21"/>
          <w:highlight w:val="none"/>
        </w:rPr>
        <w:t>1.11.1 投标人拟在中标后将中标项目的非主体</w:t>
      </w:r>
      <w:r>
        <w:rPr>
          <w:rFonts w:hint="eastAsia" w:ascii="宋体" w:hAnsi="宋体"/>
          <w:snapToGrid w:val="0"/>
          <w:kern w:val="0"/>
          <w:szCs w:val="21"/>
          <w:highlight w:val="none"/>
        </w:rPr>
        <w:t>、非关键性</w:t>
      </w:r>
      <w:r>
        <w:rPr>
          <w:rFonts w:ascii="宋体" w:hAnsi="宋体"/>
          <w:snapToGrid w:val="0"/>
          <w:kern w:val="0"/>
          <w:szCs w:val="21"/>
          <w:highlight w:val="none"/>
        </w:rPr>
        <w:t>勘察工作进行分包的，应符合投标人须知前附表规定的分包内容、分包金额和资质要求等限制性条件，除投标人须知前附表规定的非主体</w:t>
      </w:r>
      <w:r>
        <w:rPr>
          <w:rFonts w:hint="eastAsia" w:ascii="宋体" w:hAnsi="宋体"/>
          <w:snapToGrid w:val="0"/>
          <w:kern w:val="0"/>
          <w:szCs w:val="21"/>
          <w:highlight w:val="none"/>
        </w:rPr>
        <w:t>、非关键性</w:t>
      </w:r>
      <w:r>
        <w:rPr>
          <w:rFonts w:ascii="宋体" w:hAnsi="宋体"/>
          <w:snapToGrid w:val="0"/>
          <w:kern w:val="0"/>
          <w:szCs w:val="21"/>
          <w:highlight w:val="none"/>
        </w:rPr>
        <w:t>勘察</w:t>
      </w:r>
      <w:r>
        <w:rPr>
          <w:rFonts w:hint="eastAsia" w:ascii="宋体" w:hAnsi="宋体"/>
          <w:snapToGrid w:val="0"/>
          <w:kern w:val="0"/>
          <w:szCs w:val="21"/>
          <w:highlight w:val="none"/>
        </w:rPr>
        <w:t>工作</w:t>
      </w:r>
      <w:r>
        <w:rPr>
          <w:rFonts w:ascii="宋体" w:hAnsi="宋体"/>
          <w:snapToGrid w:val="0"/>
          <w:kern w:val="0"/>
          <w:szCs w:val="21"/>
          <w:highlight w:val="none"/>
        </w:rPr>
        <w:t xml:space="preserve">外，其他工作不得分包。 </w:t>
      </w:r>
    </w:p>
    <w:p>
      <w:pPr>
        <w:autoSpaceDE w:val="0"/>
        <w:autoSpaceDN w:val="0"/>
        <w:adjustRightInd w:val="0"/>
        <w:snapToGrid w:val="0"/>
        <w:spacing w:line="360" w:lineRule="auto"/>
        <w:ind w:firstLine="424" w:firstLineChars="202"/>
        <w:rPr>
          <w:rFonts w:ascii="宋体" w:hAnsi="宋体"/>
          <w:snapToGrid w:val="0"/>
          <w:kern w:val="0"/>
          <w:szCs w:val="21"/>
          <w:highlight w:val="none"/>
        </w:rPr>
      </w:pPr>
      <w:r>
        <w:rPr>
          <w:rFonts w:ascii="宋体" w:hAnsi="宋体"/>
          <w:snapToGrid w:val="0"/>
          <w:kern w:val="0"/>
          <w:szCs w:val="21"/>
          <w:highlight w:val="none"/>
        </w:rPr>
        <w:t>1.11.2</w:t>
      </w:r>
      <w:r>
        <w:rPr>
          <w:rFonts w:hint="eastAsia" w:ascii="宋体" w:hAnsi="宋体"/>
          <w:snapToGrid w:val="0"/>
          <w:kern w:val="0"/>
          <w:szCs w:val="21"/>
          <w:highlight w:val="none"/>
        </w:rPr>
        <w:t xml:space="preserve"> </w:t>
      </w:r>
      <w:r>
        <w:rPr>
          <w:rFonts w:ascii="宋体" w:hAnsi="宋体"/>
          <w:snapToGrid w:val="0"/>
          <w:kern w:val="0"/>
          <w:szCs w:val="21"/>
          <w:highlight w:val="none"/>
        </w:rPr>
        <w:t>中标人不得向他人转让中标项目，接受分包的人不得再次分包。中标人应当就分包项目向招标人负责，接受分包的人就分包项目承担连带责任。</w:t>
      </w:r>
    </w:p>
    <w:p>
      <w:pPr>
        <w:pStyle w:val="5"/>
        <w:keepNext/>
        <w:keepLines/>
        <w:snapToGrid w:val="0"/>
        <w:spacing w:before="0" w:after="0" w:line="360" w:lineRule="auto"/>
        <w:ind w:firstLine="117" w:firstLineChars="49"/>
        <w:outlineLvl w:val="2"/>
        <w:rPr>
          <w:rFonts w:ascii="宋体" w:hAnsi="宋体" w:eastAsia="黑体"/>
          <w:snapToGrid w:val="0"/>
          <w:color w:val="000000"/>
          <w:sz w:val="24"/>
          <w:szCs w:val="24"/>
          <w:highlight w:val="none"/>
        </w:rPr>
      </w:pPr>
      <w:bookmarkStart w:id="423" w:name="_Toc17103"/>
      <w:bookmarkStart w:id="424" w:name="_Toc15388"/>
      <w:bookmarkStart w:id="425" w:name="_Toc15144"/>
      <w:bookmarkStart w:id="426" w:name="_Toc492300771"/>
      <w:bookmarkStart w:id="427" w:name="_Toc17693"/>
      <w:bookmarkStart w:id="428" w:name="_Toc32495"/>
      <w:bookmarkStart w:id="429" w:name="_Toc75857001"/>
      <w:r>
        <w:rPr>
          <w:rFonts w:ascii="宋体" w:hAnsi="宋体" w:eastAsia="黑体"/>
          <w:b w:val="0"/>
          <w:bCs/>
          <w:snapToGrid w:val="0"/>
          <w:color w:val="000000"/>
          <w:sz w:val="24"/>
          <w:szCs w:val="24"/>
          <w:highlight w:val="none"/>
        </w:rPr>
        <w:t>1.12</w:t>
      </w:r>
      <w:r>
        <w:rPr>
          <w:rFonts w:hint="eastAsia" w:ascii="宋体" w:hAnsi="宋体" w:eastAsia="黑体"/>
          <w:b w:val="0"/>
          <w:bCs/>
          <w:snapToGrid w:val="0"/>
          <w:color w:val="000000"/>
          <w:sz w:val="24"/>
          <w:szCs w:val="24"/>
          <w:highlight w:val="none"/>
        </w:rPr>
        <w:t>响应和偏差</w:t>
      </w:r>
      <w:bookmarkEnd w:id="423"/>
      <w:bookmarkEnd w:id="424"/>
      <w:bookmarkEnd w:id="425"/>
      <w:bookmarkEnd w:id="426"/>
      <w:bookmarkEnd w:id="427"/>
      <w:bookmarkEnd w:id="428"/>
      <w:bookmarkEnd w:id="429"/>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1.12.1</w:t>
      </w:r>
      <w:r>
        <w:rPr>
          <w:rFonts w:hint="eastAsia" w:ascii="宋体" w:hAnsi="宋体"/>
          <w:snapToGrid w:val="0"/>
          <w:color w:val="000000"/>
          <w:kern w:val="0"/>
          <w:szCs w:val="21"/>
          <w:highlight w:val="none"/>
        </w:rPr>
        <w:t>投标文件应当对招标文件的实质性要求和条件作出满足性或更有利于招标人的响应，否则，投标人的投标将被否决。实质性要求和条件见投标人须知前附表。</w:t>
      </w:r>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 xml:space="preserve">1.12.2 </w:t>
      </w:r>
      <w:r>
        <w:rPr>
          <w:rFonts w:hint="eastAsia" w:ascii="宋体" w:hAnsi="宋体"/>
          <w:snapToGrid w:val="0"/>
          <w:color w:val="000000"/>
          <w:kern w:val="0"/>
          <w:szCs w:val="21"/>
          <w:highlight w:val="none"/>
        </w:rPr>
        <w:t>投标人应根据招标文件的要求提供投标技术部分等内容以对招标文件作出响应。</w:t>
      </w:r>
    </w:p>
    <w:p>
      <w:pPr>
        <w:autoSpaceDE w:val="0"/>
        <w:autoSpaceDN w:val="0"/>
        <w:adjustRightInd w:val="0"/>
        <w:snapToGrid w:val="0"/>
        <w:spacing w:line="360" w:lineRule="auto"/>
        <w:ind w:firstLine="424" w:firstLineChars="202"/>
        <w:rPr>
          <w:rFonts w:ascii="宋体" w:hAnsi="宋体"/>
          <w:snapToGrid w:val="0"/>
          <w:kern w:val="0"/>
          <w:szCs w:val="21"/>
          <w:highlight w:val="none"/>
        </w:rPr>
      </w:pPr>
      <w:r>
        <w:rPr>
          <w:rFonts w:ascii="宋体" w:hAnsi="宋体"/>
          <w:snapToGrid w:val="0"/>
          <w:kern w:val="0"/>
          <w:szCs w:val="21"/>
          <w:highlight w:val="none"/>
        </w:rPr>
        <w:t>1.12.3</w:t>
      </w:r>
      <w:r>
        <w:rPr>
          <w:rFonts w:hint="eastAsia" w:ascii="宋体" w:hAnsi="宋体"/>
          <w:snapToGrid w:val="0"/>
          <w:kern w:val="0"/>
          <w:szCs w:val="21"/>
          <w:highlight w:val="none"/>
        </w:rPr>
        <w:t>投标人须知前附表允许投标文件偏离招标文件某些要求的，偏差应当符合招标文件规定的偏差范围和幅度。</w:t>
      </w:r>
    </w:p>
    <w:bookmarkEnd w:id="416"/>
    <w:bookmarkEnd w:id="417"/>
    <w:bookmarkEnd w:id="418"/>
    <w:bookmarkEnd w:id="419"/>
    <w:bookmarkEnd w:id="420"/>
    <w:bookmarkEnd w:id="421"/>
    <w:bookmarkEnd w:id="422"/>
    <w:p>
      <w:pPr>
        <w:pStyle w:val="4"/>
        <w:spacing w:before="0" w:after="0" w:line="360" w:lineRule="auto"/>
        <w:rPr>
          <w:rFonts w:ascii="宋体" w:hAnsi="宋体"/>
          <w:b w:val="0"/>
          <w:snapToGrid w:val="0"/>
          <w:highlight w:val="none"/>
        </w:rPr>
      </w:pPr>
      <w:bookmarkStart w:id="430" w:name="_Toc14323"/>
      <w:bookmarkStart w:id="431" w:name="_Toc200513140"/>
      <w:bookmarkStart w:id="432" w:name="_Toc509218724"/>
      <w:bookmarkStart w:id="433" w:name="_Toc287607760"/>
      <w:bookmarkStart w:id="434" w:name="_Toc277082566"/>
      <w:bookmarkStart w:id="435" w:name="_Toc224103331"/>
      <w:bookmarkStart w:id="436" w:name="_Toc75857002"/>
      <w:bookmarkStart w:id="437" w:name="_Toc18488"/>
      <w:bookmarkStart w:id="438" w:name="_Toc430530449"/>
      <w:bookmarkStart w:id="439" w:name="_Toc15567"/>
      <w:bookmarkStart w:id="440" w:name="_Toc30939"/>
      <w:bookmarkStart w:id="441" w:name="_Toc30254"/>
      <w:bookmarkStart w:id="442" w:name="_Toc287620699"/>
      <w:r>
        <w:rPr>
          <w:rFonts w:ascii="宋体" w:hAnsi="宋体"/>
          <w:b w:val="0"/>
          <w:snapToGrid w:val="0"/>
          <w:highlight w:val="none"/>
        </w:rPr>
        <w:t>2.  招标文件</w:t>
      </w:r>
      <w:bookmarkEnd w:id="430"/>
      <w:bookmarkEnd w:id="431"/>
      <w:bookmarkEnd w:id="432"/>
      <w:bookmarkEnd w:id="433"/>
      <w:bookmarkEnd w:id="434"/>
      <w:bookmarkEnd w:id="435"/>
      <w:bookmarkEnd w:id="436"/>
      <w:bookmarkEnd w:id="437"/>
      <w:bookmarkEnd w:id="438"/>
      <w:bookmarkEnd w:id="439"/>
      <w:bookmarkEnd w:id="440"/>
      <w:bookmarkEnd w:id="441"/>
      <w:bookmarkEnd w:id="442"/>
    </w:p>
    <w:p>
      <w:pPr>
        <w:pStyle w:val="5"/>
        <w:snapToGrid w:val="0"/>
        <w:spacing w:before="0" w:after="0" w:line="360" w:lineRule="auto"/>
        <w:rPr>
          <w:rFonts w:ascii="宋体" w:hAnsi="宋体"/>
          <w:b w:val="0"/>
          <w:snapToGrid w:val="0"/>
          <w:sz w:val="24"/>
          <w:szCs w:val="24"/>
          <w:highlight w:val="none"/>
        </w:rPr>
      </w:pPr>
      <w:bookmarkStart w:id="443" w:name="_Toc277082567"/>
      <w:bookmarkStart w:id="444" w:name="_Toc31361"/>
      <w:bookmarkStart w:id="445" w:name="_Toc509218725"/>
      <w:bookmarkStart w:id="446" w:name="_Toc22619"/>
      <w:bookmarkStart w:id="447" w:name="_Toc287607761"/>
      <w:bookmarkStart w:id="448" w:name="_Toc224103332"/>
      <w:bookmarkStart w:id="449" w:name="_Toc6119"/>
      <w:bookmarkStart w:id="450" w:name="_Toc200513141"/>
      <w:bookmarkStart w:id="451" w:name="_Toc287620700"/>
      <w:bookmarkStart w:id="452" w:name="_Toc75857003"/>
      <w:bookmarkStart w:id="453" w:name="_Toc20752"/>
      <w:bookmarkStart w:id="454" w:name="_Toc9452"/>
      <w:bookmarkStart w:id="455" w:name="_Toc430530450"/>
      <w:r>
        <w:rPr>
          <w:rFonts w:ascii="宋体" w:hAnsi="宋体"/>
          <w:b w:val="0"/>
          <w:snapToGrid w:val="0"/>
          <w:sz w:val="24"/>
          <w:szCs w:val="24"/>
          <w:highlight w:val="none"/>
        </w:rPr>
        <w:t>2.1  招标文件的组成</w:t>
      </w:r>
      <w:bookmarkEnd w:id="443"/>
      <w:bookmarkEnd w:id="444"/>
      <w:bookmarkEnd w:id="445"/>
      <w:bookmarkEnd w:id="446"/>
      <w:bookmarkEnd w:id="447"/>
      <w:bookmarkEnd w:id="448"/>
      <w:bookmarkEnd w:id="449"/>
      <w:bookmarkEnd w:id="450"/>
      <w:bookmarkEnd w:id="451"/>
      <w:bookmarkEnd w:id="452"/>
      <w:bookmarkEnd w:id="453"/>
      <w:bookmarkEnd w:id="454"/>
      <w:bookmarkEnd w:id="455"/>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本招标文件包括：</w:t>
      </w:r>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（1）招标公告（或投标邀请书）；</w:t>
      </w:r>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（2）投标人须知；</w:t>
      </w:r>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（3）评标办法；</w:t>
      </w:r>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（4）合同条款及格式；</w:t>
      </w:r>
    </w:p>
    <w:p>
      <w:pPr>
        <w:autoSpaceDE w:val="0"/>
        <w:autoSpaceDN w:val="0"/>
        <w:adjustRightInd w:val="0"/>
        <w:snapToGrid w:val="0"/>
        <w:spacing w:line="360" w:lineRule="auto"/>
        <w:ind w:firstLine="420"/>
        <w:rPr>
          <w:rFonts w:ascii="宋体" w:hAnsi="宋体"/>
          <w:snapToGrid w:val="0"/>
          <w:kern w:val="0"/>
          <w:szCs w:val="21"/>
          <w:highlight w:val="none"/>
        </w:rPr>
      </w:pPr>
      <w:bookmarkStart w:id="456" w:name="_Toc509218726"/>
      <w:bookmarkStart w:id="457" w:name="_Toc430530451"/>
      <w:r>
        <w:rPr>
          <w:rFonts w:ascii="宋体" w:hAnsi="宋体"/>
          <w:snapToGrid w:val="0"/>
          <w:kern w:val="0"/>
          <w:szCs w:val="21"/>
          <w:highlight w:val="none"/>
        </w:rPr>
        <w:t>（5）发包人要求；</w:t>
      </w:r>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（6）投标文件格式；</w:t>
      </w:r>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（7）投标人须知前附表规定的其他资料。</w:t>
      </w:r>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snapToGrid w:val="0"/>
          <w:kern w:val="0"/>
          <w:szCs w:val="21"/>
          <w:highlight w:val="none"/>
        </w:rPr>
        <w:t>根据本章第1.10款、第2.2款和第2.3款对招标文件所作的澄清、修改，构成招标文件的组成部分。</w:t>
      </w:r>
    </w:p>
    <w:p>
      <w:pPr>
        <w:pStyle w:val="5"/>
        <w:snapToGrid w:val="0"/>
        <w:spacing w:before="0" w:after="0" w:line="360" w:lineRule="auto"/>
        <w:rPr>
          <w:rFonts w:ascii="宋体" w:hAnsi="宋体"/>
          <w:b w:val="0"/>
          <w:snapToGrid w:val="0"/>
          <w:sz w:val="24"/>
          <w:szCs w:val="24"/>
          <w:highlight w:val="none"/>
        </w:rPr>
      </w:pPr>
      <w:bookmarkStart w:id="458" w:name="_Toc6731"/>
      <w:bookmarkStart w:id="459" w:name="_Toc25898"/>
      <w:bookmarkStart w:id="460" w:name="_Toc7039"/>
      <w:bookmarkStart w:id="461" w:name="_Toc12552"/>
      <w:bookmarkStart w:id="462" w:name="_Toc75857004"/>
      <w:bookmarkStart w:id="463" w:name="_Toc23368"/>
      <w:r>
        <w:rPr>
          <w:rFonts w:ascii="宋体" w:hAnsi="宋体"/>
          <w:b w:val="0"/>
          <w:snapToGrid w:val="0"/>
          <w:sz w:val="24"/>
          <w:szCs w:val="24"/>
          <w:highlight w:val="none"/>
        </w:rPr>
        <w:t>2.2  招标文件的澄清</w:t>
      </w:r>
      <w:bookmarkEnd w:id="456"/>
      <w:bookmarkEnd w:id="457"/>
      <w:bookmarkEnd w:id="458"/>
      <w:bookmarkEnd w:id="459"/>
      <w:bookmarkEnd w:id="460"/>
      <w:bookmarkEnd w:id="461"/>
      <w:bookmarkEnd w:id="462"/>
      <w:bookmarkEnd w:id="463"/>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 xml:space="preserve">2.2.1 </w:t>
      </w:r>
      <w:r>
        <w:rPr>
          <w:rFonts w:hint="eastAsia" w:ascii="宋体" w:hAnsi="宋体"/>
          <w:snapToGrid w:val="0"/>
          <w:color w:val="000000"/>
          <w:kern w:val="0"/>
          <w:szCs w:val="21"/>
          <w:highlight w:val="none"/>
        </w:rPr>
        <w:t>投标人应仔细阅读和检查招标文件的全部内容。如发现缺页或附件不全，应及时向招标人提出，以便补齐。如有疑问，应按投标人须知前附表规定的时间和形式将提出的问题，要求招标人对招标文件予以澄清。</w:t>
      </w:r>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2.2.2</w:t>
      </w:r>
      <w:r>
        <w:rPr>
          <w:rFonts w:hint="eastAsia" w:ascii="宋体" w:hAnsi="宋体"/>
          <w:snapToGrid w:val="0"/>
          <w:color w:val="000000"/>
          <w:kern w:val="0"/>
          <w:szCs w:val="21"/>
          <w:highlight w:val="none"/>
        </w:rPr>
        <w:t>招标文件的澄清</w:t>
      </w:r>
      <w:r>
        <w:rPr>
          <w:rFonts w:hint="eastAsia" w:ascii="宋体" w:hAnsi="宋体"/>
          <w:snapToGrid w:val="0"/>
          <w:kern w:val="0"/>
          <w:szCs w:val="21"/>
          <w:highlight w:val="none"/>
        </w:rPr>
        <w:t>按</w:t>
      </w:r>
      <w:r>
        <w:rPr>
          <w:rFonts w:hint="eastAsia" w:ascii="宋体" w:hAnsi="宋体"/>
          <w:snapToGrid w:val="0"/>
          <w:color w:val="000000"/>
          <w:kern w:val="0"/>
          <w:szCs w:val="21"/>
          <w:highlight w:val="none"/>
        </w:rPr>
        <w:t>投标人须知前附表规定的</w:t>
      </w:r>
      <w:r>
        <w:rPr>
          <w:rFonts w:ascii="宋体" w:hAnsi="宋体"/>
          <w:snapToGrid w:val="0"/>
          <w:kern w:val="0"/>
          <w:szCs w:val="21"/>
          <w:highlight w:val="none"/>
        </w:rPr>
        <w:t>时间和</w:t>
      </w:r>
      <w:r>
        <w:rPr>
          <w:rFonts w:hint="eastAsia" w:ascii="宋体" w:hAnsi="宋体"/>
          <w:snapToGrid w:val="0"/>
          <w:color w:val="000000"/>
          <w:kern w:val="0"/>
          <w:szCs w:val="21"/>
          <w:highlight w:val="none"/>
        </w:rPr>
        <w:t>形式发给所有</w:t>
      </w:r>
      <w:r>
        <w:rPr>
          <w:rFonts w:hint="eastAsia" w:ascii="宋体" w:hAnsi="宋体"/>
          <w:snapToGrid w:val="0"/>
          <w:kern w:val="0"/>
          <w:szCs w:val="21"/>
          <w:highlight w:val="none"/>
        </w:rPr>
        <w:t>潜在</w:t>
      </w:r>
      <w:r>
        <w:rPr>
          <w:rFonts w:hint="eastAsia" w:ascii="宋体" w:hAnsi="宋体"/>
          <w:snapToGrid w:val="0"/>
          <w:color w:val="000000"/>
          <w:kern w:val="0"/>
          <w:szCs w:val="21"/>
          <w:highlight w:val="none"/>
        </w:rPr>
        <w:t>投标人，但不指明澄清问题的来源。澄清发出的时间距本章第</w:t>
      </w:r>
      <w:r>
        <w:rPr>
          <w:rFonts w:ascii="宋体" w:hAnsi="宋体"/>
          <w:snapToGrid w:val="0"/>
          <w:color w:val="000000"/>
          <w:kern w:val="0"/>
          <w:szCs w:val="21"/>
          <w:highlight w:val="none"/>
        </w:rPr>
        <w:t>4.2.1</w:t>
      </w:r>
      <w:r>
        <w:rPr>
          <w:rFonts w:hint="eastAsia" w:ascii="宋体" w:hAnsi="宋体"/>
          <w:snapToGrid w:val="0"/>
          <w:color w:val="000000"/>
          <w:kern w:val="0"/>
          <w:szCs w:val="21"/>
          <w:highlight w:val="none"/>
        </w:rPr>
        <w:t>项规定的投标截止时间不足</w:t>
      </w:r>
      <w:r>
        <w:rPr>
          <w:rFonts w:ascii="宋体" w:hAnsi="宋体"/>
          <w:snapToGrid w:val="0"/>
          <w:color w:val="000000"/>
          <w:kern w:val="0"/>
          <w:szCs w:val="21"/>
          <w:highlight w:val="none"/>
        </w:rPr>
        <w:t>15</w:t>
      </w:r>
      <w:r>
        <w:rPr>
          <w:rFonts w:hint="eastAsia" w:ascii="宋体" w:hAnsi="宋体"/>
          <w:snapToGrid w:val="0"/>
          <w:color w:val="000000"/>
          <w:kern w:val="0"/>
          <w:szCs w:val="21"/>
          <w:highlight w:val="none"/>
        </w:rPr>
        <w:t>日的，并且澄清内容可能影响投标文件编制的，将相应延长投标截止时间。</w:t>
      </w:r>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2.2.3</w:t>
      </w:r>
      <w:r>
        <w:rPr>
          <w:rFonts w:hint="eastAsia" w:ascii="宋体" w:hAnsi="宋体"/>
          <w:snapToGrid w:val="0"/>
          <w:kern w:val="0"/>
          <w:szCs w:val="21"/>
          <w:highlight w:val="none"/>
        </w:rPr>
        <w:t>投标人在收到澄清后，应向招标人确认已收到该澄清。招标人采用网络媒介公开发布澄清的，无论投标人是否查看，均视为所有潜在投标人清楚知晓澄清全部内容。投标人应在投标截止时间前密切关注澄清发布媒介发出的相关内容。</w:t>
      </w:r>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ascii="宋体" w:hAnsi="宋体"/>
          <w:snapToGrid w:val="0"/>
          <w:color w:val="000000"/>
          <w:kern w:val="0"/>
          <w:szCs w:val="21"/>
          <w:highlight w:val="none"/>
        </w:rPr>
        <w:t xml:space="preserve">2.2.4 </w:t>
      </w:r>
      <w:r>
        <w:rPr>
          <w:rFonts w:hint="eastAsia" w:ascii="宋体" w:hAnsi="宋体"/>
          <w:snapToGrid w:val="0"/>
          <w:color w:val="000000"/>
          <w:kern w:val="0"/>
          <w:szCs w:val="21"/>
          <w:highlight w:val="none"/>
        </w:rPr>
        <w:t>除非招标人认为确有必要答复，否则，招标人有权拒绝回复投标人在本章第</w:t>
      </w:r>
      <w:r>
        <w:rPr>
          <w:rFonts w:ascii="宋体" w:hAnsi="宋体"/>
          <w:snapToGrid w:val="0"/>
          <w:color w:val="000000"/>
          <w:kern w:val="0"/>
          <w:szCs w:val="21"/>
          <w:highlight w:val="none"/>
        </w:rPr>
        <w:t>2.2.1</w:t>
      </w:r>
      <w:r>
        <w:rPr>
          <w:rFonts w:hint="eastAsia" w:ascii="宋体" w:hAnsi="宋体"/>
          <w:snapToGrid w:val="0"/>
          <w:color w:val="000000"/>
          <w:kern w:val="0"/>
          <w:szCs w:val="21"/>
          <w:highlight w:val="none"/>
        </w:rPr>
        <w:t>项规定的时间后的任何澄清要求。</w:t>
      </w:r>
    </w:p>
    <w:p>
      <w:pPr>
        <w:pStyle w:val="5"/>
        <w:snapToGrid w:val="0"/>
        <w:spacing w:before="0" w:after="0" w:line="360" w:lineRule="auto"/>
        <w:rPr>
          <w:rFonts w:ascii="宋体" w:hAnsi="宋体"/>
          <w:b w:val="0"/>
          <w:snapToGrid w:val="0"/>
          <w:sz w:val="24"/>
          <w:szCs w:val="24"/>
          <w:highlight w:val="none"/>
        </w:rPr>
      </w:pPr>
      <w:bookmarkStart w:id="464" w:name="_Toc287607763"/>
      <w:bookmarkStart w:id="465" w:name="_Toc509218727"/>
      <w:bookmarkStart w:id="466" w:name="_Toc18004"/>
      <w:bookmarkStart w:id="467" w:name="_Toc287620702"/>
      <w:bookmarkStart w:id="468" w:name="_Toc1059"/>
      <w:bookmarkStart w:id="469" w:name="_Toc75857005"/>
      <w:bookmarkStart w:id="470" w:name="_Toc25746"/>
      <w:bookmarkStart w:id="471" w:name="_Toc224103334"/>
      <w:bookmarkStart w:id="472" w:name="_Toc430530452"/>
      <w:bookmarkStart w:id="473" w:name="_Toc277082569"/>
      <w:bookmarkStart w:id="474" w:name="_Toc21779"/>
      <w:bookmarkStart w:id="475" w:name="_Toc200513143"/>
      <w:bookmarkStart w:id="476" w:name="_Toc411"/>
      <w:r>
        <w:rPr>
          <w:rFonts w:ascii="宋体" w:hAnsi="宋体"/>
          <w:b w:val="0"/>
          <w:snapToGrid w:val="0"/>
          <w:sz w:val="24"/>
          <w:szCs w:val="24"/>
          <w:highlight w:val="none"/>
        </w:rPr>
        <w:t>2.3  招标文件的修改</w:t>
      </w:r>
      <w:bookmarkEnd w:id="464"/>
      <w:bookmarkEnd w:id="465"/>
      <w:bookmarkEnd w:id="466"/>
      <w:bookmarkEnd w:id="467"/>
      <w:bookmarkEnd w:id="468"/>
      <w:bookmarkEnd w:id="469"/>
      <w:bookmarkEnd w:id="470"/>
      <w:bookmarkEnd w:id="471"/>
      <w:bookmarkEnd w:id="472"/>
      <w:bookmarkEnd w:id="473"/>
      <w:bookmarkEnd w:id="474"/>
      <w:bookmarkEnd w:id="475"/>
      <w:bookmarkEnd w:id="476"/>
    </w:p>
    <w:p>
      <w:pPr>
        <w:autoSpaceDE w:val="0"/>
        <w:autoSpaceDN w:val="0"/>
        <w:adjustRightInd w:val="0"/>
        <w:snapToGrid w:val="0"/>
        <w:spacing w:line="360" w:lineRule="auto"/>
        <w:ind w:firstLine="420"/>
        <w:rPr>
          <w:rFonts w:ascii="宋体" w:hAnsi="宋体"/>
          <w:snapToGrid w:val="0"/>
          <w:highlight w:val="none"/>
        </w:rPr>
      </w:pPr>
      <w:bookmarkStart w:id="477" w:name="_Toc492300776"/>
      <w:bookmarkStart w:id="478" w:name="_Toc200513144"/>
      <w:bookmarkStart w:id="479" w:name="_Toc224103335"/>
      <w:bookmarkStart w:id="480" w:name="_Toc287620703"/>
      <w:bookmarkStart w:id="481" w:name="_Toc287607764"/>
      <w:bookmarkStart w:id="482" w:name="_Toc277082570"/>
      <w:r>
        <w:rPr>
          <w:rFonts w:hint="eastAsia" w:ascii="宋体" w:hAnsi="宋体"/>
          <w:snapToGrid w:val="0"/>
          <w:highlight w:val="none"/>
        </w:rPr>
        <w:t>2</w:t>
      </w:r>
      <w:r>
        <w:rPr>
          <w:rFonts w:ascii="宋体" w:hAnsi="宋体"/>
          <w:snapToGrid w:val="0"/>
          <w:highlight w:val="none"/>
        </w:rPr>
        <w:t>.3.1  招标文件的</w:t>
      </w:r>
      <w:r>
        <w:rPr>
          <w:rFonts w:hint="eastAsia" w:ascii="宋体" w:hAnsi="宋体"/>
          <w:snapToGrid w:val="0"/>
          <w:highlight w:val="none"/>
        </w:rPr>
        <w:t>修改</w:t>
      </w:r>
      <w:r>
        <w:rPr>
          <w:rFonts w:ascii="宋体" w:hAnsi="宋体"/>
          <w:snapToGrid w:val="0"/>
          <w:highlight w:val="none"/>
        </w:rPr>
        <w:t>按投标人须知前附表规定的时间和形式发给所有潜在投标人</w:t>
      </w:r>
      <w:r>
        <w:rPr>
          <w:rFonts w:hint="eastAsia" w:ascii="宋体" w:hAnsi="宋体"/>
          <w:snapToGrid w:val="0"/>
          <w:highlight w:val="none"/>
        </w:rPr>
        <w:t>。</w:t>
      </w:r>
      <w:r>
        <w:rPr>
          <w:rFonts w:ascii="宋体" w:hAnsi="宋体"/>
          <w:snapToGrid w:val="0"/>
          <w:highlight w:val="none"/>
        </w:rPr>
        <w:t>修改招标文件的时间距本章第4.2.1项规定的投标截止时间不足15日的，并且修改内容可能影响投标文件编制的，将相应延长投标截止时间。</w:t>
      </w:r>
    </w:p>
    <w:p>
      <w:pPr>
        <w:autoSpaceDE w:val="0"/>
        <w:autoSpaceDN w:val="0"/>
        <w:adjustRightInd w:val="0"/>
        <w:snapToGrid w:val="0"/>
        <w:spacing w:line="360" w:lineRule="auto"/>
        <w:ind w:firstLine="420"/>
        <w:rPr>
          <w:rFonts w:ascii="宋体" w:hAnsi="宋体"/>
          <w:snapToGrid w:val="0"/>
          <w:highlight w:val="none"/>
        </w:rPr>
      </w:pPr>
      <w:r>
        <w:rPr>
          <w:rFonts w:hint="eastAsia" w:ascii="宋体" w:hAnsi="宋体"/>
          <w:snapToGrid w:val="0"/>
          <w:highlight w:val="none"/>
        </w:rPr>
        <w:t>2</w:t>
      </w:r>
      <w:r>
        <w:rPr>
          <w:rFonts w:ascii="宋体" w:hAnsi="宋体"/>
          <w:snapToGrid w:val="0"/>
          <w:highlight w:val="none"/>
        </w:rPr>
        <w:t>.3.2  投标人在收到</w:t>
      </w:r>
      <w:r>
        <w:rPr>
          <w:rFonts w:hint="eastAsia" w:ascii="宋体" w:hAnsi="宋体"/>
          <w:snapToGrid w:val="0"/>
          <w:highlight w:val="none"/>
        </w:rPr>
        <w:t>修改内容</w:t>
      </w:r>
      <w:r>
        <w:rPr>
          <w:rFonts w:ascii="宋体" w:hAnsi="宋体"/>
          <w:snapToGrid w:val="0"/>
          <w:highlight w:val="none"/>
        </w:rPr>
        <w:t>后，应向招标人确认已收到该</w:t>
      </w:r>
      <w:r>
        <w:rPr>
          <w:rFonts w:hint="eastAsia" w:ascii="宋体" w:hAnsi="宋体"/>
          <w:snapToGrid w:val="0"/>
          <w:highlight w:val="none"/>
        </w:rPr>
        <w:t>修改内容</w:t>
      </w:r>
      <w:r>
        <w:rPr>
          <w:rFonts w:ascii="宋体" w:hAnsi="宋体"/>
          <w:snapToGrid w:val="0"/>
          <w:highlight w:val="none"/>
        </w:rPr>
        <w:t>。</w:t>
      </w:r>
      <w:r>
        <w:rPr>
          <w:rFonts w:hint="eastAsia" w:ascii="宋体" w:hAnsi="宋体"/>
          <w:snapToGrid w:val="0"/>
          <w:highlight w:val="none"/>
        </w:rPr>
        <w:t>招标人采用网络媒介公开发布修改内容的，无论投标人是否查看，均视为所有潜在投标人清楚知晓修改全部内容。投标人应在投标截止时间前密切关注修改发布媒介发出的相关内容。</w:t>
      </w:r>
    </w:p>
    <w:p>
      <w:pPr>
        <w:pStyle w:val="5"/>
        <w:snapToGrid w:val="0"/>
        <w:spacing w:before="0" w:after="0" w:line="360" w:lineRule="auto"/>
        <w:ind w:firstLine="0"/>
        <w:rPr>
          <w:rFonts w:ascii="宋体" w:hAnsi="宋体"/>
          <w:b w:val="0"/>
          <w:snapToGrid w:val="0"/>
          <w:color w:val="000000"/>
          <w:sz w:val="24"/>
          <w:szCs w:val="24"/>
          <w:highlight w:val="none"/>
        </w:rPr>
      </w:pPr>
      <w:bookmarkStart w:id="483" w:name="_Toc12786"/>
      <w:bookmarkStart w:id="484" w:name="_Toc75857006"/>
      <w:bookmarkStart w:id="485" w:name="_Toc8114"/>
      <w:bookmarkStart w:id="486" w:name="_Toc28429"/>
      <w:bookmarkStart w:id="487" w:name="_Toc6848"/>
      <w:bookmarkStart w:id="488" w:name="_Toc6235"/>
      <w:r>
        <w:rPr>
          <w:rFonts w:ascii="宋体" w:hAnsi="宋体"/>
          <w:b w:val="0"/>
          <w:snapToGrid w:val="0"/>
          <w:color w:val="000000"/>
          <w:sz w:val="24"/>
          <w:szCs w:val="24"/>
          <w:highlight w:val="none"/>
        </w:rPr>
        <w:t xml:space="preserve">2.4 </w:t>
      </w:r>
      <w:r>
        <w:rPr>
          <w:rFonts w:hint="eastAsia" w:ascii="宋体" w:hAnsi="宋体"/>
          <w:b w:val="0"/>
          <w:snapToGrid w:val="0"/>
          <w:color w:val="000000"/>
          <w:sz w:val="24"/>
          <w:szCs w:val="24"/>
          <w:highlight w:val="none"/>
        </w:rPr>
        <w:t>招标文件的异议</w:t>
      </w:r>
      <w:bookmarkEnd w:id="477"/>
      <w:bookmarkEnd w:id="483"/>
      <w:bookmarkEnd w:id="484"/>
      <w:bookmarkEnd w:id="485"/>
      <w:bookmarkEnd w:id="486"/>
      <w:bookmarkEnd w:id="487"/>
      <w:bookmarkEnd w:id="488"/>
    </w:p>
    <w:p>
      <w:pPr>
        <w:autoSpaceDE w:val="0"/>
        <w:autoSpaceDN w:val="0"/>
        <w:adjustRightInd w:val="0"/>
        <w:snapToGrid w:val="0"/>
        <w:spacing w:line="360" w:lineRule="auto"/>
        <w:ind w:firstLine="424" w:firstLineChars="202"/>
        <w:rPr>
          <w:rFonts w:ascii="宋体" w:hAnsi="宋体"/>
          <w:snapToGrid w:val="0"/>
          <w:color w:val="000000"/>
          <w:kern w:val="0"/>
          <w:szCs w:val="21"/>
          <w:highlight w:val="none"/>
        </w:rPr>
      </w:pPr>
      <w:r>
        <w:rPr>
          <w:rFonts w:hint="eastAsia" w:ascii="宋体" w:hAnsi="宋体"/>
          <w:snapToGrid w:val="0"/>
          <w:color w:val="000000"/>
          <w:kern w:val="0"/>
          <w:szCs w:val="21"/>
          <w:highlight w:val="none"/>
        </w:rPr>
        <w:t>投标人或者其他利害关系人对招标文件</w:t>
      </w:r>
      <w:r>
        <w:rPr>
          <w:rFonts w:ascii="宋体" w:hAnsi="宋体"/>
          <w:snapToGrid w:val="0"/>
          <w:kern w:val="0"/>
          <w:szCs w:val="21"/>
          <w:highlight w:val="none"/>
        </w:rPr>
        <w:t>及澄清修改</w:t>
      </w:r>
      <w:r>
        <w:rPr>
          <w:rFonts w:hint="eastAsia" w:ascii="宋体" w:hAnsi="宋体"/>
          <w:snapToGrid w:val="0"/>
          <w:color w:val="000000"/>
          <w:kern w:val="0"/>
          <w:szCs w:val="21"/>
          <w:highlight w:val="none"/>
        </w:rPr>
        <w:t>有异议的，应当在投标截止时间</w:t>
      </w:r>
      <w:r>
        <w:rPr>
          <w:rFonts w:ascii="宋体" w:hAnsi="宋体"/>
          <w:snapToGrid w:val="0"/>
          <w:color w:val="000000"/>
          <w:kern w:val="0"/>
          <w:szCs w:val="21"/>
          <w:highlight w:val="none"/>
        </w:rPr>
        <w:t>10</w:t>
      </w:r>
      <w:r>
        <w:rPr>
          <w:rFonts w:hint="eastAsia" w:ascii="宋体" w:hAnsi="宋体"/>
          <w:snapToGrid w:val="0"/>
          <w:color w:val="000000"/>
          <w:kern w:val="0"/>
          <w:szCs w:val="21"/>
          <w:highlight w:val="none"/>
        </w:rPr>
        <w:t>日前</w:t>
      </w:r>
      <w:r>
        <w:rPr>
          <w:rFonts w:hint="eastAsia" w:ascii="宋体" w:hAnsi="宋体"/>
          <w:snapToGrid w:val="0"/>
          <w:kern w:val="0"/>
          <w:szCs w:val="21"/>
          <w:highlight w:val="none"/>
        </w:rPr>
        <w:t>按投标人须知前附表规定的形式提出</w:t>
      </w:r>
      <w:r>
        <w:rPr>
          <w:rFonts w:ascii="宋体" w:hAnsi="宋体"/>
          <w:snapToGrid w:val="0"/>
          <w:kern w:val="0"/>
          <w:szCs w:val="21"/>
          <w:highlight w:val="none"/>
        </w:rPr>
        <w:t>。招标人应当自</w:t>
      </w:r>
      <w:r>
        <w:rPr>
          <w:rFonts w:hint="eastAsia" w:ascii="宋体" w:hAnsi="宋体"/>
          <w:snapToGrid w:val="0"/>
          <w:color w:val="000000"/>
          <w:kern w:val="0"/>
          <w:szCs w:val="21"/>
          <w:highlight w:val="none"/>
        </w:rPr>
        <w:t>收到异议之日起</w:t>
      </w:r>
      <w:r>
        <w:rPr>
          <w:rFonts w:ascii="宋体" w:hAnsi="宋体"/>
          <w:snapToGrid w:val="0"/>
          <w:color w:val="000000"/>
          <w:kern w:val="0"/>
          <w:szCs w:val="21"/>
          <w:highlight w:val="none"/>
        </w:rPr>
        <w:t>3</w:t>
      </w:r>
      <w:r>
        <w:rPr>
          <w:rFonts w:hint="eastAsia" w:ascii="宋体" w:hAnsi="宋体"/>
          <w:snapToGrid w:val="0"/>
          <w:color w:val="000000"/>
          <w:kern w:val="0"/>
          <w:szCs w:val="21"/>
          <w:highlight w:val="none"/>
        </w:rPr>
        <w:t>日内作出答复</w:t>
      </w:r>
      <w:r>
        <w:rPr>
          <w:rFonts w:hint="eastAsia" w:ascii="宋体" w:hAnsi="宋体"/>
          <w:snapToGrid w:val="0"/>
          <w:kern w:val="0"/>
          <w:szCs w:val="21"/>
          <w:highlight w:val="none"/>
        </w:rPr>
        <w:t>。</w:t>
      </w:r>
      <w:r>
        <w:rPr>
          <w:rFonts w:hint="eastAsia" w:ascii="宋体" w:hAnsi="宋体"/>
          <w:snapToGrid w:val="0"/>
          <w:color w:val="000000"/>
          <w:kern w:val="0"/>
          <w:szCs w:val="21"/>
          <w:highlight w:val="none"/>
        </w:rPr>
        <w:t>作出答复前，将暂停招标投标活动。</w:t>
      </w:r>
    </w:p>
    <w:p>
      <w:pPr>
        <w:pStyle w:val="4"/>
        <w:spacing w:before="0" w:after="0" w:line="360" w:lineRule="auto"/>
        <w:rPr>
          <w:rFonts w:ascii="宋体" w:hAnsi="宋体"/>
          <w:b w:val="0"/>
          <w:snapToGrid w:val="0"/>
          <w:highlight w:val="none"/>
        </w:rPr>
      </w:pPr>
      <w:bookmarkStart w:id="489" w:name="_Toc75857007"/>
      <w:bookmarkStart w:id="490" w:name="_Toc26284"/>
      <w:bookmarkStart w:id="491" w:name="_Toc1237"/>
      <w:bookmarkStart w:id="492" w:name="_Toc430530453"/>
      <w:bookmarkStart w:id="493" w:name="_Toc26815"/>
      <w:bookmarkStart w:id="494" w:name="_Toc6380"/>
      <w:bookmarkStart w:id="495" w:name="_Toc509218728"/>
      <w:bookmarkStart w:id="496" w:name="_Toc456"/>
      <w:r>
        <w:rPr>
          <w:rFonts w:ascii="宋体" w:hAnsi="宋体"/>
          <w:b w:val="0"/>
          <w:bCs/>
          <w:snapToGrid w:val="0"/>
          <w:sz w:val="32"/>
          <w:szCs w:val="32"/>
          <w:highlight w:val="none"/>
        </w:rPr>
        <w:t>3.  投标文件</w:t>
      </w:r>
      <w:bookmarkEnd w:id="478"/>
      <w:bookmarkEnd w:id="479"/>
      <w:bookmarkEnd w:id="480"/>
      <w:bookmarkEnd w:id="481"/>
      <w:bookmarkEnd w:id="482"/>
      <w:bookmarkEnd w:id="489"/>
      <w:bookmarkEnd w:id="490"/>
      <w:bookmarkEnd w:id="491"/>
      <w:bookmarkEnd w:id="492"/>
      <w:bookmarkEnd w:id="493"/>
      <w:bookmarkEnd w:id="494"/>
      <w:bookmarkEnd w:id="495"/>
      <w:bookmarkEnd w:id="496"/>
    </w:p>
    <w:p>
      <w:pPr>
        <w:pStyle w:val="5"/>
        <w:snapToGrid w:val="0"/>
        <w:spacing w:before="0" w:after="0" w:line="360" w:lineRule="auto"/>
        <w:rPr>
          <w:rFonts w:ascii="宋体" w:hAnsi="宋体"/>
          <w:b w:val="0"/>
          <w:snapToGrid w:val="0"/>
          <w:sz w:val="24"/>
          <w:szCs w:val="24"/>
          <w:highlight w:val="none"/>
        </w:rPr>
      </w:pPr>
      <w:bookmarkStart w:id="497" w:name="_Toc75857008"/>
      <w:bookmarkStart w:id="498" w:name="_Toc287620704"/>
      <w:bookmarkStart w:id="499" w:name="_Toc287607765"/>
      <w:bookmarkStart w:id="500" w:name="_Toc277082571"/>
      <w:bookmarkStart w:id="501" w:name="_Toc4490"/>
      <w:bookmarkStart w:id="502" w:name="_Toc8976"/>
      <w:bookmarkStart w:id="503" w:name="_Toc32688"/>
      <w:bookmarkStart w:id="504" w:name="_Toc430530454"/>
      <w:bookmarkStart w:id="505" w:name="_Toc200513145"/>
      <w:bookmarkStart w:id="506" w:name="_Toc509218729"/>
      <w:bookmarkStart w:id="507" w:name="_Toc32185"/>
      <w:bookmarkStart w:id="508" w:name="_Toc224103336"/>
      <w:bookmarkStart w:id="509" w:name="_Toc5676"/>
      <w:r>
        <w:rPr>
          <w:rFonts w:ascii="宋体" w:hAnsi="宋体"/>
          <w:b w:val="0"/>
          <w:snapToGrid w:val="0"/>
          <w:sz w:val="24"/>
          <w:szCs w:val="24"/>
          <w:highlight w:val="none"/>
        </w:rPr>
        <w:t>3.1  投标文件的组成</w:t>
      </w:r>
      <w:bookmarkEnd w:id="497"/>
      <w:bookmarkEnd w:id="498"/>
      <w:bookmarkEnd w:id="499"/>
      <w:bookmarkEnd w:id="500"/>
      <w:bookmarkEnd w:id="501"/>
      <w:bookmarkEnd w:id="502"/>
      <w:bookmarkEnd w:id="503"/>
      <w:bookmarkEnd w:id="504"/>
      <w:bookmarkEnd w:id="505"/>
      <w:bookmarkEnd w:id="506"/>
      <w:bookmarkEnd w:id="507"/>
      <w:bookmarkEnd w:id="508"/>
      <w:bookmarkEnd w:id="509"/>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3.1.1 投标文件应包括下列内容：</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3.1.1.1投标函部分</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（一）投标函</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（二）投标函附录</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（三）法定代表人身份证明或附有法定代表人身份证明的授权委托书</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（四）勘察费用清单</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（五）</w:t>
      </w:r>
      <w:r>
        <w:rPr>
          <w:rFonts w:hint="eastAsia"/>
          <w:color w:val="000000"/>
          <w:szCs w:val="22"/>
          <w:highlight w:val="none"/>
        </w:rPr>
        <w:t>低价风险担保提交承诺书（如有）</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3.1.1.</w:t>
      </w:r>
      <w:r>
        <w:rPr>
          <w:rFonts w:hint="eastAsia" w:ascii="宋体" w:hAnsi="宋体"/>
          <w:snapToGrid w:val="0"/>
          <w:kern w:val="0"/>
          <w:szCs w:val="21"/>
          <w:highlight w:val="none"/>
        </w:rPr>
        <w:t>2</w:t>
      </w:r>
      <w:r>
        <w:rPr>
          <w:rFonts w:ascii="宋体" w:hAnsi="宋体"/>
          <w:snapToGrid w:val="0"/>
          <w:kern w:val="0"/>
          <w:szCs w:val="21"/>
          <w:highlight w:val="none"/>
        </w:rPr>
        <w:t>商务部分</w:t>
      </w:r>
      <w:r>
        <w:rPr>
          <w:rFonts w:hint="eastAsia" w:ascii="宋体" w:hAnsi="宋体"/>
          <w:snapToGrid w:val="0"/>
          <w:kern w:val="0"/>
          <w:szCs w:val="21"/>
          <w:highlight w:val="none"/>
        </w:rPr>
        <w:t>（如有）</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（一）投标人资历</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（二）拟派项目负责人资历</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（三）</w:t>
      </w:r>
      <w:r>
        <w:rPr>
          <w:rFonts w:hint="eastAsia" w:ascii="宋体" w:hAnsi="宋体"/>
          <w:snapToGrid w:val="0"/>
          <w:kern w:val="0"/>
          <w:szCs w:val="21"/>
          <w:highlight w:val="none"/>
          <w:lang w:val="en-US" w:eastAsia="zh-CN"/>
        </w:rPr>
        <w:t>拟派勘察团队</w:t>
      </w:r>
      <w:r>
        <w:rPr>
          <w:rFonts w:hint="eastAsia" w:ascii="宋体" w:hAnsi="宋体"/>
          <w:snapToGrid w:val="0"/>
          <w:kern w:val="0"/>
          <w:szCs w:val="21"/>
          <w:highlight w:val="none"/>
        </w:rPr>
        <w:t>其他主要人员资历</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（四）获奖情况</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（五）拟投入的勘察设备</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3.1.1.3技术部分（如有）</w:t>
      </w:r>
    </w:p>
    <w:p>
      <w:pPr>
        <w:autoSpaceDE w:val="0"/>
        <w:autoSpaceDN w:val="0"/>
        <w:adjustRightInd w:val="0"/>
        <w:snapToGrid w:val="0"/>
        <w:spacing w:line="360" w:lineRule="auto"/>
        <w:ind w:firstLine="420" w:firstLineChars="200"/>
        <w:rPr>
          <w:rFonts w:hint="eastAsia" w:ascii="宋体" w:hAnsi="宋体"/>
          <w:snapToGrid w:val="0"/>
          <w:kern w:val="0"/>
          <w:szCs w:val="21"/>
          <w:highlight w:val="none"/>
        </w:rPr>
      </w:pPr>
      <w:r>
        <w:rPr>
          <w:rFonts w:hint="eastAsia" w:ascii="宋体" w:hAnsi="宋体"/>
          <w:snapToGrid w:val="0"/>
          <w:kern w:val="0"/>
          <w:szCs w:val="21"/>
          <w:highlight w:val="none"/>
        </w:rPr>
        <w:t>（一）勘察纲要</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3.1.1.4资格审查部分</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（一）基本情况表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（二）法定代表人身份证明或附有法定代表人身份证明的授权委托书</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（三）联合体协议书（如有）</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（四）近年财务状况表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（五）近年完成的类似项目情况表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（六）拟委派的主要人员汇总表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（七）主要人员简历表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（八）承诺</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（九）其他资料</w:t>
      </w:r>
    </w:p>
    <w:p>
      <w:pPr>
        <w:spacing w:line="360" w:lineRule="auto"/>
        <w:ind w:firstLine="420" w:firstLineChars="200"/>
        <w:rPr>
          <w:rFonts w:ascii="宋体" w:hAnsi="宋体"/>
          <w:highlight w:val="none"/>
        </w:rPr>
      </w:pPr>
      <w:r>
        <w:rPr>
          <w:rFonts w:ascii="宋体" w:hAnsi="宋体"/>
          <w:highlight w:val="none"/>
        </w:rPr>
        <w:t>投标人在评标过程中作出的符合法律法规和招标文件规定的澄清确认，构成投标文件的组成部分。</w:t>
      </w:r>
    </w:p>
    <w:p>
      <w:pPr>
        <w:spacing w:line="360" w:lineRule="auto"/>
        <w:ind w:firstLine="420" w:firstLineChars="200"/>
        <w:rPr>
          <w:rFonts w:ascii="宋体" w:hAnsi="宋体"/>
          <w:highlight w:val="none"/>
        </w:rPr>
      </w:pPr>
      <w:r>
        <w:rPr>
          <w:rFonts w:ascii="宋体" w:hAnsi="宋体"/>
          <w:highlight w:val="none"/>
        </w:rPr>
        <w:t>3.1.2  投标人须知前附表规定不接受联合体投标的，或投标人没有组成联合体的，投标文件不包括联合体协议书。</w:t>
      </w:r>
    </w:p>
    <w:p>
      <w:pPr>
        <w:pStyle w:val="5"/>
        <w:snapToGrid w:val="0"/>
        <w:spacing w:before="0" w:after="0" w:line="360" w:lineRule="auto"/>
        <w:rPr>
          <w:rFonts w:ascii="宋体" w:hAnsi="宋体"/>
          <w:b w:val="0"/>
          <w:snapToGrid w:val="0"/>
          <w:sz w:val="24"/>
          <w:szCs w:val="24"/>
          <w:highlight w:val="none"/>
        </w:rPr>
      </w:pPr>
      <w:bookmarkStart w:id="510" w:name="_Toc287620705"/>
      <w:bookmarkStart w:id="511" w:name="_Toc430530455"/>
      <w:bookmarkStart w:id="512" w:name="_Toc509218730"/>
      <w:bookmarkStart w:id="513" w:name="_Toc17908"/>
      <w:bookmarkStart w:id="514" w:name="_Toc8911"/>
      <w:bookmarkStart w:id="515" w:name="_Toc287607766"/>
      <w:bookmarkStart w:id="516" w:name="_Toc224103337"/>
      <w:bookmarkStart w:id="517" w:name="_Toc277082572"/>
      <w:bookmarkStart w:id="518" w:name="_Toc26133"/>
      <w:bookmarkStart w:id="519" w:name="_Toc75857009"/>
      <w:bookmarkStart w:id="520" w:name="_Toc31061"/>
      <w:bookmarkStart w:id="521" w:name="_Toc878"/>
      <w:bookmarkStart w:id="522" w:name="_Toc200513146"/>
      <w:r>
        <w:rPr>
          <w:rFonts w:ascii="宋体" w:hAnsi="宋体"/>
          <w:b w:val="0"/>
          <w:snapToGrid w:val="0"/>
          <w:sz w:val="24"/>
          <w:szCs w:val="24"/>
          <w:highlight w:val="none"/>
        </w:rPr>
        <w:t>3.2  投标报价</w:t>
      </w:r>
      <w:bookmarkEnd w:id="510"/>
      <w:bookmarkEnd w:id="511"/>
      <w:bookmarkEnd w:id="512"/>
      <w:bookmarkEnd w:id="513"/>
      <w:bookmarkEnd w:id="514"/>
      <w:bookmarkEnd w:id="515"/>
      <w:bookmarkEnd w:id="516"/>
      <w:bookmarkEnd w:id="517"/>
      <w:bookmarkEnd w:id="518"/>
      <w:bookmarkEnd w:id="519"/>
      <w:bookmarkEnd w:id="520"/>
      <w:bookmarkEnd w:id="521"/>
      <w:bookmarkEnd w:id="522"/>
    </w:p>
    <w:p>
      <w:pPr>
        <w:autoSpaceDE w:val="0"/>
        <w:autoSpaceDN w:val="0"/>
        <w:adjustRightInd w:val="0"/>
        <w:snapToGrid w:val="0"/>
        <w:spacing w:line="360" w:lineRule="auto"/>
        <w:ind w:firstLine="420" w:firstLineChars="200"/>
        <w:rPr>
          <w:rFonts w:ascii="宋体" w:hAnsi="宋体"/>
          <w:snapToGrid w:val="0"/>
          <w:kern w:val="0"/>
          <w:szCs w:val="21"/>
          <w:highlight w:val="none"/>
        </w:rPr>
      </w:pPr>
      <w:bookmarkStart w:id="523" w:name="_Toc509218731"/>
      <w:bookmarkStart w:id="524" w:name="_Toc430530456"/>
      <w:bookmarkStart w:id="525" w:name="_Toc200513147"/>
      <w:bookmarkStart w:id="526" w:name="_Toc287620706"/>
      <w:bookmarkStart w:id="527" w:name="_Toc224103338"/>
      <w:bookmarkStart w:id="528" w:name="_Toc277082573"/>
      <w:bookmarkStart w:id="529" w:name="_Toc287607767"/>
      <w:r>
        <w:rPr>
          <w:rFonts w:ascii="宋体" w:hAnsi="宋体"/>
          <w:snapToGrid w:val="0"/>
          <w:kern w:val="0"/>
          <w:szCs w:val="21"/>
          <w:highlight w:val="none"/>
        </w:rPr>
        <w:t>3.2.1投标报价应包括国家规定的增值税税金，除投标人须知前附表另有规定外，增值税税金按一般计税方法计算。投标人应按第六章“投标文件格式”的要求在投标函中进行报价并填写</w:t>
      </w:r>
      <w:r>
        <w:rPr>
          <w:rFonts w:hint="eastAsia" w:ascii="宋体" w:hAnsi="宋体"/>
          <w:snapToGrid w:val="0"/>
          <w:kern w:val="0"/>
          <w:szCs w:val="21"/>
          <w:highlight w:val="none"/>
        </w:rPr>
        <w:t>勘察</w:t>
      </w:r>
      <w:r>
        <w:rPr>
          <w:rFonts w:ascii="宋体" w:hAnsi="宋体"/>
          <w:snapToGrid w:val="0"/>
          <w:kern w:val="0"/>
          <w:szCs w:val="21"/>
          <w:highlight w:val="none"/>
        </w:rPr>
        <w:t>费用清单</w:t>
      </w:r>
      <w:r>
        <w:rPr>
          <w:rFonts w:hint="eastAsia" w:ascii="宋体" w:hAnsi="宋体"/>
          <w:snapToGrid w:val="0"/>
          <w:kern w:val="0"/>
          <w:szCs w:val="21"/>
          <w:highlight w:val="none"/>
          <w:lang w:val="en-US" w:eastAsia="zh-CN"/>
        </w:rPr>
        <w:t>(如有)</w:t>
      </w:r>
      <w:r>
        <w:rPr>
          <w:rFonts w:ascii="宋体" w:hAnsi="宋体"/>
          <w:snapToGrid w:val="0"/>
          <w:kern w:val="0"/>
          <w:szCs w:val="21"/>
          <w:highlight w:val="none"/>
        </w:rPr>
        <w:t>。</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3.2.2 投标人应充分了解该项目的总体情况以及影响投标报价的其他要素。</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3.2.3</w:t>
      </w:r>
      <w:bookmarkStart w:id="530" w:name="_Toc152045543"/>
      <w:bookmarkEnd w:id="530"/>
      <w:bookmarkStart w:id="531" w:name="_Toc247527568"/>
      <w:bookmarkEnd w:id="531"/>
      <w:bookmarkStart w:id="532" w:name="_Toc15242"/>
      <w:bookmarkEnd w:id="532"/>
      <w:bookmarkStart w:id="533" w:name="_Toc352691487"/>
      <w:bookmarkEnd w:id="533"/>
      <w:bookmarkStart w:id="534" w:name="_Toc247513967"/>
      <w:bookmarkEnd w:id="534"/>
      <w:bookmarkStart w:id="535" w:name="_Toc369531530"/>
      <w:bookmarkEnd w:id="535"/>
      <w:bookmarkStart w:id="536" w:name="_Toc361508599"/>
      <w:bookmarkEnd w:id="536"/>
      <w:bookmarkStart w:id="537" w:name="_Toc144974511"/>
      <w:bookmarkEnd w:id="537"/>
      <w:bookmarkStart w:id="538" w:name="_Toc384308224"/>
      <w:bookmarkEnd w:id="538"/>
      <w:bookmarkStart w:id="539" w:name="_Toc300834964"/>
      <w:bookmarkEnd w:id="539"/>
      <w:bookmarkStart w:id="540" w:name="_Toc152042319"/>
      <w:bookmarkEnd w:id="540"/>
      <w:r>
        <w:rPr>
          <w:rFonts w:hint="eastAsia" w:ascii="宋体" w:hAnsi="宋体"/>
          <w:snapToGrid w:val="0"/>
          <w:kern w:val="0"/>
          <w:szCs w:val="21"/>
          <w:highlight w:val="none"/>
        </w:rPr>
        <w:t xml:space="preserve"> 本项目的报价方式见投标人须知前附表。</w:t>
      </w:r>
      <w:r>
        <w:rPr>
          <w:rFonts w:ascii="宋体" w:hAnsi="宋体"/>
          <w:snapToGrid w:val="0"/>
          <w:kern w:val="0"/>
          <w:szCs w:val="21"/>
          <w:highlight w:val="none"/>
        </w:rPr>
        <w:t>投标人在投标截止时间前修改投标函中的投标报价总额，应同时修改投标文件“</w:t>
      </w:r>
      <w:r>
        <w:rPr>
          <w:rFonts w:hint="eastAsia" w:ascii="宋体" w:hAnsi="宋体"/>
          <w:snapToGrid w:val="0"/>
          <w:kern w:val="0"/>
          <w:szCs w:val="21"/>
          <w:highlight w:val="none"/>
        </w:rPr>
        <w:t>勘察费用清单</w:t>
      </w:r>
      <w:r>
        <w:rPr>
          <w:rFonts w:hint="eastAsia" w:ascii="宋体" w:hAnsi="宋体"/>
          <w:snapToGrid w:val="0"/>
          <w:kern w:val="0"/>
          <w:szCs w:val="21"/>
          <w:highlight w:val="none"/>
          <w:lang w:eastAsia="zh-CN"/>
        </w:rPr>
        <w:t>（</w:t>
      </w:r>
      <w:r>
        <w:rPr>
          <w:rFonts w:hint="eastAsia" w:ascii="宋体" w:hAnsi="宋体"/>
          <w:snapToGrid w:val="0"/>
          <w:kern w:val="0"/>
          <w:szCs w:val="21"/>
          <w:highlight w:val="none"/>
          <w:lang w:val="en-US" w:eastAsia="zh-CN"/>
        </w:rPr>
        <w:t>如有</w:t>
      </w:r>
      <w:r>
        <w:rPr>
          <w:rFonts w:hint="eastAsia" w:ascii="宋体" w:hAnsi="宋体"/>
          <w:snapToGrid w:val="0"/>
          <w:kern w:val="0"/>
          <w:szCs w:val="21"/>
          <w:highlight w:val="none"/>
          <w:lang w:eastAsia="zh-CN"/>
        </w:rPr>
        <w:t>）</w:t>
      </w:r>
      <w:r>
        <w:rPr>
          <w:rFonts w:ascii="宋体" w:hAnsi="宋体"/>
          <w:snapToGrid w:val="0"/>
          <w:kern w:val="0"/>
          <w:szCs w:val="21"/>
          <w:highlight w:val="none"/>
        </w:rPr>
        <w:t>”中的相应报价。此修改须符合本章第4.3款的有关要求。</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3.2.4</w:t>
      </w:r>
      <w:r>
        <w:rPr>
          <w:rFonts w:hint="eastAsia" w:ascii="宋体" w:hAnsi="宋体"/>
          <w:snapToGrid w:val="0"/>
          <w:kern w:val="0"/>
          <w:szCs w:val="21"/>
          <w:highlight w:val="none"/>
        </w:rPr>
        <w:t xml:space="preserve"> </w:t>
      </w:r>
      <w:r>
        <w:rPr>
          <w:rFonts w:ascii="宋体" w:hAnsi="宋体"/>
          <w:snapToGrid w:val="0"/>
          <w:kern w:val="0"/>
          <w:szCs w:val="21"/>
          <w:highlight w:val="none"/>
        </w:rPr>
        <w:t>招标人设有最高投标限价的，投标人的投标报价不得超过最高投标限价，最高投标限价在投标</w:t>
      </w:r>
      <w:bookmarkStart w:id="541" w:name="_Toc300834965"/>
      <w:bookmarkStart w:id="542" w:name="_Toc152045544"/>
      <w:bookmarkStart w:id="543" w:name="_Toc10429"/>
      <w:bookmarkStart w:id="544" w:name="_Toc352691488"/>
      <w:bookmarkStart w:id="545" w:name="_Toc247527569"/>
      <w:bookmarkStart w:id="546" w:name="_Toc384308225"/>
      <w:bookmarkStart w:id="547" w:name="_Toc152042320"/>
      <w:bookmarkStart w:id="548" w:name="_Toc369531531"/>
      <w:bookmarkStart w:id="549" w:name="_Toc247513968"/>
      <w:bookmarkStart w:id="550" w:name="_Toc144974512"/>
      <w:bookmarkStart w:id="551" w:name="_Toc361508600"/>
      <w:r>
        <w:rPr>
          <w:rFonts w:ascii="宋体" w:hAnsi="宋体"/>
          <w:snapToGrid w:val="0"/>
          <w:kern w:val="0"/>
          <w:szCs w:val="21"/>
          <w:highlight w:val="none"/>
        </w:rPr>
        <w:t>人须知前附表中载明。</w:t>
      </w:r>
      <w:bookmarkEnd w:id="541"/>
      <w:bookmarkEnd w:id="542"/>
      <w:bookmarkEnd w:id="543"/>
      <w:bookmarkEnd w:id="544"/>
      <w:bookmarkEnd w:id="545"/>
      <w:bookmarkEnd w:id="546"/>
      <w:bookmarkEnd w:id="547"/>
      <w:bookmarkEnd w:id="548"/>
      <w:bookmarkEnd w:id="549"/>
      <w:bookmarkEnd w:id="550"/>
      <w:bookmarkEnd w:id="551"/>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3.2.</w:t>
      </w:r>
      <w:r>
        <w:rPr>
          <w:rFonts w:hint="eastAsia" w:ascii="宋体" w:hAnsi="宋体"/>
          <w:snapToGrid w:val="0"/>
          <w:kern w:val="0"/>
          <w:szCs w:val="21"/>
          <w:highlight w:val="none"/>
        </w:rPr>
        <w:t>5</w:t>
      </w:r>
      <w:r>
        <w:rPr>
          <w:rFonts w:ascii="宋体" w:hAnsi="宋体"/>
          <w:snapToGrid w:val="0"/>
          <w:kern w:val="0"/>
          <w:szCs w:val="21"/>
          <w:highlight w:val="none"/>
        </w:rPr>
        <w:t xml:space="preserve"> 投标报价的其他要求见投标人须知前附表。</w:t>
      </w:r>
    </w:p>
    <w:p>
      <w:pPr>
        <w:pStyle w:val="5"/>
        <w:snapToGrid w:val="0"/>
        <w:spacing w:before="0" w:after="0" w:line="360" w:lineRule="auto"/>
        <w:rPr>
          <w:rFonts w:ascii="宋体" w:hAnsi="宋体"/>
          <w:b w:val="0"/>
          <w:snapToGrid w:val="0"/>
          <w:sz w:val="24"/>
          <w:szCs w:val="24"/>
          <w:highlight w:val="none"/>
        </w:rPr>
      </w:pPr>
      <w:bookmarkStart w:id="552" w:name="_Toc10964"/>
      <w:bookmarkStart w:id="553" w:name="_Toc2623"/>
      <w:bookmarkStart w:id="554" w:name="_Toc2719"/>
      <w:bookmarkStart w:id="555" w:name="_Toc75857010"/>
      <w:bookmarkStart w:id="556" w:name="_Toc15298"/>
      <w:bookmarkStart w:id="557" w:name="_Toc2820"/>
      <w:r>
        <w:rPr>
          <w:rFonts w:ascii="宋体" w:hAnsi="宋体"/>
          <w:b w:val="0"/>
          <w:snapToGrid w:val="0"/>
          <w:sz w:val="24"/>
          <w:szCs w:val="24"/>
          <w:highlight w:val="none"/>
        </w:rPr>
        <w:t>3.3  投标有效期</w:t>
      </w:r>
      <w:bookmarkEnd w:id="523"/>
      <w:bookmarkEnd w:id="524"/>
      <w:bookmarkEnd w:id="525"/>
      <w:bookmarkEnd w:id="526"/>
      <w:bookmarkEnd w:id="527"/>
      <w:bookmarkEnd w:id="528"/>
      <w:bookmarkEnd w:id="529"/>
      <w:bookmarkEnd w:id="552"/>
      <w:bookmarkEnd w:id="553"/>
      <w:bookmarkEnd w:id="554"/>
      <w:bookmarkEnd w:id="555"/>
      <w:bookmarkEnd w:id="556"/>
      <w:bookmarkEnd w:id="557"/>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ascii="宋体" w:hAnsi="宋体"/>
          <w:snapToGrid w:val="0"/>
          <w:color w:val="000000"/>
          <w:kern w:val="0"/>
          <w:szCs w:val="21"/>
          <w:highlight w:val="none"/>
        </w:rPr>
        <w:t xml:space="preserve">3.3.1 </w:t>
      </w:r>
      <w:r>
        <w:rPr>
          <w:rFonts w:hint="eastAsia" w:ascii="宋体" w:hAnsi="宋体"/>
          <w:snapToGrid w:val="0"/>
          <w:color w:val="000000"/>
          <w:kern w:val="0"/>
          <w:szCs w:val="21"/>
          <w:highlight w:val="none"/>
        </w:rPr>
        <w:t>除投标人须知前附表另有规定外，投标有效期为</w:t>
      </w:r>
      <w:r>
        <w:rPr>
          <w:rFonts w:ascii="宋体" w:hAnsi="宋体"/>
          <w:snapToGrid w:val="0"/>
          <w:color w:val="000000"/>
          <w:kern w:val="0"/>
          <w:szCs w:val="21"/>
          <w:highlight w:val="none"/>
        </w:rPr>
        <w:t>90</w:t>
      </w:r>
      <w:r>
        <w:rPr>
          <w:rFonts w:hint="eastAsia" w:ascii="宋体" w:hAnsi="宋体"/>
          <w:snapToGrid w:val="0"/>
          <w:color w:val="000000"/>
          <w:kern w:val="0"/>
          <w:szCs w:val="21"/>
          <w:highlight w:val="none"/>
        </w:rPr>
        <w:t>天。</w:t>
      </w:r>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ascii="宋体" w:hAnsi="宋体"/>
          <w:snapToGrid w:val="0"/>
          <w:color w:val="000000"/>
          <w:kern w:val="0"/>
          <w:szCs w:val="21"/>
          <w:highlight w:val="none"/>
        </w:rPr>
        <w:t xml:space="preserve">3.3.2 </w:t>
      </w:r>
      <w:r>
        <w:rPr>
          <w:rFonts w:hint="eastAsia" w:ascii="宋体" w:hAnsi="宋体"/>
          <w:snapToGrid w:val="0"/>
          <w:color w:val="000000"/>
          <w:kern w:val="0"/>
          <w:szCs w:val="21"/>
          <w:highlight w:val="none"/>
        </w:rPr>
        <w:t>在投标有效期内，投标人撤销投标文件的，应承担招标文件和法律规定的责任。</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3.3.</w:t>
      </w:r>
      <w:r>
        <w:rPr>
          <w:rFonts w:hint="eastAsia" w:ascii="宋体" w:hAnsi="宋体"/>
          <w:snapToGrid w:val="0"/>
          <w:kern w:val="0"/>
          <w:szCs w:val="21"/>
          <w:highlight w:val="none"/>
        </w:rPr>
        <w:t xml:space="preserve">3 </w:t>
      </w:r>
      <w:r>
        <w:rPr>
          <w:rFonts w:ascii="宋体" w:hAnsi="宋体"/>
          <w:snapToGrid w:val="0"/>
          <w:kern w:val="0"/>
          <w:szCs w:val="21"/>
          <w:highlight w:val="none"/>
        </w:rPr>
        <w:t>出现特殊情况需要延长投标有效期的，招标人以书面形式通知所有投标人延长投标有效期。投标人同意延长的，应相应延长其投标保函的有效期，但不得要求或被允许修改或撤销其投标文件；投标人拒绝延长的，其投标失效，但投标人有权收回其投标保函。</w:t>
      </w:r>
      <w:r>
        <w:rPr>
          <w:rFonts w:hint="eastAsia" w:ascii="宋体" w:hAnsi="宋体"/>
          <w:snapToGrid w:val="0"/>
          <w:kern w:val="0"/>
          <w:szCs w:val="21"/>
          <w:highlight w:val="none"/>
        </w:rPr>
        <w:t>（适用于投标保证金采用投标保函形式的）</w:t>
      </w:r>
    </w:p>
    <w:p>
      <w:pPr>
        <w:autoSpaceDE w:val="0"/>
        <w:autoSpaceDN w:val="0"/>
        <w:adjustRightInd w:val="0"/>
        <w:snapToGrid w:val="0"/>
        <w:spacing w:line="360" w:lineRule="auto"/>
        <w:ind w:firstLine="420" w:firstLineChars="200"/>
        <w:rPr>
          <w:rFonts w:ascii="宋体" w:hAnsi="宋体" w:cs="MingLiU"/>
          <w:snapToGrid w:val="0"/>
          <w:kern w:val="0"/>
          <w:szCs w:val="21"/>
          <w:highlight w:val="none"/>
        </w:rPr>
      </w:pPr>
      <w:r>
        <w:rPr>
          <w:rFonts w:hint="eastAsia" w:ascii="宋体" w:hAnsi="宋体" w:cs="MingLiU"/>
          <w:snapToGrid w:val="0"/>
          <w:kern w:val="0"/>
          <w:szCs w:val="21"/>
          <w:highlight w:val="none"/>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适用于投标保证金采用银行转账形式的）</w:t>
      </w:r>
    </w:p>
    <w:p>
      <w:pPr>
        <w:pStyle w:val="5"/>
        <w:keepNext w:val="0"/>
        <w:keepLines w:val="0"/>
        <w:snapToGrid w:val="0"/>
        <w:spacing w:before="0" w:after="0" w:line="360" w:lineRule="auto"/>
        <w:rPr>
          <w:rFonts w:ascii="宋体" w:hAnsi="宋体"/>
          <w:b w:val="0"/>
          <w:snapToGrid w:val="0"/>
          <w:sz w:val="24"/>
          <w:szCs w:val="24"/>
          <w:highlight w:val="none"/>
        </w:rPr>
      </w:pPr>
      <w:bookmarkStart w:id="558" w:name="_Toc430530457"/>
      <w:bookmarkStart w:id="559" w:name="_Toc200513148"/>
      <w:bookmarkStart w:id="560" w:name="_Toc509218732"/>
      <w:bookmarkStart w:id="561" w:name="_Toc287607768"/>
      <w:bookmarkStart w:id="562" w:name="_Toc277082574"/>
      <w:bookmarkStart w:id="563" w:name="_Toc224103339"/>
      <w:bookmarkStart w:id="564" w:name="_Toc287620707"/>
      <w:bookmarkStart w:id="565" w:name="_Toc11153"/>
      <w:bookmarkStart w:id="566" w:name="_Toc599"/>
      <w:bookmarkStart w:id="567" w:name="_Toc75857011"/>
      <w:bookmarkStart w:id="568" w:name="_Toc16405"/>
      <w:bookmarkStart w:id="569" w:name="_Toc30795"/>
      <w:bookmarkStart w:id="570" w:name="_Toc2270"/>
      <w:r>
        <w:rPr>
          <w:rFonts w:ascii="宋体" w:hAnsi="宋体"/>
          <w:b w:val="0"/>
          <w:snapToGrid w:val="0"/>
          <w:sz w:val="24"/>
          <w:szCs w:val="24"/>
          <w:highlight w:val="none"/>
        </w:rPr>
        <w:t>3.4  投标</w:t>
      </w:r>
      <w:bookmarkEnd w:id="558"/>
      <w:bookmarkEnd w:id="559"/>
      <w:bookmarkEnd w:id="560"/>
      <w:bookmarkEnd w:id="561"/>
      <w:bookmarkEnd w:id="562"/>
      <w:bookmarkEnd w:id="563"/>
      <w:bookmarkEnd w:id="564"/>
      <w:r>
        <w:rPr>
          <w:rFonts w:hint="eastAsia" w:ascii="宋体" w:hAnsi="宋体"/>
          <w:b w:val="0"/>
          <w:snapToGrid w:val="0"/>
          <w:sz w:val="24"/>
          <w:szCs w:val="24"/>
          <w:highlight w:val="none"/>
        </w:rPr>
        <w:t>保证金</w:t>
      </w:r>
      <w:bookmarkEnd w:id="565"/>
      <w:bookmarkEnd w:id="566"/>
      <w:bookmarkEnd w:id="567"/>
      <w:bookmarkEnd w:id="568"/>
      <w:bookmarkEnd w:id="569"/>
      <w:bookmarkEnd w:id="570"/>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3.4.1  投标人在递交投标文件的同时，应按投标人须知前附表的规定递交投标保证金，并作为其投标文件的组成部分。联合体投标的，其投标保证金由牵头人递交，并应符合投标人须知前附表的规定。</w:t>
      </w:r>
    </w:p>
    <w:p>
      <w:pPr>
        <w:autoSpaceDE w:val="0"/>
        <w:autoSpaceDN w:val="0"/>
        <w:adjustRightInd w:val="0"/>
        <w:snapToGrid w:val="0"/>
        <w:spacing w:line="360" w:lineRule="auto"/>
        <w:ind w:left="13" w:leftChars="6" w:firstLine="405" w:firstLineChars="193"/>
        <w:rPr>
          <w:rFonts w:ascii="宋体" w:hAnsi="宋体"/>
          <w:snapToGrid w:val="0"/>
          <w:kern w:val="0"/>
          <w:szCs w:val="21"/>
          <w:highlight w:val="none"/>
        </w:rPr>
      </w:pPr>
      <w:r>
        <w:rPr>
          <w:rFonts w:ascii="宋体" w:hAnsi="宋体"/>
          <w:snapToGrid w:val="0"/>
          <w:kern w:val="0"/>
          <w:szCs w:val="21"/>
          <w:highlight w:val="none"/>
        </w:rPr>
        <w:t>3.4.2  投标人不按本章第 3.4.1 项要求提交投标保证金的，其投标文件作否决投标处理。</w:t>
      </w:r>
    </w:p>
    <w:p>
      <w:pPr>
        <w:autoSpaceDE w:val="0"/>
        <w:autoSpaceDN w:val="0"/>
        <w:adjustRightInd w:val="0"/>
        <w:snapToGrid w:val="0"/>
        <w:spacing w:line="360" w:lineRule="auto"/>
        <w:ind w:left="13" w:leftChars="6" w:firstLine="405" w:firstLineChars="193"/>
        <w:rPr>
          <w:rFonts w:ascii="宋体" w:hAnsi="宋体"/>
          <w:snapToGrid w:val="0"/>
          <w:kern w:val="0"/>
          <w:szCs w:val="21"/>
          <w:highlight w:val="none"/>
        </w:rPr>
      </w:pPr>
      <w:r>
        <w:rPr>
          <w:rFonts w:ascii="宋体" w:hAnsi="宋体"/>
          <w:snapToGrid w:val="0"/>
          <w:kern w:val="0"/>
          <w:szCs w:val="21"/>
          <w:highlight w:val="none"/>
        </w:rPr>
        <w:t>3.4.3  投标</w:t>
      </w:r>
      <w:r>
        <w:rPr>
          <w:rFonts w:ascii="宋体" w:hAnsi="宋体"/>
          <w:snapToGrid w:val="0"/>
          <w:kern w:val="0"/>
          <w:position w:val="-2"/>
          <w:szCs w:val="21"/>
          <w:highlight w:val="none"/>
        </w:rPr>
        <w:t>保证金（投标保函）</w:t>
      </w:r>
      <w:r>
        <w:rPr>
          <w:rFonts w:ascii="宋体" w:hAnsi="宋体"/>
          <w:snapToGrid w:val="0"/>
          <w:kern w:val="0"/>
          <w:szCs w:val="21"/>
          <w:highlight w:val="none"/>
        </w:rPr>
        <w:t>退还：见投标人须知前附表</w:t>
      </w:r>
      <w:r>
        <w:rPr>
          <w:rFonts w:ascii="宋体" w:hAnsi="宋体"/>
          <w:snapToGrid w:val="0"/>
          <w:kern w:val="0"/>
          <w:position w:val="-2"/>
          <w:szCs w:val="21"/>
          <w:highlight w:val="none"/>
        </w:rPr>
        <w:t>。</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3.4.4  有下列情形之一的，投标保证金</w:t>
      </w:r>
      <w:r>
        <w:rPr>
          <w:rFonts w:hint="eastAsia" w:ascii="宋体" w:hAnsi="宋体"/>
          <w:snapToGrid w:val="0"/>
          <w:kern w:val="0"/>
          <w:szCs w:val="21"/>
          <w:highlight w:val="none"/>
        </w:rPr>
        <w:t>以现金形式交纳的不予退还，以保函形式交纳的由保函开立人支付保函担保的与投标保证金等额的款项：</w:t>
      </w:r>
    </w:p>
    <w:p>
      <w:pPr>
        <w:spacing w:line="360" w:lineRule="auto"/>
        <w:ind w:firstLine="420" w:firstLineChars="200"/>
        <w:rPr>
          <w:rFonts w:asciiTheme="minorEastAsia" w:hAnsiTheme="minorEastAsia" w:eastAsiaTheme="minorEastAsia"/>
          <w:highlight w:val="none"/>
        </w:rPr>
      </w:pPr>
      <w:r>
        <w:rPr>
          <w:rFonts w:asciiTheme="minorEastAsia" w:hAnsiTheme="minorEastAsia" w:eastAsiaTheme="minorEastAsia"/>
          <w:highlight w:val="none"/>
        </w:rPr>
        <w:t>（1）投标人在投标有效期内撤销或修改投标文件；</w:t>
      </w:r>
    </w:p>
    <w:p>
      <w:pPr>
        <w:spacing w:line="360" w:lineRule="auto"/>
        <w:ind w:firstLine="420" w:firstLineChars="200"/>
        <w:rPr>
          <w:rFonts w:asciiTheme="minorEastAsia" w:hAnsiTheme="minorEastAsia" w:eastAsiaTheme="minorEastAsia"/>
          <w:highlight w:val="none"/>
        </w:rPr>
      </w:pPr>
      <w:r>
        <w:rPr>
          <w:rFonts w:asciiTheme="minorEastAsia" w:hAnsiTheme="minorEastAsia" w:eastAsiaTheme="minorEastAsia"/>
          <w:highlight w:val="none"/>
        </w:rPr>
        <w:t>（2）</w:t>
      </w:r>
      <w:r>
        <w:rPr>
          <w:rFonts w:hint="eastAsia" w:ascii="宋体" w:hAnsi="宋体"/>
          <w:kern w:val="0"/>
          <w:szCs w:val="21"/>
        </w:rPr>
        <w:t>中标人在收到中标通知书后，无正当理由不与招标人订立合同，在签订合同时向招标人提出附加条件，或者不按照招标文件要求提交履约保证金</w:t>
      </w:r>
      <w:r>
        <w:rPr>
          <w:rFonts w:asciiTheme="minorEastAsia" w:hAnsiTheme="minorEastAsia" w:eastAsiaTheme="minorEastAsia"/>
          <w:highlight w:val="none"/>
        </w:rPr>
        <w:t>；</w:t>
      </w:r>
    </w:p>
    <w:p>
      <w:pPr>
        <w:pStyle w:val="5"/>
        <w:keepNext w:val="0"/>
        <w:keepLines w:val="0"/>
        <w:snapToGrid w:val="0"/>
        <w:spacing w:before="0" w:after="0" w:line="360" w:lineRule="auto"/>
        <w:ind w:firstLine="643" w:firstLineChars="200"/>
        <w:rPr>
          <w:rFonts w:ascii="宋体" w:hAnsi="宋体"/>
          <w:b w:val="0"/>
          <w:snapToGrid w:val="0"/>
          <w:sz w:val="24"/>
          <w:szCs w:val="24"/>
          <w:highlight w:val="none"/>
        </w:rPr>
      </w:pPr>
      <w:r>
        <w:rPr>
          <w:rFonts w:hint="eastAsia" w:asciiTheme="minorEastAsia" w:hAnsiTheme="minorEastAsia" w:eastAsiaTheme="minorEastAsia"/>
          <w:highlight w:val="none"/>
          <w:lang w:eastAsia="zh-CN"/>
        </w:rPr>
        <w:t>（3）发生投标人须知前附表规定的其他可以不予退还投标保证金的情形。</w:t>
      </w:r>
      <w:bookmarkStart w:id="571" w:name="_Toc23972"/>
      <w:bookmarkStart w:id="572" w:name="_Toc3165"/>
      <w:bookmarkStart w:id="573" w:name="_Toc75857012"/>
      <w:bookmarkStart w:id="574" w:name="_Toc17058"/>
      <w:bookmarkStart w:id="575" w:name="_Toc277082575"/>
      <w:bookmarkStart w:id="576" w:name="_Toc251"/>
      <w:bookmarkStart w:id="577" w:name="_Toc200513149"/>
      <w:bookmarkStart w:id="578" w:name="_Toc287607769"/>
      <w:bookmarkStart w:id="579" w:name="_Toc430530458"/>
      <w:bookmarkStart w:id="580" w:name="_Toc16785"/>
      <w:bookmarkStart w:id="581" w:name="_Toc224103340"/>
      <w:bookmarkStart w:id="582" w:name="_Toc509218733"/>
      <w:bookmarkStart w:id="583" w:name="_Toc287620708"/>
    </w:p>
    <w:p>
      <w:pPr>
        <w:pStyle w:val="5"/>
        <w:keepNext w:val="0"/>
        <w:keepLines w:val="0"/>
        <w:snapToGrid w:val="0"/>
        <w:spacing w:before="0" w:after="0" w:line="360" w:lineRule="auto"/>
        <w:rPr>
          <w:rFonts w:ascii="宋体" w:hAnsi="宋体"/>
          <w:b w:val="0"/>
          <w:snapToGrid w:val="0"/>
          <w:sz w:val="24"/>
          <w:szCs w:val="24"/>
          <w:highlight w:val="none"/>
        </w:rPr>
      </w:pPr>
      <w:r>
        <w:rPr>
          <w:rFonts w:ascii="宋体" w:hAnsi="宋体"/>
          <w:b w:val="0"/>
          <w:snapToGrid w:val="0"/>
          <w:sz w:val="24"/>
          <w:szCs w:val="24"/>
          <w:highlight w:val="none"/>
        </w:rPr>
        <w:t>3.5</w:t>
      </w:r>
      <w:r>
        <w:rPr>
          <w:rFonts w:hint="eastAsia" w:ascii="宋体" w:hAnsi="宋体"/>
          <w:b w:val="0"/>
          <w:snapToGrid w:val="0"/>
          <w:sz w:val="24"/>
          <w:szCs w:val="24"/>
          <w:highlight w:val="none"/>
        </w:rPr>
        <w:t>A</w:t>
      </w:r>
      <w:r>
        <w:rPr>
          <w:rFonts w:ascii="宋体" w:hAnsi="宋体"/>
          <w:b w:val="0"/>
          <w:snapToGrid w:val="0"/>
          <w:sz w:val="24"/>
          <w:szCs w:val="24"/>
          <w:highlight w:val="none"/>
        </w:rPr>
        <w:t xml:space="preserve">  资格审查资料</w:t>
      </w:r>
      <w:bookmarkEnd w:id="571"/>
      <w:bookmarkEnd w:id="572"/>
      <w:bookmarkEnd w:id="573"/>
      <w:bookmarkEnd w:id="574"/>
      <w:bookmarkEnd w:id="575"/>
      <w:bookmarkEnd w:id="576"/>
      <w:bookmarkEnd w:id="577"/>
      <w:bookmarkEnd w:id="578"/>
      <w:bookmarkEnd w:id="579"/>
      <w:bookmarkEnd w:id="580"/>
      <w:bookmarkEnd w:id="581"/>
      <w:bookmarkEnd w:id="582"/>
      <w:bookmarkEnd w:id="583"/>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投标人在编制投标文件时，应按新情况更新或补充其在申请资格预审时提供的资料，以证实其各项资格条件仍能继续满足资格预审文件的要求，具备承担本标段</w:t>
      </w:r>
      <w:r>
        <w:rPr>
          <w:rFonts w:hint="eastAsia" w:ascii="宋体" w:hAnsi="宋体"/>
          <w:snapToGrid w:val="0"/>
          <w:kern w:val="0"/>
          <w:szCs w:val="21"/>
          <w:highlight w:val="none"/>
        </w:rPr>
        <w:t>勘察</w:t>
      </w:r>
      <w:r>
        <w:rPr>
          <w:rFonts w:ascii="宋体" w:hAnsi="宋体"/>
          <w:snapToGrid w:val="0"/>
          <w:kern w:val="0"/>
          <w:szCs w:val="21"/>
          <w:highlight w:val="none"/>
        </w:rPr>
        <w:t>的资质条件、能力和信誉。</w:t>
      </w:r>
    </w:p>
    <w:p>
      <w:pPr>
        <w:autoSpaceDE w:val="0"/>
        <w:autoSpaceDN w:val="0"/>
        <w:adjustRightInd w:val="0"/>
        <w:snapToGrid w:val="0"/>
        <w:spacing w:line="360" w:lineRule="auto"/>
        <w:ind w:firstLine="420" w:firstLineChars="200"/>
        <w:rPr>
          <w:rFonts w:ascii="宋体" w:hAnsi="宋体"/>
          <w:i/>
          <w:snapToGrid w:val="0"/>
          <w:kern w:val="0"/>
          <w:szCs w:val="21"/>
          <w:highlight w:val="none"/>
        </w:rPr>
      </w:pPr>
      <w:r>
        <w:rPr>
          <w:rFonts w:hint="eastAsia" w:ascii="宋体" w:hAnsi="宋体"/>
          <w:i/>
          <w:snapToGrid w:val="0"/>
          <w:kern w:val="0"/>
          <w:szCs w:val="21"/>
          <w:highlight w:val="none"/>
        </w:rPr>
        <w:t>[提示：适用于已进行资格预审的。]</w:t>
      </w:r>
    </w:p>
    <w:p>
      <w:pPr>
        <w:pStyle w:val="5"/>
        <w:keepNext w:val="0"/>
        <w:keepLines w:val="0"/>
        <w:snapToGrid w:val="0"/>
        <w:spacing w:before="0" w:after="0" w:line="360" w:lineRule="auto"/>
        <w:rPr>
          <w:rFonts w:ascii="宋体" w:hAnsi="宋体"/>
          <w:b w:val="0"/>
          <w:snapToGrid w:val="0"/>
          <w:sz w:val="24"/>
          <w:szCs w:val="24"/>
          <w:highlight w:val="none"/>
        </w:rPr>
      </w:pPr>
      <w:bookmarkStart w:id="584" w:name="_Toc28059"/>
      <w:bookmarkStart w:id="585" w:name="_Toc75857013"/>
      <w:bookmarkStart w:id="586" w:name="_Toc287620709"/>
      <w:bookmarkStart w:id="587" w:name="_Toc7718"/>
      <w:bookmarkStart w:id="588" w:name="_Toc430530459"/>
      <w:bookmarkStart w:id="589" w:name="_Toc28290"/>
      <w:bookmarkStart w:id="590" w:name="_Toc287607770"/>
      <w:bookmarkStart w:id="591" w:name="_Toc509218734"/>
      <w:bookmarkStart w:id="592" w:name="_Toc277082576"/>
      <w:bookmarkStart w:id="593" w:name="_Toc200513150"/>
      <w:bookmarkStart w:id="594" w:name="_Toc23028"/>
      <w:bookmarkStart w:id="595" w:name="_Toc224103341"/>
      <w:bookmarkStart w:id="596" w:name="_Toc6862"/>
      <w:r>
        <w:rPr>
          <w:rFonts w:ascii="宋体" w:hAnsi="宋体"/>
          <w:b w:val="0"/>
          <w:snapToGrid w:val="0"/>
          <w:sz w:val="24"/>
          <w:szCs w:val="24"/>
          <w:highlight w:val="none"/>
        </w:rPr>
        <w:t>3.5</w:t>
      </w:r>
      <w:r>
        <w:rPr>
          <w:rFonts w:hint="eastAsia" w:ascii="宋体" w:hAnsi="宋体"/>
          <w:b w:val="0"/>
          <w:snapToGrid w:val="0"/>
          <w:sz w:val="24"/>
          <w:szCs w:val="24"/>
          <w:highlight w:val="none"/>
        </w:rPr>
        <w:t>B</w:t>
      </w:r>
      <w:r>
        <w:rPr>
          <w:rFonts w:ascii="宋体" w:hAnsi="宋体"/>
          <w:b w:val="0"/>
          <w:snapToGrid w:val="0"/>
          <w:sz w:val="24"/>
          <w:szCs w:val="24"/>
          <w:highlight w:val="none"/>
        </w:rPr>
        <w:t xml:space="preserve">  资格审查资料</w:t>
      </w:r>
      <w:bookmarkEnd w:id="584"/>
      <w:bookmarkEnd w:id="585"/>
      <w:bookmarkEnd w:id="586"/>
      <w:bookmarkEnd w:id="587"/>
      <w:bookmarkEnd w:id="588"/>
      <w:bookmarkEnd w:id="589"/>
      <w:bookmarkEnd w:id="590"/>
      <w:bookmarkEnd w:id="591"/>
      <w:bookmarkEnd w:id="592"/>
      <w:bookmarkEnd w:id="593"/>
      <w:bookmarkEnd w:id="594"/>
      <w:bookmarkEnd w:id="595"/>
      <w:bookmarkEnd w:id="596"/>
    </w:p>
    <w:p>
      <w:pPr>
        <w:autoSpaceDE w:val="0"/>
        <w:autoSpaceDN w:val="0"/>
        <w:adjustRightInd w:val="0"/>
        <w:snapToGrid w:val="0"/>
        <w:spacing w:line="360" w:lineRule="auto"/>
        <w:ind w:left="103" w:leftChars="49" w:right="37" w:firstLine="420" w:firstLineChars="200"/>
        <w:rPr>
          <w:rFonts w:ascii="宋体" w:hAnsi="宋体"/>
          <w:szCs w:val="21"/>
          <w:highlight w:val="none"/>
        </w:rPr>
      </w:pPr>
      <w:r>
        <w:rPr>
          <w:rFonts w:ascii="宋体" w:hAnsi="宋体"/>
          <w:szCs w:val="21"/>
          <w:highlight w:val="none"/>
        </w:rPr>
        <w:t>投标人</w:t>
      </w:r>
      <w:r>
        <w:rPr>
          <w:rFonts w:hint="eastAsia" w:ascii="宋体" w:hAnsi="宋体"/>
          <w:szCs w:val="21"/>
          <w:highlight w:val="none"/>
        </w:rPr>
        <w:t>应附</w:t>
      </w:r>
      <w:r>
        <w:rPr>
          <w:rFonts w:hint="eastAsia" w:ascii="宋体" w:hAnsi="宋体"/>
          <w:kern w:val="0"/>
          <w:szCs w:val="21"/>
          <w:highlight w:val="none"/>
        </w:rPr>
        <w:t>投标人须知前附表第1</w:t>
      </w:r>
      <w:r>
        <w:rPr>
          <w:rFonts w:ascii="宋体" w:hAnsi="宋体"/>
          <w:kern w:val="0"/>
          <w:szCs w:val="21"/>
          <w:highlight w:val="none"/>
        </w:rPr>
        <w:t>.4.1项</w:t>
      </w:r>
      <w:r>
        <w:rPr>
          <w:rFonts w:hint="eastAsia" w:ascii="宋体" w:hAnsi="宋体"/>
          <w:kern w:val="0"/>
          <w:szCs w:val="21"/>
          <w:highlight w:val="none"/>
        </w:rPr>
        <w:t>中要求的相关证明材料</w:t>
      </w:r>
      <w:r>
        <w:rPr>
          <w:rFonts w:ascii="宋体" w:hAnsi="宋体"/>
          <w:szCs w:val="21"/>
          <w:highlight w:val="none"/>
        </w:rPr>
        <w:t>。</w:t>
      </w:r>
    </w:p>
    <w:p>
      <w:pPr>
        <w:autoSpaceDE w:val="0"/>
        <w:autoSpaceDN w:val="0"/>
        <w:adjustRightInd w:val="0"/>
        <w:snapToGrid w:val="0"/>
        <w:spacing w:line="360" w:lineRule="auto"/>
        <w:ind w:left="103" w:leftChars="49" w:right="37" w:firstLine="420" w:firstLineChars="200"/>
        <w:rPr>
          <w:rFonts w:ascii="宋体" w:hAnsi="宋体"/>
          <w:snapToGrid w:val="0"/>
          <w:kern w:val="0"/>
          <w:szCs w:val="21"/>
          <w:highlight w:val="none"/>
        </w:rPr>
      </w:pPr>
      <w:r>
        <w:rPr>
          <w:rFonts w:hint="eastAsia" w:ascii="宋体" w:hAnsi="宋体"/>
          <w:snapToGrid w:val="0"/>
          <w:kern w:val="0"/>
          <w:szCs w:val="21"/>
          <w:highlight w:val="none"/>
        </w:rPr>
        <w:t>投标人须知前附表规定接受联合体投标的，详见投标人须知前附表联合体投标相关内容。</w:t>
      </w:r>
    </w:p>
    <w:p>
      <w:pPr>
        <w:autoSpaceDE w:val="0"/>
        <w:autoSpaceDN w:val="0"/>
        <w:adjustRightInd w:val="0"/>
        <w:snapToGrid w:val="0"/>
        <w:spacing w:line="360" w:lineRule="auto"/>
        <w:ind w:firstLine="420" w:firstLineChars="200"/>
        <w:rPr>
          <w:rFonts w:ascii="宋体" w:hAnsi="宋体"/>
          <w:i/>
          <w:snapToGrid w:val="0"/>
          <w:kern w:val="0"/>
          <w:szCs w:val="21"/>
          <w:highlight w:val="none"/>
        </w:rPr>
      </w:pPr>
      <w:r>
        <w:rPr>
          <w:rFonts w:hint="eastAsia" w:ascii="宋体" w:hAnsi="宋体"/>
          <w:i/>
          <w:snapToGrid w:val="0"/>
          <w:kern w:val="0"/>
          <w:szCs w:val="21"/>
          <w:highlight w:val="none"/>
        </w:rPr>
        <w:t>[提示：适用于未进行资格预审的。]</w:t>
      </w:r>
    </w:p>
    <w:p>
      <w:pPr>
        <w:pStyle w:val="5"/>
        <w:snapToGrid w:val="0"/>
        <w:spacing w:before="0" w:after="0" w:line="360" w:lineRule="auto"/>
        <w:rPr>
          <w:rFonts w:ascii="宋体" w:hAnsi="宋体"/>
          <w:b w:val="0"/>
          <w:snapToGrid w:val="0"/>
          <w:sz w:val="24"/>
          <w:szCs w:val="24"/>
          <w:highlight w:val="none"/>
        </w:rPr>
      </w:pPr>
      <w:bookmarkStart w:id="597" w:name="_Toc287607771"/>
      <w:bookmarkStart w:id="598" w:name="_Toc509218735"/>
      <w:bookmarkStart w:id="599" w:name="_Toc6572"/>
      <w:bookmarkStart w:id="600" w:name="_Toc13967"/>
      <w:bookmarkStart w:id="601" w:name="_Toc287620710"/>
      <w:bookmarkStart w:id="602" w:name="_Toc277082577"/>
      <w:bookmarkStart w:id="603" w:name="_Toc17025"/>
      <w:bookmarkStart w:id="604" w:name="_Toc200513151"/>
      <w:bookmarkStart w:id="605" w:name="_Toc224103342"/>
      <w:bookmarkStart w:id="606" w:name="_Toc75857014"/>
      <w:bookmarkStart w:id="607" w:name="_Toc25356"/>
      <w:bookmarkStart w:id="608" w:name="_Toc430530460"/>
      <w:bookmarkStart w:id="609" w:name="_Toc19221"/>
      <w:r>
        <w:rPr>
          <w:rFonts w:ascii="宋体" w:hAnsi="宋体"/>
          <w:b w:val="0"/>
          <w:snapToGrid w:val="0"/>
          <w:sz w:val="24"/>
          <w:szCs w:val="24"/>
          <w:highlight w:val="none"/>
        </w:rPr>
        <w:t>3.6  备选投标方案</w:t>
      </w:r>
      <w:bookmarkEnd w:id="597"/>
      <w:bookmarkEnd w:id="598"/>
      <w:bookmarkEnd w:id="599"/>
      <w:bookmarkEnd w:id="600"/>
      <w:bookmarkEnd w:id="601"/>
      <w:bookmarkEnd w:id="602"/>
      <w:bookmarkEnd w:id="603"/>
      <w:bookmarkEnd w:id="604"/>
      <w:bookmarkEnd w:id="605"/>
      <w:bookmarkEnd w:id="606"/>
      <w:bookmarkEnd w:id="607"/>
      <w:bookmarkEnd w:id="608"/>
      <w:bookmarkEnd w:id="609"/>
    </w:p>
    <w:p>
      <w:pPr>
        <w:autoSpaceDE w:val="0"/>
        <w:autoSpaceDN w:val="0"/>
        <w:adjustRightInd w:val="0"/>
        <w:snapToGrid w:val="0"/>
        <w:spacing w:line="360" w:lineRule="auto"/>
        <w:ind w:left="0" w:firstLine="420" w:firstLineChars="200"/>
        <w:rPr>
          <w:rFonts w:ascii="宋体" w:hAnsi="宋体"/>
          <w:snapToGrid w:val="0"/>
          <w:kern w:val="0"/>
          <w:szCs w:val="21"/>
          <w:highlight w:val="none"/>
        </w:rPr>
      </w:pPr>
      <w:r>
        <w:rPr>
          <w:rFonts w:ascii="宋体" w:hAnsi="宋体" w:eastAsia="宋体"/>
          <w:snapToGrid w:val="0"/>
          <w:kern w:val="0"/>
          <w:szCs w:val="21"/>
          <w:highlight w:val="none"/>
        </w:rPr>
        <w:t xml:space="preserve">3.6.1 </w:t>
      </w:r>
      <w:r>
        <w:rPr>
          <w:rFonts w:hint="eastAsia" w:ascii="宋体" w:hAnsi="宋体" w:eastAsia="宋体"/>
          <w:snapToGrid w:val="0"/>
          <w:kern w:val="0"/>
          <w:szCs w:val="21"/>
          <w:highlight w:val="none"/>
        </w:rPr>
        <w:t>除投标人须知前附表规定允许外，投标人不得递交备选投标方案，否则其投标将被否决。</w:t>
      </w:r>
    </w:p>
    <w:p>
      <w:pPr>
        <w:autoSpaceDE w:val="0"/>
        <w:autoSpaceDN w:val="0"/>
        <w:adjustRightInd w:val="0"/>
        <w:snapToGrid w:val="0"/>
        <w:spacing w:line="360" w:lineRule="auto"/>
        <w:ind w:left="0" w:firstLine="420" w:firstLineChars="200"/>
        <w:rPr>
          <w:rFonts w:ascii="宋体" w:hAnsi="宋体"/>
          <w:snapToGrid w:val="0"/>
          <w:kern w:val="0"/>
          <w:szCs w:val="21"/>
          <w:highlight w:val="none"/>
        </w:rPr>
      </w:pPr>
      <w:r>
        <w:rPr>
          <w:rFonts w:ascii="宋体" w:hAnsi="宋体" w:eastAsia="宋体"/>
          <w:snapToGrid w:val="0"/>
          <w:kern w:val="0"/>
          <w:szCs w:val="21"/>
          <w:highlight w:val="none"/>
        </w:rPr>
        <w:t xml:space="preserve">3.6.2 </w:t>
      </w:r>
      <w:r>
        <w:rPr>
          <w:rFonts w:hint="eastAsia" w:ascii="宋体" w:hAnsi="宋体" w:eastAsia="宋体"/>
          <w:snapToGrid w:val="0"/>
          <w:kern w:val="0"/>
          <w:szCs w:val="21"/>
          <w:highlight w:val="none"/>
        </w:rPr>
        <w:t>允许投标人递交备选投标方案的，只有中标人所递交的备选投标方案方可予以考虑。评标委员会认为中标人的备选投标方案优于其按照招标文件要求编制的投标方案的，招标人可以接受该备选投标方案。</w:t>
      </w:r>
    </w:p>
    <w:p>
      <w:pPr>
        <w:autoSpaceDE w:val="0"/>
        <w:autoSpaceDN w:val="0"/>
        <w:adjustRightInd w:val="0"/>
        <w:snapToGrid w:val="0"/>
        <w:spacing w:line="360" w:lineRule="auto"/>
        <w:ind w:left="0" w:firstLine="420" w:firstLineChars="200"/>
        <w:rPr>
          <w:rFonts w:ascii="宋体" w:hAnsi="宋体"/>
          <w:snapToGrid w:val="0"/>
          <w:kern w:val="0"/>
          <w:szCs w:val="21"/>
          <w:highlight w:val="none"/>
        </w:rPr>
      </w:pPr>
      <w:r>
        <w:rPr>
          <w:rFonts w:ascii="宋体" w:hAnsi="宋体" w:eastAsia="宋体"/>
          <w:snapToGrid w:val="0"/>
          <w:kern w:val="0"/>
          <w:szCs w:val="21"/>
          <w:highlight w:val="none"/>
        </w:rPr>
        <w:t xml:space="preserve">3.6.3 </w:t>
      </w:r>
      <w:r>
        <w:rPr>
          <w:rFonts w:hint="eastAsia" w:ascii="宋体" w:hAnsi="宋体" w:eastAsia="宋体"/>
          <w:snapToGrid w:val="0"/>
          <w:kern w:val="0"/>
          <w:szCs w:val="21"/>
          <w:highlight w:val="none"/>
        </w:rPr>
        <w:t>投标人提供两个或两个以上投标报价，或者在投标文件中提供一个报价，但同时提供两个或两个以上勘察</w:t>
      </w:r>
      <w:r>
        <w:rPr>
          <w:rFonts w:hint="eastAsia" w:ascii="宋体" w:hAnsi="宋体"/>
          <w:snapToGrid w:val="0"/>
          <w:kern w:val="0"/>
          <w:szCs w:val="21"/>
          <w:highlight w:val="none"/>
        </w:rPr>
        <w:t>纲要</w:t>
      </w:r>
      <w:r>
        <w:rPr>
          <w:rFonts w:hint="eastAsia" w:ascii="宋体" w:hAnsi="宋体" w:eastAsia="宋体"/>
          <w:snapToGrid w:val="0"/>
          <w:kern w:val="0"/>
          <w:szCs w:val="21"/>
          <w:highlight w:val="none"/>
        </w:rPr>
        <w:t>的，视为提供备选方案。</w:t>
      </w:r>
    </w:p>
    <w:p>
      <w:pPr>
        <w:pStyle w:val="14"/>
        <w:rPr>
          <w:highlight w:val="none"/>
        </w:rPr>
      </w:pPr>
    </w:p>
    <w:p>
      <w:pPr>
        <w:pStyle w:val="5"/>
        <w:snapToGrid w:val="0"/>
        <w:spacing w:before="0" w:after="0" w:line="360" w:lineRule="auto"/>
        <w:rPr>
          <w:rFonts w:ascii="宋体" w:hAnsi="宋体"/>
          <w:b w:val="0"/>
          <w:snapToGrid w:val="0"/>
          <w:sz w:val="24"/>
          <w:szCs w:val="24"/>
          <w:highlight w:val="none"/>
        </w:rPr>
      </w:pPr>
      <w:bookmarkStart w:id="610" w:name="_Toc224103343"/>
      <w:bookmarkStart w:id="611" w:name="_Toc200513152"/>
      <w:bookmarkStart w:id="612" w:name="_Toc430530461"/>
      <w:bookmarkStart w:id="613" w:name="_Toc14983"/>
      <w:bookmarkStart w:id="614" w:name="_Toc14668"/>
      <w:bookmarkStart w:id="615" w:name="_Toc17261"/>
      <w:bookmarkStart w:id="616" w:name="_Toc509218736"/>
      <w:bookmarkStart w:id="617" w:name="_Toc277082578"/>
      <w:bookmarkStart w:id="618" w:name="_Toc287607772"/>
      <w:bookmarkStart w:id="619" w:name="_Toc5039"/>
      <w:bookmarkStart w:id="620" w:name="_Toc75857015"/>
      <w:bookmarkStart w:id="621" w:name="_Toc287620711"/>
      <w:bookmarkStart w:id="622" w:name="_Toc4685"/>
      <w:r>
        <w:rPr>
          <w:rFonts w:ascii="宋体" w:hAnsi="宋体"/>
          <w:b w:val="0"/>
          <w:snapToGrid w:val="0"/>
          <w:sz w:val="24"/>
          <w:szCs w:val="24"/>
          <w:highlight w:val="none"/>
        </w:rPr>
        <w:t>3.7  投标文件的编制</w:t>
      </w:r>
      <w:bookmarkEnd w:id="610"/>
      <w:bookmarkEnd w:id="611"/>
      <w:bookmarkEnd w:id="612"/>
      <w:bookmarkEnd w:id="613"/>
      <w:bookmarkEnd w:id="614"/>
      <w:bookmarkEnd w:id="615"/>
      <w:bookmarkEnd w:id="616"/>
      <w:bookmarkEnd w:id="617"/>
      <w:bookmarkEnd w:id="618"/>
      <w:bookmarkEnd w:id="619"/>
      <w:bookmarkEnd w:id="620"/>
      <w:bookmarkEnd w:id="621"/>
      <w:bookmarkEnd w:id="622"/>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3.7.1  投标文件应按第六章“投标文件格式”进行编写，如有必要，可以增加附页，作为投标文件的组成部分。其中，投标函附录在满足招标文件实质性要求的基础上，可以提出比招标文件要求更有利于招标人的承诺。</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3.7.2  投标文件应当对招标文件有关</w:t>
      </w:r>
      <w:r>
        <w:rPr>
          <w:rFonts w:hint="eastAsia" w:ascii="宋体" w:hAnsi="宋体"/>
          <w:snapToGrid w:val="0"/>
          <w:kern w:val="0"/>
          <w:szCs w:val="21"/>
          <w:highlight w:val="none"/>
        </w:rPr>
        <w:t>勘察服务期</w:t>
      </w:r>
      <w:r>
        <w:rPr>
          <w:rFonts w:ascii="宋体" w:hAnsi="宋体"/>
          <w:snapToGrid w:val="0"/>
          <w:kern w:val="0"/>
          <w:szCs w:val="21"/>
          <w:highlight w:val="none"/>
        </w:rPr>
        <w:t>、投标有效期、</w:t>
      </w:r>
      <w:r>
        <w:rPr>
          <w:rFonts w:hint="eastAsia" w:ascii="宋体" w:hAnsi="宋体"/>
          <w:snapToGrid w:val="0"/>
          <w:kern w:val="0"/>
          <w:szCs w:val="21"/>
          <w:highlight w:val="none"/>
        </w:rPr>
        <w:t>发包人</w:t>
      </w:r>
      <w:r>
        <w:rPr>
          <w:rFonts w:ascii="宋体" w:hAnsi="宋体"/>
          <w:snapToGrid w:val="0"/>
          <w:kern w:val="0"/>
          <w:szCs w:val="21"/>
          <w:highlight w:val="none"/>
        </w:rPr>
        <w:t>要求、招标范围等实质性内容做出响应。</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position w:val="-2"/>
          <w:szCs w:val="21"/>
          <w:highlight w:val="none"/>
        </w:rPr>
        <w:t xml:space="preserve">3.7.3  </w:t>
      </w:r>
      <w:r>
        <w:rPr>
          <w:rFonts w:hint="eastAsia" w:ascii="宋体" w:hAnsi="宋体"/>
          <w:snapToGrid w:val="0"/>
          <w:kern w:val="0"/>
          <w:position w:val="-2"/>
          <w:szCs w:val="21"/>
          <w:highlight w:val="none"/>
        </w:rPr>
        <w:t>投标文件的签名盖章要求：按本章投标人须知前附表第3.7.3项执行。</w:t>
      </w:r>
    </w:p>
    <w:p>
      <w:pPr>
        <w:autoSpaceDE w:val="0"/>
        <w:autoSpaceDN w:val="0"/>
        <w:adjustRightInd w:val="0"/>
        <w:snapToGrid w:val="0"/>
        <w:spacing w:line="360" w:lineRule="auto"/>
        <w:ind w:right="-164" w:firstLine="420" w:firstLineChars="200"/>
        <w:rPr>
          <w:rFonts w:ascii="宋体" w:hAnsi="宋体"/>
          <w:snapToGrid w:val="0"/>
          <w:kern w:val="0"/>
          <w:szCs w:val="21"/>
          <w:highlight w:val="none"/>
        </w:rPr>
      </w:pPr>
      <w:r>
        <w:rPr>
          <w:rFonts w:ascii="宋体" w:hAnsi="宋体"/>
          <w:snapToGrid w:val="0"/>
          <w:kern w:val="0"/>
          <w:szCs w:val="21"/>
          <w:highlight w:val="none"/>
        </w:rPr>
        <w:t xml:space="preserve">3.7.4  </w:t>
      </w:r>
      <w:r>
        <w:rPr>
          <w:rFonts w:hint="eastAsia" w:ascii="宋体" w:hAnsi="宋体"/>
          <w:snapToGrid w:val="0"/>
          <w:kern w:val="0"/>
          <w:szCs w:val="21"/>
          <w:highlight w:val="none"/>
        </w:rPr>
        <w:t>投标文件份数：</w:t>
      </w:r>
      <w:r>
        <w:rPr>
          <w:rFonts w:hint="eastAsia" w:ascii="宋体" w:hAnsi="宋体"/>
          <w:kern w:val="0"/>
          <w:szCs w:val="21"/>
          <w:highlight w:val="none"/>
        </w:rPr>
        <w:t>投标人网上提交加密投标文件一份</w:t>
      </w:r>
      <w:r>
        <w:rPr>
          <w:rFonts w:ascii="宋体" w:hAnsi="宋体"/>
          <w:kern w:val="0"/>
          <w:szCs w:val="21"/>
          <w:highlight w:val="none"/>
        </w:rPr>
        <w:t>。</w:t>
      </w:r>
    </w:p>
    <w:p>
      <w:pPr>
        <w:autoSpaceDE w:val="0"/>
        <w:autoSpaceDN w:val="0"/>
        <w:adjustRightInd w:val="0"/>
        <w:snapToGrid w:val="0"/>
        <w:spacing w:line="360" w:lineRule="auto"/>
        <w:ind w:right="-109" w:firstLine="420" w:firstLineChars="200"/>
        <w:rPr>
          <w:rFonts w:ascii="宋体" w:hAnsi="宋体"/>
          <w:snapToGrid w:val="0"/>
          <w:kern w:val="0"/>
          <w:szCs w:val="21"/>
          <w:highlight w:val="none"/>
        </w:rPr>
      </w:pPr>
      <w:r>
        <w:rPr>
          <w:rFonts w:ascii="宋体" w:hAnsi="宋体"/>
          <w:snapToGrid w:val="0"/>
          <w:kern w:val="0"/>
          <w:szCs w:val="21"/>
          <w:highlight w:val="none"/>
        </w:rPr>
        <w:t>3.7.5  投标文件</w:t>
      </w:r>
      <w:r>
        <w:rPr>
          <w:rFonts w:hint="eastAsia" w:ascii="宋体" w:hAnsi="宋体"/>
          <w:snapToGrid w:val="0"/>
          <w:kern w:val="0"/>
          <w:szCs w:val="21"/>
          <w:highlight w:val="none"/>
        </w:rPr>
        <w:t>应按规定格式排版</w:t>
      </w:r>
      <w:r>
        <w:rPr>
          <w:rFonts w:ascii="宋体" w:hAnsi="宋体"/>
          <w:snapToGrid w:val="0"/>
          <w:kern w:val="0"/>
          <w:szCs w:val="21"/>
          <w:highlight w:val="none"/>
        </w:rPr>
        <w:t>，并编制目录，具体</w:t>
      </w:r>
      <w:r>
        <w:rPr>
          <w:rFonts w:hint="eastAsia" w:ascii="宋体" w:hAnsi="宋体"/>
          <w:snapToGrid w:val="0"/>
          <w:kern w:val="0"/>
          <w:szCs w:val="21"/>
          <w:highlight w:val="none"/>
        </w:rPr>
        <w:t>编制</w:t>
      </w:r>
      <w:r>
        <w:rPr>
          <w:rFonts w:ascii="宋体" w:hAnsi="宋体"/>
          <w:snapToGrid w:val="0"/>
          <w:kern w:val="0"/>
          <w:szCs w:val="21"/>
          <w:highlight w:val="none"/>
        </w:rPr>
        <w:t>要求见投标人须知前附表规定。</w:t>
      </w:r>
    </w:p>
    <w:p>
      <w:pPr>
        <w:pStyle w:val="4"/>
        <w:keepNext w:val="0"/>
        <w:keepLines w:val="0"/>
        <w:spacing w:before="0" w:after="0" w:line="360" w:lineRule="auto"/>
        <w:rPr>
          <w:rFonts w:ascii="宋体" w:hAnsi="宋体"/>
          <w:b w:val="0"/>
          <w:snapToGrid w:val="0"/>
          <w:highlight w:val="none"/>
        </w:rPr>
      </w:pPr>
      <w:bookmarkStart w:id="623" w:name="_Toc430530462"/>
      <w:bookmarkStart w:id="624" w:name="_Toc1189"/>
      <w:bookmarkStart w:id="625" w:name="_Toc20390"/>
      <w:bookmarkStart w:id="626" w:name="_Toc200513153"/>
      <w:bookmarkStart w:id="627" w:name="_Toc287620712"/>
      <w:bookmarkStart w:id="628" w:name="_Toc10454"/>
      <w:bookmarkStart w:id="629" w:name="_Toc11073"/>
      <w:bookmarkStart w:id="630" w:name="_Toc224103344"/>
      <w:bookmarkStart w:id="631" w:name="_Toc9313"/>
      <w:bookmarkStart w:id="632" w:name="_Toc509218737"/>
      <w:bookmarkStart w:id="633" w:name="_Toc277082579"/>
      <w:bookmarkStart w:id="634" w:name="_Toc287607773"/>
      <w:bookmarkStart w:id="635" w:name="_Toc75857016"/>
      <w:r>
        <w:rPr>
          <w:rFonts w:ascii="宋体" w:hAnsi="宋体"/>
          <w:b w:val="0"/>
          <w:snapToGrid w:val="0"/>
          <w:highlight w:val="none"/>
        </w:rPr>
        <w:t>4.  投标</w:t>
      </w:r>
      <w:bookmarkEnd w:id="623"/>
      <w:bookmarkEnd w:id="624"/>
      <w:bookmarkEnd w:id="625"/>
      <w:bookmarkEnd w:id="626"/>
      <w:bookmarkEnd w:id="627"/>
      <w:bookmarkEnd w:id="628"/>
      <w:bookmarkEnd w:id="629"/>
      <w:bookmarkEnd w:id="630"/>
      <w:bookmarkEnd w:id="631"/>
      <w:bookmarkEnd w:id="632"/>
      <w:bookmarkEnd w:id="633"/>
      <w:bookmarkEnd w:id="634"/>
      <w:bookmarkEnd w:id="635"/>
    </w:p>
    <w:p>
      <w:pPr>
        <w:pStyle w:val="5"/>
        <w:keepNext w:val="0"/>
        <w:keepLines w:val="0"/>
        <w:snapToGrid w:val="0"/>
        <w:spacing w:before="0" w:after="0" w:line="360" w:lineRule="auto"/>
        <w:rPr>
          <w:rFonts w:ascii="宋体" w:hAnsi="宋体"/>
          <w:b w:val="0"/>
          <w:snapToGrid w:val="0"/>
          <w:sz w:val="24"/>
          <w:szCs w:val="24"/>
          <w:highlight w:val="none"/>
        </w:rPr>
      </w:pPr>
      <w:bookmarkStart w:id="636" w:name="_Toc9502"/>
      <w:bookmarkStart w:id="637" w:name="_Toc3409"/>
      <w:bookmarkStart w:id="638" w:name="_Toc19165"/>
      <w:bookmarkStart w:id="639" w:name="_Toc277082580"/>
      <w:bookmarkStart w:id="640" w:name="_Toc287607774"/>
      <w:bookmarkStart w:id="641" w:name="_Toc75857017"/>
      <w:bookmarkStart w:id="642" w:name="_Toc509218738"/>
      <w:bookmarkStart w:id="643" w:name="_Toc31758"/>
      <w:bookmarkStart w:id="644" w:name="_Toc224103345"/>
      <w:bookmarkStart w:id="645" w:name="_Toc29133"/>
      <w:bookmarkStart w:id="646" w:name="_Toc287620713"/>
      <w:bookmarkStart w:id="647" w:name="_Toc200513154"/>
      <w:bookmarkStart w:id="648" w:name="_Toc430530463"/>
      <w:r>
        <w:rPr>
          <w:rFonts w:ascii="宋体" w:hAnsi="宋体"/>
          <w:b w:val="0"/>
          <w:snapToGrid w:val="0"/>
          <w:sz w:val="24"/>
          <w:szCs w:val="24"/>
          <w:highlight w:val="none"/>
        </w:rPr>
        <w:t>4.1  投标文件的密封和标记</w:t>
      </w:r>
      <w:bookmarkEnd w:id="636"/>
      <w:bookmarkEnd w:id="637"/>
      <w:bookmarkEnd w:id="638"/>
      <w:bookmarkEnd w:id="639"/>
      <w:bookmarkEnd w:id="640"/>
      <w:bookmarkEnd w:id="641"/>
      <w:bookmarkEnd w:id="642"/>
      <w:bookmarkEnd w:id="643"/>
      <w:bookmarkEnd w:id="644"/>
      <w:bookmarkEnd w:id="645"/>
      <w:bookmarkEnd w:id="646"/>
      <w:bookmarkEnd w:id="647"/>
      <w:bookmarkEnd w:id="648"/>
    </w:p>
    <w:p>
      <w:pPr>
        <w:autoSpaceDE w:val="0"/>
        <w:autoSpaceDN w:val="0"/>
        <w:adjustRightInd w:val="0"/>
        <w:snapToGrid w:val="0"/>
        <w:spacing w:line="360" w:lineRule="auto"/>
        <w:ind w:firstLine="420" w:firstLineChars="200"/>
        <w:rPr>
          <w:rFonts w:ascii="宋体" w:hAnsi="宋体"/>
          <w:snapToGrid w:val="0"/>
          <w:kern w:val="0"/>
          <w:szCs w:val="21"/>
          <w:highlight w:val="none"/>
        </w:rPr>
      </w:pPr>
      <w:bookmarkStart w:id="649" w:name="_Toc200513155"/>
      <w:r>
        <w:rPr>
          <w:rFonts w:ascii="宋体" w:hAnsi="宋体"/>
          <w:snapToGrid w:val="0"/>
          <w:kern w:val="0"/>
          <w:szCs w:val="21"/>
          <w:highlight w:val="none"/>
        </w:rPr>
        <w:t>4.1.1  投标文件的密封</w:t>
      </w:r>
      <w:r>
        <w:rPr>
          <w:rFonts w:hint="eastAsia" w:ascii="宋体" w:hAnsi="宋体"/>
          <w:snapToGrid w:val="0"/>
          <w:kern w:val="0"/>
          <w:szCs w:val="21"/>
          <w:highlight w:val="none"/>
        </w:rPr>
        <w:t>：</w:t>
      </w:r>
      <w:r>
        <w:rPr>
          <w:rFonts w:ascii="宋体" w:hAnsi="宋体"/>
          <w:snapToGrid w:val="0"/>
          <w:kern w:val="0"/>
          <w:szCs w:val="21"/>
          <w:highlight w:val="none"/>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4.1.2  投标文件的封套上应写明的内容</w:t>
      </w:r>
      <w:r>
        <w:rPr>
          <w:rFonts w:hint="eastAsia" w:ascii="宋体" w:hAnsi="宋体"/>
          <w:snapToGrid w:val="0"/>
          <w:kern w:val="0"/>
          <w:szCs w:val="21"/>
          <w:highlight w:val="none"/>
        </w:rPr>
        <w:t>：</w:t>
      </w:r>
      <w:r>
        <w:rPr>
          <w:rFonts w:ascii="宋体" w:hAnsi="宋体"/>
          <w:snapToGrid w:val="0"/>
          <w:kern w:val="0"/>
          <w:szCs w:val="21"/>
          <w:highlight w:val="none"/>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4.1.3  电子投标文件的加密</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加密的电子投标文件应按照本章投标人须知前附表第10.4款相关要求制作并加密，未按要求加密的电子投标文件，将无法上传至重庆市电子招投标系统，逾期未完成上传投标文件的，视为撤回投标文件。</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4.1.4  不加密电子投标文件的密封</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投标人如需递交不加密电子投标文件（光盘备份）应单独封装，并在封套的封口处加盖投标人单位法人章。</w:t>
      </w:r>
    </w:p>
    <w:p>
      <w:pPr>
        <w:pStyle w:val="5"/>
        <w:keepNext w:val="0"/>
        <w:keepLines w:val="0"/>
        <w:snapToGrid w:val="0"/>
        <w:spacing w:before="0" w:after="0" w:line="360" w:lineRule="auto"/>
        <w:rPr>
          <w:rFonts w:ascii="宋体" w:hAnsi="宋体"/>
          <w:b w:val="0"/>
          <w:snapToGrid w:val="0"/>
          <w:sz w:val="24"/>
          <w:szCs w:val="24"/>
          <w:highlight w:val="none"/>
        </w:rPr>
      </w:pPr>
      <w:bookmarkStart w:id="650" w:name="_Toc11945"/>
      <w:bookmarkStart w:id="651" w:name="_Toc75857018"/>
      <w:bookmarkStart w:id="652" w:name="_Toc31694"/>
      <w:bookmarkStart w:id="653" w:name="_Toc224103346"/>
      <w:bookmarkStart w:id="654" w:name="_Toc287607775"/>
      <w:bookmarkStart w:id="655" w:name="_Toc26654"/>
      <w:bookmarkStart w:id="656" w:name="_Toc21271"/>
      <w:bookmarkStart w:id="657" w:name="_Toc430530464"/>
      <w:bookmarkStart w:id="658" w:name="_Toc287620714"/>
      <w:bookmarkStart w:id="659" w:name="_Toc5099"/>
      <w:bookmarkStart w:id="660" w:name="_Toc277082581"/>
      <w:bookmarkStart w:id="661" w:name="_Toc509218739"/>
      <w:r>
        <w:rPr>
          <w:rFonts w:ascii="宋体" w:hAnsi="宋体"/>
          <w:b w:val="0"/>
          <w:snapToGrid w:val="0"/>
          <w:sz w:val="24"/>
          <w:szCs w:val="24"/>
          <w:highlight w:val="none"/>
        </w:rPr>
        <w:t>4.2  投标文件的递交</w:t>
      </w:r>
      <w:bookmarkEnd w:id="649"/>
      <w:bookmarkEnd w:id="650"/>
      <w:bookmarkEnd w:id="651"/>
      <w:bookmarkEnd w:id="652"/>
      <w:bookmarkEnd w:id="653"/>
      <w:bookmarkEnd w:id="654"/>
      <w:bookmarkEnd w:id="655"/>
      <w:bookmarkEnd w:id="656"/>
      <w:bookmarkEnd w:id="657"/>
      <w:bookmarkEnd w:id="658"/>
      <w:bookmarkEnd w:id="659"/>
      <w:bookmarkEnd w:id="660"/>
      <w:bookmarkEnd w:id="661"/>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 xml:space="preserve">4.2.1  投标人应在投标人须知前附表第 </w:t>
      </w:r>
      <w:r>
        <w:rPr>
          <w:rFonts w:hint="eastAsia" w:ascii="宋体" w:hAnsi="宋体"/>
          <w:snapToGrid w:val="0"/>
          <w:kern w:val="0"/>
          <w:szCs w:val="21"/>
          <w:highlight w:val="none"/>
        </w:rPr>
        <w:t>4</w:t>
      </w:r>
      <w:r>
        <w:rPr>
          <w:rFonts w:ascii="宋体" w:hAnsi="宋体"/>
          <w:snapToGrid w:val="0"/>
          <w:kern w:val="0"/>
          <w:szCs w:val="21"/>
          <w:highlight w:val="none"/>
        </w:rPr>
        <w:t>.2.</w:t>
      </w:r>
      <w:r>
        <w:rPr>
          <w:rFonts w:hint="eastAsia" w:ascii="宋体" w:hAnsi="宋体"/>
          <w:snapToGrid w:val="0"/>
          <w:kern w:val="0"/>
          <w:szCs w:val="21"/>
          <w:highlight w:val="none"/>
        </w:rPr>
        <w:t>1</w:t>
      </w:r>
      <w:r>
        <w:rPr>
          <w:rFonts w:ascii="宋体" w:hAnsi="宋体"/>
          <w:snapToGrid w:val="0"/>
          <w:kern w:val="0"/>
          <w:szCs w:val="21"/>
          <w:highlight w:val="none"/>
        </w:rPr>
        <w:t xml:space="preserve"> 项规定的投标截止时间前递交投标文件。</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4.2.2  投标人递交投标文件的地点：见投标人须知前附表。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4.2.3  除投标人须知前附表另有规定外，投标人所递交的投标文件不予退还。</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4.2.4  招标人收到投标文件后，由</w:t>
      </w:r>
      <w:r>
        <w:rPr>
          <w:rFonts w:hint="eastAsia" w:ascii="宋体" w:hAnsi="宋体" w:cs="宋体"/>
          <w:szCs w:val="21"/>
          <w:highlight w:val="none"/>
        </w:rPr>
        <w:t>重庆市电子招投标系统</w:t>
      </w:r>
      <w:r>
        <w:rPr>
          <w:rFonts w:ascii="宋体" w:hAnsi="宋体"/>
          <w:snapToGrid w:val="0"/>
          <w:kern w:val="0"/>
          <w:szCs w:val="21"/>
          <w:highlight w:val="none"/>
        </w:rPr>
        <w:t>向投标人出具签收凭证。</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4.2.5  逾期送达的或者未送达指定地点的投标文件，</w:t>
      </w:r>
      <w:r>
        <w:rPr>
          <w:rFonts w:hint="eastAsia" w:ascii="宋体" w:hAnsi="宋体" w:cs="宋体"/>
          <w:szCs w:val="21"/>
          <w:highlight w:val="none"/>
        </w:rPr>
        <w:t>重庆市电子招投标系统</w:t>
      </w:r>
      <w:r>
        <w:rPr>
          <w:highlight w:val="none"/>
        </w:rPr>
        <w:t>将予以拒收</w:t>
      </w:r>
      <w:r>
        <w:rPr>
          <w:rFonts w:ascii="宋体" w:hAnsi="宋体"/>
          <w:snapToGrid w:val="0"/>
          <w:kern w:val="0"/>
          <w:szCs w:val="21"/>
          <w:highlight w:val="none"/>
        </w:rPr>
        <w:t>。</w:t>
      </w:r>
    </w:p>
    <w:p>
      <w:pPr>
        <w:pStyle w:val="5"/>
        <w:keepNext w:val="0"/>
        <w:keepLines w:val="0"/>
        <w:snapToGrid w:val="0"/>
        <w:spacing w:before="0" w:after="0" w:line="360" w:lineRule="auto"/>
        <w:rPr>
          <w:rFonts w:ascii="宋体" w:hAnsi="宋体"/>
          <w:b w:val="0"/>
          <w:snapToGrid w:val="0"/>
          <w:sz w:val="24"/>
          <w:szCs w:val="24"/>
          <w:highlight w:val="none"/>
        </w:rPr>
      </w:pPr>
      <w:bookmarkStart w:id="662" w:name="_Toc75857019"/>
      <w:bookmarkStart w:id="663" w:name="_Toc3677"/>
      <w:bookmarkStart w:id="664" w:name="_Toc20215"/>
      <w:bookmarkStart w:id="665" w:name="_Toc277082582"/>
      <w:bookmarkStart w:id="666" w:name="_Toc200513156"/>
      <w:bookmarkStart w:id="667" w:name="_Toc27843"/>
      <w:bookmarkStart w:id="668" w:name="_Toc287607776"/>
      <w:bookmarkStart w:id="669" w:name="_Toc287620715"/>
      <w:bookmarkStart w:id="670" w:name="_Toc23251"/>
      <w:bookmarkStart w:id="671" w:name="_Toc224103347"/>
      <w:bookmarkStart w:id="672" w:name="_Toc509218740"/>
      <w:bookmarkStart w:id="673" w:name="_Toc28345"/>
      <w:bookmarkStart w:id="674" w:name="_Toc430530465"/>
      <w:r>
        <w:rPr>
          <w:rFonts w:ascii="宋体" w:hAnsi="宋体"/>
          <w:b w:val="0"/>
          <w:snapToGrid w:val="0"/>
          <w:sz w:val="24"/>
          <w:szCs w:val="24"/>
          <w:highlight w:val="none"/>
        </w:rPr>
        <w:t>4.3  投标文件的修改与撤回</w:t>
      </w:r>
      <w:bookmarkEnd w:id="662"/>
      <w:bookmarkEnd w:id="663"/>
      <w:bookmarkEnd w:id="664"/>
      <w:bookmarkEnd w:id="665"/>
      <w:bookmarkEnd w:id="666"/>
      <w:bookmarkEnd w:id="667"/>
      <w:bookmarkEnd w:id="668"/>
      <w:bookmarkEnd w:id="669"/>
      <w:bookmarkEnd w:id="670"/>
      <w:bookmarkEnd w:id="671"/>
      <w:bookmarkEnd w:id="672"/>
      <w:bookmarkEnd w:id="673"/>
      <w:bookmarkEnd w:id="674"/>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4.3.1  在投标人须知前附表第</w:t>
      </w:r>
      <w:r>
        <w:rPr>
          <w:rFonts w:hint="eastAsia" w:ascii="宋体" w:hAnsi="宋体"/>
          <w:snapToGrid w:val="0"/>
          <w:kern w:val="0"/>
          <w:szCs w:val="21"/>
          <w:highlight w:val="none"/>
        </w:rPr>
        <w:t>4</w:t>
      </w:r>
      <w:r>
        <w:rPr>
          <w:rFonts w:ascii="宋体" w:hAnsi="宋体"/>
          <w:snapToGrid w:val="0"/>
          <w:kern w:val="0"/>
          <w:szCs w:val="21"/>
          <w:highlight w:val="none"/>
        </w:rPr>
        <w:t>.2.</w:t>
      </w:r>
      <w:r>
        <w:rPr>
          <w:rFonts w:hint="eastAsia" w:ascii="宋体" w:hAnsi="宋体"/>
          <w:snapToGrid w:val="0"/>
          <w:kern w:val="0"/>
          <w:szCs w:val="21"/>
          <w:highlight w:val="none"/>
        </w:rPr>
        <w:t>1</w:t>
      </w:r>
      <w:r>
        <w:rPr>
          <w:rFonts w:ascii="宋体" w:hAnsi="宋体"/>
          <w:snapToGrid w:val="0"/>
          <w:kern w:val="0"/>
          <w:szCs w:val="21"/>
          <w:highlight w:val="none"/>
        </w:rPr>
        <w:t>项规定的投标截止时间前，投标人可以修改或撤回已递交的投标文件。</w:t>
      </w:r>
      <w:r>
        <w:rPr>
          <w:rFonts w:hint="eastAsia" w:ascii="宋体" w:hAnsi="宋体" w:cs="宋体"/>
          <w:szCs w:val="21"/>
          <w:highlight w:val="none"/>
        </w:rPr>
        <w:t>投标人修改投标文件的，应按照本章第 3.7.3 项的要求重新对投标文件进行电子签章，再按照本章第 4.2 款的要求提交。</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4.3.2  投标人对加密的电子投标文件进行撤回的，在重庆市电子招投标系统直接进行撤回操作；任何情况下，投标人都有义务保证其递交的加密的电子投标文件和不加密电子投标文件（光盘备份）的内容保持一致，否则造成的后果由投标人自行承担。</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color w:val="000000"/>
          <w:kern w:val="0"/>
          <w:szCs w:val="21"/>
          <w:highlight w:val="none"/>
        </w:rPr>
        <w:t xml:space="preserve">4.3.3 </w:t>
      </w:r>
      <w:r>
        <w:rPr>
          <w:rFonts w:hint="eastAsia" w:ascii="宋体" w:hAnsi="宋体"/>
          <w:snapToGrid w:val="0"/>
          <w:color w:val="000000"/>
          <w:kern w:val="0"/>
          <w:szCs w:val="21"/>
          <w:highlight w:val="none"/>
        </w:rPr>
        <w:t>投标人撤回投标文件的，招标人自收到投标人书面撤回通知之日起</w:t>
      </w:r>
      <w:r>
        <w:rPr>
          <w:rFonts w:ascii="宋体" w:hAnsi="宋体"/>
          <w:snapToGrid w:val="0"/>
          <w:color w:val="000000"/>
          <w:kern w:val="0"/>
          <w:szCs w:val="21"/>
          <w:highlight w:val="none"/>
        </w:rPr>
        <w:t>5</w:t>
      </w:r>
      <w:r>
        <w:rPr>
          <w:rFonts w:hint="eastAsia" w:ascii="宋体" w:hAnsi="宋体"/>
          <w:snapToGrid w:val="0"/>
          <w:color w:val="000000"/>
          <w:kern w:val="0"/>
          <w:szCs w:val="21"/>
          <w:highlight w:val="none"/>
        </w:rPr>
        <w:t>日内退还已收取的投标保证金。</w:t>
      </w:r>
    </w:p>
    <w:p>
      <w:pPr>
        <w:pStyle w:val="4"/>
        <w:keepNext w:val="0"/>
        <w:keepLines w:val="0"/>
        <w:spacing w:before="0" w:after="0" w:line="360" w:lineRule="auto"/>
        <w:rPr>
          <w:rFonts w:ascii="宋体" w:hAnsi="宋体"/>
          <w:b w:val="0"/>
          <w:snapToGrid w:val="0"/>
          <w:highlight w:val="none"/>
        </w:rPr>
      </w:pPr>
      <w:bookmarkStart w:id="675" w:name="_Toc6074"/>
      <w:bookmarkStart w:id="676" w:name="_Toc277082583"/>
      <w:bookmarkStart w:id="677" w:name="_Toc287620716"/>
      <w:bookmarkStart w:id="678" w:name="_Toc7906"/>
      <w:bookmarkStart w:id="679" w:name="_Toc224103348"/>
      <w:bookmarkStart w:id="680" w:name="_Toc509218741"/>
      <w:bookmarkStart w:id="681" w:name="_Toc22802"/>
      <w:bookmarkStart w:id="682" w:name="_Toc75857020"/>
      <w:bookmarkStart w:id="683" w:name="_Toc430530466"/>
      <w:bookmarkStart w:id="684" w:name="_Toc12375"/>
      <w:bookmarkStart w:id="685" w:name="_Toc28364"/>
      <w:bookmarkStart w:id="686" w:name="_Toc287607777"/>
      <w:bookmarkStart w:id="687" w:name="_Toc200513157"/>
      <w:r>
        <w:rPr>
          <w:rFonts w:ascii="宋体" w:hAnsi="宋体"/>
          <w:b w:val="0"/>
          <w:snapToGrid w:val="0"/>
          <w:highlight w:val="none"/>
        </w:rPr>
        <w:t>5.  开标</w:t>
      </w:r>
      <w:bookmarkEnd w:id="675"/>
      <w:bookmarkEnd w:id="676"/>
      <w:bookmarkEnd w:id="677"/>
      <w:bookmarkEnd w:id="678"/>
      <w:bookmarkEnd w:id="679"/>
      <w:bookmarkEnd w:id="680"/>
      <w:bookmarkEnd w:id="681"/>
      <w:bookmarkEnd w:id="682"/>
      <w:bookmarkEnd w:id="683"/>
      <w:bookmarkEnd w:id="684"/>
      <w:bookmarkEnd w:id="685"/>
      <w:bookmarkEnd w:id="686"/>
      <w:bookmarkEnd w:id="687"/>
    </w:p>
    <w:p>
      <w:pPr>
        <w:pStyle w:val="5"/>
        <w:keepNext w:val="0"/>
        <w:keepLines w:val="0"/>
        <w:snapToGrid w:val="0"/>
        <w:spacing w:before="0" w:after="0" w:line="360" w:lineRule="auto"/>
        <w:rPr>
          <w:rFonts w:ascii="宋体" w:hAnsi="宋体"/>
          <w:b w:val="0"/>
          <w:snapToGrid w:val="0"/>
          <w:sz w:val="24"/>
          <w:szCs w:val="24"/>
          <w:highlight w:val="none"/>
        </w:rPr>
      </w:pPr>
      <w:bookmarkStart w:id="688" w:name="_Toc200513158"/>
      <w:bookmarkStart w:id="689" w:name="_Toc20545"/>
      <w:bookmarkStart w:id="690" w:name="_Toc509218742"/>
      <w:bookmarkStart w:id="691" w:name="_Toc277082584"/>
      <w:bookmarkStart w:id="692" w:name="_Toc5054"/>
      <w:bookmarkStart w:id="693" w:name="_Toc75857021"/>
      <w:bookmarkStart w:id="694" w:name="_Toc224103349"/>
      <w:bookmarkStart w:id="695" w:name="_Toc11931"/>
      <w:bookmarkStart w:id="696" w:name="_Toc23824"/>
      <w:bookmarkStart w:id="697" w:name="_Toc287607778"/>
      <w:bookmarkStart w:id="698" w:name="_Toc430530467"/>
      <w:bookmarkStart w:id="699" w:name="_Toc17754"/>
      <w:bookmarkStart w:id="700" w:name="_Toc287620717"/>
      <w:r>
        <w:rPr>
          <w:rFonts w:ascii="宋体" w:hAnsi="宋体"/>
          <w:b w:val="0"/>
          <w:snapToGrid w:val="0"/>
          <w:sz w:val="24"/>
          <w:szCs w:val="24"/>
          <w:highlight w:val="none"/>
        </w:rPr>
        <w:t>5.1  开标时间和地点</w:t>
      </w:r>
      <w:bookmarkEnd w:id="688"/>
      <w:bookmarkEnd w:id="689"/>
      <w:bookmarkEnd w:id="690"/>
      <w:bookmarkEnd w:id="691"/>
      <w:bookmarkEnd w:id="692"/>
      <w:bookmarkEnd w:id="693"/>
      <w:bookmarkEnd w:id="694"/>
      <w:bookmarkEnd w:id="695"/>
      <w:bookmarkEnd w:id="696"/>
      <w:bookmarkEnd w:id="697"/>
      <w:bookmarkEnd w:id="698"/>
      <w:bookmarkEnd w:id="699"/>
      <w:bookmarkEnd w:id="700"/>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 xml:space="preserve">5.1.1  </w:t>
      </w:r>
      <w:r>
        <w:rPr>
          <w:rFonts w:ascii="宋体" w:hAnsi="宋体"/>
          <w:snapToGrid w:val="0"/>
          <w:kern w:val="0"/>
          <w:szCs w:val="21"/>
          <w:highlight w:val="none"/>
        </w:rPr>
        <w:t xml:space="preserve">招标人在投标人须知前附表第 </w:t>
      </w:r>
      <w:r>
        <w:rPr>
          <w:rFonts w:hint="eastAsia" w:ascii="宋体" w:hAnsi="宋体"/>
          <w:snapToGrid w:val="0"/>
          <w:kern w:val="0"/>
          <w:szCs w:val="21"/>
          <w:highlight w:val="none"/>
        </w:rPr>
        <w:t>4</w:t>
      </w:r>
      <w:r>
        <w:rPr>
          <w:rFonts w:ascii="宋体" w:hAnsi="宋体"/>
          <w:snapToGrid w:val="0"/>
          <w:kern w:val="0"/>
          <w:szCs w:val="21"/>
          <w:highlight w:val="none"/>
        </w:rPr>
        <w:t>.2.</w:t>
      </w:r>
      <w:r>
        <w:rPr>
          <w:rFonts w:hint="eastAsia" w:ascii="宋体" w:hAnsi="宋体"/>
          <w:snapToGrid w:val="0"/>
          <w:kern w:val="0"/>
          <w:szCs w:val="21"/>
          <w:highlight w:val="none"/>
        </w:rPr>
        <w:t>1</w:t>
      </w:r>
      <w:r>
        <w:rPr>
          <w:rFonts w:ascii="宋体" w:hAnsi="宋体"/>
          <w:snapToGrid w:val="0"/>
          <w:kern w:val="0"/>
          <w:szCs w:val="21"/>
          <w:highlight w:val="none"/>
        </w:rPr>
        <w:t xml:space="preserve"> 项规定的投标截止时间（开标时间）和投标人须知前附表规定的地点公开开标，并邀请所有投标人的法定代表人或其委托代理人准时参加。</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5.1.2  投标人在投标人须知前附表第 5.1.2 项规定的解密时间内在线或到开标现场完成投标文件解密工作。</w:t>
      </w:r>
    </w:p>
    <w:p>
      <w:pPr>
        <w:pStyle w:val="5"/>
        <w:keepNext w:val="0"/>
        <w:keepLines w:val="0"/>
        <w:snapToGrid w:val="0"/>
        <w:spacing w:before="0" w:after="0" w:line="360" w:lineRule="auto"/>
        <w:rPr>
          <w:rFonts w:ascii="宋体" w:hAnsi="宋体"/>
          <w:b w:val="0"/>
          <w:snapToGrid w:val="0"/>
          <w:sz w:val="24"/>
          <w:szCs w:val="24"/>
          <w:highlight w:val="none"/>
        </w:rPr>
      </w:pPr>
      <w:bookmarkStart w:id="701" w:name="_Toc224103350"/>
      <w:bookmarkStart w:id="702" w:name="_Toc3975"/>
      <w:bookmarkStart w:id="703" w:name="_Toc10128"/>
      <w:bookmarkStart w:id="704" w:name="_Toc8771"/>
      <w:bookmarkStart w:id="705" w:name="_Toc32240"/>
      <w:bookmarkStart w:id="706" w:name="_Toc430530468"/>
      <w:bookmarkStart w:id="707" w:name="_Toc277082585"/>
      <w:bookmarkStart w:id="708" w:name="_Toc287620718"/>
      <w:bookmarkStart w:id="709" w:name="_Toc200513159"/>
      <w:bookmarkStart w:id="710" w:name="_Toc75857022"/>
      <w:bookmarkStart w:id="711" w:name="_Toc18650"/>
      <w:bookmarkStart w:id="712" w:name="_Toc287607779"/>
      <w:bookmarkStart w:id="713" w:name="_Toc509218743"/>
      <w:r>
        <w:rPr>
          <w:rFonts w:ascii="宋体" w:hAnsi="宋体"/>
          <w:b w:val="0"/>
          <w:snapToGrid w:val="0"/>
          <w:sz w:val="24"/>
          <w:szCs w:val="24"/>
          <w:highlight w:val="none"/>
        </w:rPr>
        <w:t>5.2  开标程序</w:t>
      </w:r>
      <w:bookmarkEnd w:id="701"/>
      <w:bookmarkEnd w:id="702"/>
      <w:bookmarkEnd w:id="703"/>
      <w:bookmarkEnd w:id="704"/>
      <w:bookmarkEnd w:id="705"/>
      <w:bookmarkEnd w:id="706"/>
      <w:bookmarkEnd w:id="707"/>
      <w:bookmarkEnd w:id="708"/>
      <w:bookmarkEnd w:id="709"/>
      <w:bookmarkEnd w:id="710"/>
      <w:bookmarkEnd w:id="711"/>
      <w:bookmarkEnd w:id="712"/>
      <w:bookmarkEnd w:id="713"/>
    </w:p>
    <w:p>
      <w:pPr>
        <w:autoSpaceDE w:val="0"/>
        <w:autoSpaceDN w:val="0"/>
        <w:adjustRightInd w:val="0"/>
        <w:snapToGrid w:val="0"/>
        <w:spacing w:line="360" w:lineRule="auto"/>
        <w:ind w:firstLine="420" w:firstLineChars="200"/>
        <w:rPr>
          <w:rFonts w:ascii="宋体" w:hAnsi="宋体"/>
          <w:szCs w:val="21"/>
          <w:highlight w:val="none"/>
        </w:rPr>
      </w:pPr>
      <w:bookmarkStart w:id="714" w:name="_Toc224103351"/>
      <w:bookmarkStart w:id="715" w:name="_Toc277082586"/>
      <w:bookmarkStart w:id="716" w:name="_Toc200513160"/>
      <w:bookmarkStart w:id="717" w:name="_Toc287620719"/>
      <w:bookmarkStart w:id="718" w:name="_Toc287607780"/>
      <w:r>
        <w:rPr>
          <w:rFonts w:ascii="宋体" w:hAnsi="宋体"/>
          <w:szCs w:val="21"/>
          <w:highlight w:val="none"/>
        </w:rPr>
        <w:t>详见投标人须知前附表第5.2款开标程序。</w:t>
      </w:r>
    </w:p>
    <w:p>
      <w:pPr>
        <w:pStyle w:val="5"/>
        <w:keepNext w:val="0"/>
        <w:keepLines w:val="0"/>
        <w:snapToGrid w:val="0"/>
        <w:spacing w:before="0" w:after="0" w:line="360" w:lineRule="auto"/>
        <w:rPr>
          <w:rFonts w:ascii="宋体" w:hAnsi="宋体"/>
          <w:b w:val="0"/>
          <w:snapToGrid w:val="0"/>
          <w:sz w:val="24"/>
          <w:szCs w:val="24"/>
          <w:highlight w:val="none"/>
        </w:rPr>
      </w:pPr>
      <w:bookmarkStart w:id="719" w:name="_Toc28920"/>
      <w:bookmarkStart w:id="720" w:name="_Toc27890"/>
      <w:bookmarkStart w:id="721" w:name="_Toc16431"/>
      <w:bookmarkStart w:id="722" w:name="_Toc75857023"/>
      <w:bookmarkStart w:id="723" w:name="_Toc170"/>
      <w:bookmarkStart w:id="724" w:name="_Toc30727"/>
      <w:r>
        <w:rPr>
          <w:rFonts w:ascii="宋体" w:hAnsi="宋体"/>
          <w:b w:val="0"/>
          <w:snapToGrid w:val="0"/>
          <w:sz w:val="24"/>
          <w:szCs w:val="24"/>
          <w:highlight w:val="none"/>
        </w:rPr>
        <w:t>5.</w:t>
      </w:r>
      <w:r>
        <w:rPr>
          <w:rFonts w:hint="eastAsia" w:ascii="宋体" w:hAnsi="宋体"/>
          <w:b w:val="0"/>
          <w:snapToGrid w:val="0"/>
          <w:sz w:val="24"/>
          <w:szCs w:val="24"/>
          <w:highlight w:val="none"/>
        </w:rPr>
        <w:t>3</w:t>
      </w:r>
      <w:r>
        <w:rPr>
          <w:rFonts w:ascii="宋体" w:hAnsi="宋体"/>
          <w:b w:val="0"/>
          <w:snapToGrid w:val="0"/>
          <w:sz w:val="24"/>
          <w:szCs w:val="24"/>
          <w:highlight w:val="none"/>
        </w:rPr>
        <w:t xml:space="preserve">  </w:t>
      </w:r>
      <w:r>
        <w:rPr>
          <w:rFonts w:hint="eastAsia" w:ascii="宋体" w:hAnsi="宋体"/>
          <w:b w:val="0"/>
          <w:snapToGrid w:val="0"/>
          <w:sz w:val="24"/>
          <w:szCs w:val="24"/>
          <w:highlight w:val="none"/>
        </w:rPr>
        <w:t>开标异议</w:t>
      </w:r>
      <w:bookmarkEnd w:id="719"/>
      <w:bookmarkEnd w:id="720"/>
      <w:bookmarkEnd w:id="721"/>
      <w:bookmarkEnd w:id="722"/>
      <w:bookmarkEnd w:id="723"/>
      <w:bookmarkEnd w:id="724"/>
    </w:p>
    <w:p>
      <w:pPr>
        <w:spacing w:line="400" w:lineRule="exact"/>
        <w:ind w:firstLine="420" w:firstLineChars="200"/>
        <w:rPr>
          <w:highlight w:val="none"/>
        </w:rPr>
      </w:pPr>
      <w:r>
        <w:rPr>
          <w:rFonts w:hint="eastAsia"/>
          <w:highlight w:val="none"/>
        </w:rPr>
        <w:t>投标人对开标有异议的，应</w:t>
      </w:r>
      <w:r>
        <w:rPr>
          <w:rFonts w:hint="eastAsia"/>
          <w:highlight w:val="none"/>
          <w:lang w:val="en-US" w:eastAsia="zh-CN"/>
        </w:rPr>
        <w:t>当</w:t>
      </w:r>
      <w:r>
        <w:rPr>
          <w:rFonts w:hint="eastAsia"/>
          <w:highlight w:val="none"/>
        </w:rPr>
        <w:t>在开标现场或在线（不见面开标适用）提出，开标现场提出异议的，应出示法定代表人身份证明或附有法定代表人身份证明的授权委托书。招标人当场作出答复，并制作记录，提出异议的投标人代表、招标人代表、主持人、记录人等有关人员在记录上签名确认。</w:t>
      </w:r>
    </w:p>
    <w:p>
      <w:pPr>
        <w:pStyle w:val="4"/>
        <w:keepNext w:val="0"/>
        <w:keepLines w:val="0"/>
        <w:spacing w:before="0" w:after="0" w:line="360" w:lineRule="auto"/>
        <w:rPr>
          <w:rFonts w:ascii="宋体" w:hAnsi="宋体"/>
          <w:b w:val="0"/>
          <w:snapToGrid w:val="0"/>
          <w:highlight w:val="none"/>
        </w:rPr>
      </w:pPr>
      <w:bookmarkStart w:id="725" w:name="_Toc75857024"/>
      <w:bookmarkStart w:id="726" w:name="_Toc21181"/>
      <w:bookmarkStart w:id="727" w:name="_Toc28862"/>
      <w:bookmarkStart w:id="728" w:name="_Toc31737"/>
      <w:bookmarkStart w:id="729" w:name="_Toc9601"/>
      <w:bookmarkStart w:id="730" w:name="_Toc21072"/>
      <w:bookmarkStart w:id="731" w:name="_Toc430530469"/>
      <w:bookmarkStart w:id="732" w:name="_Toc509218744"/>
      <w:r>
        <w:rPr>
          <w:rFonts w:ascii="宋体" w:hAnsi="宋体"/>
          <w:b w:val="0"/>
          <w:snapToGrid w:val="0"/>
          <w:highlight w:val="none"/>
        </w:rPr>
        <w:t>6.  评标</w:t>
      </w:r>
      <w:bookmarkEnd w:id="714"/>
      <w:bookmarkEnd w:id="715"/>
      <w:bookmarkEnd w:id="716"/>
      <w:bookmarkEnd w:id="717"/>
      <w:bookmarkEnd w:id="718"/>
      <w:bookmarkEnd w:id="725"/>
      <w:bookmarkEnd w:id="726"/>
      <w:bookmarkEnd w:id="727"/>
      <w:bookmarkEnd w:id="728"/>
      <w:bookmarkEnd w:id="729"/>
      <w:bookmarkEnd w:id="730"/>
      <w:bookmarkEnd w:id="731"/>
      <w:bookmarkEnd w:id="732"/>
    </w:p>
    <w:p>
      <w:pPr>
        <w:pStyle w:val="5"/>
        <w:keepNext w:val="0"/>
        <w:keepLines w:val="0"/>
        <w:snapToGrid w:val="0"/>
        <w:spacing w:before="0" w:after="0" w:line="360" w:lineRule="auto"/>
        <w:rPr>
          <w:rFonts w:ascii="宋体" w:hAnsi="宋体"/>
          <w:b w:val="0"/>
          <w:snapToGrid w:val="0"/>
          <w:sz w:val="24"/>
          <w:szCs w:val="24"/>
          <w:highlight w:val="none"/>
        </w:rPr>
      </w:pPr>
      <w:bookmarkStart w:id="733" w:name="_Toc13255"/>
      <w:bookmarkStart w:id="734" w:name="_Toc75857025"/>
      <w:bookmarkStart w:id="735" w:name="_Toc277082587"/>
      <w:bookmarkStart w:id="736" w:name="_Toc1240"/>
      <w:bookmarkStart w:id="737" w:name="_Toc287607781"/>
      <w:bookmarkStart w:id="738" w:name="_Toc2175"/>
      <w:bookmarkStart w:id="739" w:name="_Toc200513161"/>
      <w:bookmarkStart w:id="740" w:name="_Toc430530470"/>
      <w:bookmarkStart w:id="741" w:name="_Toc224103352"/>
      <w:bookmarkStart w:id="742" w:name="_Toc287620720"/>
      <w:bookmarkStart w:id="743" w:name="_Toc509218745"/>
      <w:bookmarkStart w:id="744" w:name="_Toc1932"/>
      <w:bookmarkStart w:id="745" w:name="_Toc21747"/>
      <w:r>
        <w:rPr>
          <w:rFonts w:ascii="宋体" w:hAnsi="宋体"/>
          <w:b w:val="0"/>
          <w:snapToGrid w:val="0"/>
          <w:sz w:val="24"/>
          <w:szCs w:val="24"/>
          <w:highlight w:val="none"/>
        </w:rPr>
        <w:t>6.1  评标委员会</w:t>
      </w:r>
      <w:bookmarkEnd w:id="733"/>
      <w:bookmarkEnd w:id="734"/>
      <w:bookmarkEnd w:id="735"/>
      <w:bookmarkEnd w:id="736"/>
      <w:bookmarkEnd w:id="737"/>
      <w:bookmarkEnd w:id="738"/>
      <w:bookmarkEnd w:id="739"/>
      <w:bookmarkEnd w:id="740"/>
      <w:bookmarkEnd w:id="741"/>
      <w:bookmarkEnd w:id="742"/>
      <w:bookmarkEnd w:id="743"/>
      <w:bookmarkEnd w:id="744"/>
      <w:bookmarkEnd w:id="745"/>
    </w:p>
    <w:p>
      <w:pPr>
        <w:autoSpaceDE w:val="0"/>
        <w:autoSpaceDN w:val="0"/>
        <w:adjustRightInd w:val="0"/>
        <w:snapToGrid w:val="0"/>
        <w:spacing w:line="360" w:lineRule="auto"/>
        <w:ind w:firstLine="420" w:firstLineChars="200"/>
        <w:rPr>
          <w:rFonts w:ascii="宋体" w:hAnsi="宋体"/>
          <w:b/>
          <w:snapToGrid w:val="0"/>
          <w:kern w:val="0"/>
          <w:szCs w:val="21"/>
          <w:highlight w:val="none"/>
        </w:rPr>
      </w:pPr>
      <w:r>
        <w:rPr>
          <w:rFonts w:ascii="宋体" w:hAnsi="宋体"/>
          <w:snapToGrid w:val="0"/>
          <w:kern w:val="0"/>
          <w:szCs w:val="21"/>
          <w:highlight w:val="none"/>
        </w:rPr>
        <w:t xml:space="preserve">6.1.1  </w:t>
      </w:r>
      <w:r>
        <w:rPr>
          <w:color w:val="000000"/>
          <w:highlight w:val="none"/>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6.1.2  评标委员会成员有下列情形之一的，应当回避：</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（1）投标人或投标人的主要负责人的近亲属；</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（2）项目主管部门或者</w:t>
      </w:r>
      <w:r>
        <w:rPr>
          <w:rFonts w:hint="eastAsia" w:ascii="宋体" w:hAnsi="宋体"/>
          <w:snapToGrid w:val="0"/>
          <w:kern w:val="0"/>
          <w:szCs w:val="21"/>
          <w:highlight w:val="none"/>
        </w:rPr>
        <w:t>项目</w:t>
      </w:r>
      <w:r>
        <w:rPr>
          <w:rFonts w:ascii="宋体" w:hAnsi="宋体"/>
          <w:snapToGrid w:val="0"/>
          <w:kern w:val="0"/>
          <w:szCs w:val="21"/>
          <w:highlight w:val="none"/>
        </w:rPr>
        <w:t>行政监督部门的人员；</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（3）与投标人有</w:t>
      </w:r>
      <w:r>
        <w:rPr>
          <w:rFonts w:hint="eastAsia" w:ascii="宋体" w:hAnsi="宋体"/>
          <w:snapToGrid w:val="0"/>
          <w:kern w:val="0"/>
          <w:szCs w:val="21"/>
          <w:highlight w:val="none"/>
        </w:rPr>
        <w:t>经济</w:t>
      </w:r>
      <w:r>
        <w:rPr>
          <w:rFonts w:ascii="宋体" w:hAnsi="宋体"/>
          <w:snapToGrid w:val="0"/>
          <w:kern w:val="0"/>
          <w:szCs w:val="21"/>
          <w:highlight w:val="none"/>
        </w:rPr>
        <w:t>利益关系，可能影响对投标公正评审的；</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（4）曾因在招标、评标以及其他与招标投标有关活动中从事违法行为而受过行政处罚或刑事处罚的</w:t>
      </w:r>
      <w:r>
        <w:rPr>
          <w:rFonts w:hint="eastAsia" w:ascii="宋体" w:hAnsi="宋体"/>
          <w:snapToGrid w:val="0"/>
          <w:kern w:val="0"/>
          <w:szCs w:val="21"/>
          <w:highlight w:val="none"/>
        </w:rPr>
        <w:t>；</w:t>
      </w:r>
    </w:p>
    <w:p>
      <w:pPr>
        <w:spacing w:line="400" w:lineRule="exact"/>
        <w:ind w:firstLine="420" w:firstLineChars="200"/>
        <w:rPr>
          <w:color w:val="000000"/>
          <w:highlight w:val="none"/>
        </w:rPr>
      </w:pPr>
      <w:r>
        <w:rPr>
          <w:rFonts w:hint="eastAsia" w:ascii="宋体" w:hAnsi="宋体"/>
          <w:snapToGrid w:val="0"/>
          <w:kern w:val="0"/>
          <w:szCs w:val="21"/>
          <w:highlight w:val="none"/>
        </w:rPr>
        <w:t>（5）</w:t>
      </w:r>
      <w:r>
        <w:rPr>
          <w:color w:val="000000"/>
          <w:highlight w:val="none"/>
        </w:rPr>
        <w:t>与投标人有其他利害关系。</w:t>
      </w:r>
    </w:p>
    <w:p>
      <w:pPr>
        <w:pStyle w:val="99"/>
        <w:spacing w:before="0" w:after="0" w:line="360" w:lineRule="auto"/>
        <w:ind w:firstLine="420" w:firstLineChars="200"/>
        <w:jc w:val="left"/>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6.1.3  评标过程中，评标委员会成员有回避事由、擅离职守或者因健康等原因不能继续评标的，应当及时更换。被更换的评标委员会成员作出的评审结论无效，由更换后的评标委员会成员重新进行评审。</w:t>
      </w:r>
    </w:p>
    <w:p>
      <w:pPr>
        <w:pStyle w:val="5"/>
        <w:snapToGrid w:val="0"/>
        <w:spacing w:before="0" w:after="0" w:line="360" w:lineRule="auto"/>
        <w:rPr>
          <w:rFonts w:ascii="宋体" w:hAnsi="宋体"/>
          <w:b w:val="0"/>
          <w:snapToGrid w:val="0"/>
          <w:sz w:val="24"/>
          <w:szCs w:val="24"/>
          <w:highlight w:val="none"/>
        </w:rPr>
      </w:pPr>
      <w:bookmarkStart w:id="746" w:name="_Toc200513162"/>
      <w:bookmarkStart w:id="747" w:name="_Toc32194"/>
      <w:bookmarkStart w:id="748" w:name="_Toc224103353"/>
      <w:bookmarkStart w:id="749" w:name="_Toc75857026"/>
      <w:bookmarkStart w:id="750" w:name="_Toc509218746"/>
      <w:bookmarkStart w:id="751" w:name="_Toc430530471"/>
      <w:bookmarkStart w:id="752" w:name="_Toc277082588"/>
      <w:bookmarkStart w:id="753" w:name="_Toc17172"/>
      <w:bookmarkStart w:id="754" w:name="_Toc19961"/>
      <w:bookmarkStart w:id="755" w:name="_Toc32460"/>
      <w:bookmarkStart w:id="756" w:name="_Toc10457"/>
      <w:bookmarkStart w:id="757" w:name="_Toc287620721"/>
      <w:bookmarkStart w:id="758" w:name="_Toc287607782"/>
      <w:r>
        <w:rPr>
          <w:rFonts w:ascii="宋体" w:hAnsi="宋体"/>
          <w:b w:val="0"/>
          <w:snapToGrid w:val="0"/>
          <w:sz w:val="24"/>
          <w:szCs w:val="24"/>
          <w:highlight w:val="none"/>
        </w:rPr>
        <w:t>6.2  评标原则</w:t>
      </w:r>
      <w:bookmarkEnd w:id="746"/>
      <w:bookmarkEnd w:id="747"/>
      <w:bookmarkEnd w:id="748"/>
      <w:bookmarkEnd w:id="749"/>
      <w:bookmarkEnd w:id="750"/>
      <w:bookmarkEnd w:id="751"/>
      <w:bookmarkEnd w:id="752"/>
      <w:bookmarkEnd w:id="753"/>
      <w:bookmarkEnd w:id="754"/>
      <w:bookmarkEnd w:id="755"/>
      <w:bookmarkEnd w:id="756"/>
      <w:bookmarkEnd w:id="757"/>
      <w:bookmarkEnd w:id="758"/>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评标活动遵循公平、公正、科学和择优的原则。</w:t>
      </w:r>
    </w:p>
    <w:p>
      <w:pPr>
        <w:pStyle w:val="5"/>
        <w:snapToGrid w:val="0"/>
        <w:spacing w:before="0" w:after="0" w:line="360" w:lineRule="auto"/>
        <w:rPr>
          <w:rFonts w:ascii="宋体" w:hAnsi="宋体"/>
          <w:b w:val="0"/>
          <w:snapToGrid w:val="0"/>
          <w:sz w:val="24"/>
          <w:szCs w:val="24"/>
          <w:highlight w:val="none"/>
        </w:rPr>
      </w:pPr>
      <w:bookmarkStart w:id="759" w:name="_Toc287607783"/>
      <w:bookmarkStart w:id="760" w:name="_Toc22110"/>
      <w:bookmarkStart w:id="761" w:name="_Toc13910"/>
      <w:bookmarkStart w:id="762" w:name="_Toc200513163"/>
      <w:bookmarkStart w:id="763" w:name="_Toc430530472"/>
      <w:bookmarkStart w:id="764" w:name="_Toc509218747"/>
      <w:bookmarkStart w:id="765" w:name="_Toc277082589"/>
      <w:bookmarkStart w:id="766" w:name="_Toc287620722"/>
      <w:bookmarkStart w:id="767" w:name="_Toc18750"/>
      <w:bookmarkStart w:id="768" w:name="_Toc6956"/>
      <w:bookmarkStart w:id="769" w:name="_Toc75857027"/>
      <w:bookmarkStart w:id="770" w:name="_Toc26463"/>
      <w:bookmarkStart w:id="771" w:name="_Toc224103354"/>
      <w:r>
        <w:rPr>
          <w:rFonts w:ascii="宋体" w:hAnsi="宋体"/>
          <w:b w:val="0"/>
          <w:snapToGrid w:val="0"/>
          <w:sz w:val="24"/>
          <w:szCs w:val="24"/>
          <w:highlight w:val="none"/>
        </w:rPr>
        <w:t>6.3  评标</w:t>
      </w:r>
      <w:bookmarkEnd w:id="759"/>
      <w:bookmarkEnd w:id="760"/>
      <w:bookmarkEnd w:id="761"/>
      <w:bookmarkEnd w:id="762"/>
      <w:bookmarkEnd w:id="763"/>
      <w:bookmarkEnd w:id="764"/>
      <w:bookmarkEnd w:id="765"/>
      <w:bookmarkEnd w:id="766"/>
      <w:bookmarkEnd w:id="767"/>
      <w:bookmarkEnd w:id="768"/>
      <w:bookmarkEnd w:id="769"/>
      <w:bookmarkEnd w:id="770"/>
      <w:bookmarkEnd w:id="771"/>
    </w:p>
    <w:p>
      <w:pPr>
        <w:spacing w:line="400" w:lineRule="exact"/>
        <w:ind w:firstLine="420" w:firstLineChars="200"/>
        <w:rPr>
          <w:color w:val="000000"/>
          <w:highlight w:val="none"/>
        </w:rPr>
      </w:pPr>
      <w:r>
        <w:rPr>
          <w:color w:val="000000"/>
          <w:highlight w:val="none"/>
        </w:rPr>
        <w:t>6.3.1评标委员会按照第三章“评标办法”规定的方法、评审因素、标准和程序对投标文件进行评审。第三章“评标办法”没有规定的方法、评审因素和标准，不作为评标依据。</w:t>
      </w:r>
    </w:p>
    <w:p>
      <w:pPr>
        <w:spacing w:line="400" w:lineRule="exact"/>
        <w:ind w:firstLine="420" w:firstLineChars="200"/>
        <w:rPr>
          <w:color w:val="000000"/>
          <w:highlight w:val="none"/>
        </w:rPr>
      </w:pPr>
      <w:r>
        <w:rPr>
          <w:color w:val="000000"/>
          <w:highlight w:val="none"/>
        </w:rPr>
        <w:t>6.3.2评标完成后，评标委员会应当向招标人提交书面评标报告和中标候选人名单。评标委员会推荐中标</w:t>
      </w:r>
      <w:bookmarkStart w:id="772" w:name="_Toc352691502"/>
      <w:bookmarkStart w:id="773" w:name="_Toc300834979"/>
      <w:bookmarkStart w:id="774" w:name="_Toc152042334"/>
      <w:bookmarkStart w:id="775" w:name="_Toc152045558"/>
      <w:bookmarkStart w:id="776" w:name="_Toc247513982"/>
      <w:bookmarkStart w:id="777" w:name="_Toc369531546"/>
      <w:bookmarkStart w:id="778" w:name="_Toc144974526"/>
      <w:bookmarkStart w:id="779" w:name="_Toc384308240"/>
      <w:bookmarkStart w:id="780" w:name="_Toc12259"/>
      <w:bookmarkStart w:id="781" w:name="_Toc361508615"/>
      <w:bookmarkStart w:id="782" w:name="_Toc247527583"/>
      <w:r>
        <w:rPr>
          <w:color w:val="000000"/>
          <w:highlight w:val="none"/>
        </w:rPr>
        <w:t>候选人的人数见投标人须知前附</w:t>
      </w:r>
      <w:bookmarkEnd w:id="772"/>
      <w:bookmarkEnd w:id="773"/>
      <w:bookmarkEnd w:id="774"/>
      <w:bookmarkEnd w:id="775"/>
      <w:bookmarkEnd w:id="776"/>
      <w:bookmarkEnd w:id="777"/>
      <w:bookmarkEnd w:id="778"/>
      <w:bookmarkEnd w:id="779"/>
      <w:bookmarkEnd w:id="780"/>
      <w:bookmarkEnd w:id="781"/>
      <w:bookmarkEnd w:id="782"/>
      <w:r>
        <w:rPr>
          <w:color w:val="000000"/>
          <w:highlight w:val="none"/>
        </w:rPr>
        <w:t>表。</w:t>
      </w:r>
    </w:p>
    <w:p>
      <w:pPr>
        <w:pStyle w:val="4"/>
        <w:keepNext w:val="0"/>
        <w:keepLines w:val="0"/>
        <w:spacing w:before="0" w:after="0" w:line="360" w:lineRule="auto"/>
        <w:rPr>
          <w:rFonts w:ascii="宋体" w:hAnsi="宋体"/>
          <w:b w:val="0"/>
          <w:snapToGrid w:val="0"/>
          <w:color w:val="000000" w:themeColor="text1"/>
          <w:highlight w:val="none"/>
          <w14:textFill>
            <w14:solidFill>
              <w14:schemeClr w14:val="tx1"/>
            </w14:solidFill>
          </w14:textFill>
        </w:rPr>
      </w:pPr>
      <w:bookmarkStart w:id="783" w:name="_Toc287620723"/>
      <w:bookmarkStart w:id="784" w:name="_Toc25566"/>
      <w:bookmarkStart w:id="785" w:name="_Toc287607784"/>
      <w:bookmarkStart w:id="786" w:name="_Toc277082590"/>
      <w:bookmarkStart w:id="787" w:name="_Toc31450"/>
      <w:bookmarkStart w:id="788" w:name="_Toc509218748"/>
      <w:bookmarkStart w:id="789" w:name="_Toc224103355"/>
      <w:bookmarkStart w:id="790" w:name="_Toc200513164"/>
      <w:bookmarkStart w:id="791" w:name="_Toc8865"/>
      <w:bookmarkStart w:id="792" w:name="_Toc13448"/>
      <w:bookmarkStart w:id="793" w:name="_Toc430530473"/>
      <w:bookmarkStart w:id="794" w:name="_Toc75857028"/>
      <w:bookmarkStart w:id="795" w:name="_Toc3974"/>
      <w:r>
        <w:rPr>
          <w:rFonts w:ascii="宋体" w:hAnsi="宋体"/>
          <w:b w:val="0"/>
          <w:snapToGrid w:val="0"/>
          <w:color w:val="000000" w:themeColor="text1"/>
          <w:highlight w:val="none"/>
          <w14:textFill>
            <w14:solidFill>
              <w14:schemeClr w14:val="tx1"/>
            </w14:solidFill>
          </w14:textFill>
        </w:rPr>
        <w:t>7.  合同授予</w:t>
      </w:r>
      <w:bookmarkEnd w:id="783"/>
      <w:bookmarkEnd w:id="784"/>
      <w:bookmarkEnd w:id="785"/>
      <w:bookmarkEnd w:id="786"/>
      <w:bookmarkEnd w:id="787"/>
      <w:bookmarkEnd w:id="788"/>
      <w:bookmarkEnd w:id="789"/>
      <w:bookmarkEnd w:id="790"/>
      <w:bookmarkEnd w:id="791"/>
      <w:bookmarkEnd w:id="792"/>
      <w:bookmarkEnd w:id="793"/>
      <w:bookmarkEnd w:id="794"/>
      <w:bookmarkEnd w:id="795"/>
    </w:p>
    <w:p>
      <w:pPr>
        <w:pStyle w:val="5"/>
        <w:snapToGrid w:val="0"/>
        <w:spacing w:before="0" w:after="0" w:line="360" w:lineRule="auto"/>
        <w:ind w:firstLine="0"/>
        <w:rPr>
          <w:rFonts w:ascii="宋体" w:hAnsi="宋体"/>
          <w:b w:val="0"/>
          <w:snapToGrid w:val="0"/>
          <w:color w:val="000000"/>
          <w:sz w:val="24"/>
          <w:szCs w:val="24"/>
          <w:highlight w:val="none"/>
        </w:rPr>
      </w:pPr>
      <w:bookmarkStart w:id="796" w:name="_Toc1043"/>
      <w:bookmarkStart w:id="797" w:name="_Toc492300800"/>
      <w:bookmarkStart w:id="798" w:name="_Toc9393"/>
      <w:bookmarkStart w:id="799" w:name="_Toc75857029"/>
      <w:bookmarkStart w:id="800" w:name="_Toc23245"/>
      <w:bookmarkStart w:id="801" w:name="_Toc6787"/>
      <w:bookmarkStart w:id="802" w:name="_Toc23928"/>
      <w:bookmarkStart w:id="803" w:name="_Toc430530474"/>
      <w:bookmarkStart w:id="804" w:name="_Toc277082591"/>
      <w:bookmarkStart w:id="805" w:name="_Toc224103356"/>
      <w:bookmarkStart w:id="806" w:name="_Toc287620724"/>
      <w:bookmarkStart w:id="807" w:name="_Toc287607785"/>
      <w:bookmarkStart w:id="808" w:name="_Toc200513165"/>
      <w:bookmarkStart w:id="809" w:name="_Toc509218749"/>
      <w:r>
        <w:rPr>
          <w:rFonts w:ascii="宋体" w:hAnsi="宋体"/>
          <w:b w:val="0"/>
          <w:snapToGrid w:val="0"/>
          <w:color w:val="000000"/>
          <w:sz w:val="24"/>
          <w:szCs w:val="24"/>
          <w:highlight w:val="none"/>
        </w:rPr>
        <w:t xml:space="preserve">7.1 </w:t>
      </w:r>
      <w:r>
        <w:rPr>
          <w:rFonts w:hint="eastAsia" w:ascii="宋体" w:hAnsi="宋体"/>
          <w:b w:val="0"/>
          <w:snapToGrid w:val="0"/>
          <w:color w:val="000000"/>
          <w:sz w:val="24"/>
          <w:szCs w:val="24"/>
          <w:highlight w:val="none"/>
        </w:rPr>
        <w:t>中标候选人公示</w:t>
      </w:r>
      <w:bookmarkEnd w:id="796"/>
      <w:bookmarkEnd w:id="797"/>
      <w:bookmarkEnd w:id="798"/>
      <w:bookmarkEnd w:id="799"/>
      <w:bookmarkEnd w:id="800"/>
      <w:bookmarkEnd w:id="801"/>
      <w:bookmarkEnd w:id="802"/>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hint="eastAsia" w:ascii="宋体" w:hAnsi="宋体"/>
          <w:snapToGrid w:val="0"/>
          <w:color w:val="000000"/>
          <w:kern w:val="0"/>
          <w:szCs w:val="21"/>
          <w:highlight w:val="none"/>
        </w:rPr>
        <w:t>招标人在收到评标报告之日起</w:t>
      </w:r>
      <w:r>
        <w:rPr>
          <w:rFonts w:ascii="宋体" w:hAnsi="宋体"/>
          <w:snapToGrid w:val="0"/>
          <w:color w:val="000000"/>
          <w:kern w:val="0"/>
          <w:szCs w:val="21"/>
          <w:highlight w:val="none"/>
        </w:rPr>
        <w:t>3</w:t>
      </w:r>
      <w:r>
        <w:rPr>
          <w:rFonts w:hint="eastAsia" w:ascii="宋体" w:hAnsi="宋体"/>
          <w:snapToGrid w:val="0"/>
          <w:color w:val="000000"/>
          <w:kern w:val="0"/>
          <w:szCs w:val="21"/>
          <w:highlight w:val="none"/>
        </w:rPr>
        <w:t>日内，按照投标人须知前附表规定的公示媒介和期限公示中标候选人，公示期不得少于</w:t>
      </w:r>
      <w:r>
        <w:rPr>
          <w:rFonts w:ascii="宋体" w:hAnsi="宋体"/>
          <w:snapToGrid w:val="0"/>
          <w:color w:val="000000"/>
          <w:kern w:val="0"/>
          <w:szCs w:val="21"/>
          <w:highlight w:val="none"/>
        </w:rPr>
        <w:t>3</w:t>
      </w:r>
      <w:r>
        <w:rPr>
          <w:rFonts w:hint="eastAsia" w:ascii="宋体" w:hAnsi="宋体"/>
          <w:snapToGrid w:val="0"/>
          <w:color w:val="000000"/>
          <w:kern w:val="0"/>
          <w:szCs w:val="21"/>
          <w:highlight w:val="none"/>
        </w:rPr>
        <w:t>天。</w:t>
      </w:r>
    </w:p>
    <w:p>
      <w:pPr>
        <w:pStyle w:val="5"/>
        <w:snapToGrid w:val="0"/>
        <w:spacing w:before="0" w:after="0" w:line="360" w:lineRule="auto"/>
        <w:ind w:firstLine="0"/>
        <w:rPr>
          <w:rFonts w:ascii="宋体" w:hAnsi="宋体"/>
          <w:b w:val="0"/>
          <w:snapToGrid w:val="0"/>
          <w:color w:val="000000"/>
          <w:sz w:val="24"/>
          <w:szCs w:val="24"/>
          <w:highlight w:val="none"/>
        </w:rPr>
      </w:pPr>
      <w:bookmarkStart w:id="810" w:name="_Toc75857030"/>
      <w:bookmarkStart w:id="811" w:name="_Toc28992"/>
      <w:bookmarkStart w:id="812" w:name="_Toc31260"/>
      <w:bookmarkStart w:id="813" w:name="_Toc23469"/>
      <w:bookmarkStart w:id="814" w:name="_Toc7253"/>
      <w:bookmarkStart w:id="815" w:name="_Toc492300801"/>
      <w:bookmarkStart w:id="816" w:name="_Toc23880"/>
      <w:r>
        <w:rPr>
          <w:rFonts w:ascii="宋体" w:hAnsi="宋体"/>
          <w:b w:val="0"/>
          <w:snapToGrid w:val="0"/>
          <w:color w:val="000000"/>
          <w:sz w:val="24"/>
          <w:szCs w:val="24"/>
          <w:highlight w:val="none"/>
        </w:rPr>
        <w:t xml:space="preserve">7.2 </w:t>
      </w:r>
      <w:r>
        <w:rPr>
          <w:rFonts w:hint="eastAsia" w:ascii="宋体" w:hAnsi="宋体"/>
          <w:b w:val="0"/>
          <w:snapToGrid w:val="0"/>
          <w:color w:val="000000"/>
          <w:sz w:val="24"/>
          <w:szCs w:val="24"/>
          <w:highlight w:val="none"/>
        </w:rPr>
        <w:t>评标结果异议</w:t>
      </w:r>
      <w:bookmarkEnd w:id="810"/>
      <w:bookmarkEnd w:id="811"/>
      <w:bookmarkEnd w:id="812"/>
      <w:bookmarkEnd w:id="813"/>
      <w:bookmarkEnd w:id="814"/>
      <w:bookmarkEnd w:id="815"/>
      <w:bookmarkEnd w:id="816"/>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hint="eastAsia" w:ascii="宋体" w:hAnsi="宋体"/>
          <w:snapToGrid w:val="0"/>
          <w:color w:val="000000"/>
          <w:kern w:val="0"/>
          <w:szCs w:val="21"/>
          <w:highlight w:val="none"/>
        </w:rPr>
        <w:t>投标人或者其他利</w:t>
      </w:r>
      <w:bookmarkStart w:id="817" w:name="_Toc152042337"/>
      <w:bookmarkStart w:id="818" w:name="_Toc384308243"/>
      <w:bookmarkStart w:id="819" w:name="_Toc144974529"/>
      <w:bookmarkStart w:id="820" w:name="_Toc247513985"/>
      <w:bookmarkStart w:id="821" w:name="_Toc352691505"/>
      <w:bookmarkStart w:id="822" w:name="_Toc369531549"/>
      <w:bookmarkStart w:id="823" w:name="_Toc300834982"/>
      <w:bookmarkStart w:id="824" w:name="_Toc152045561"/>
      <w:bookmarkStart w:id="825" w:name="_Toc30095"/>
      <w:bookmarkStart w:id="826" w:name="_Toc247527586"/>
      <w:bookmarkStart w:id="827" w:name="_Toc361508618"/>
      <w:r>
        <w:rPr>
          <w:rFonts w:hint="eastAsia" w:ascii="宋体" w:hAnsi="宋体"/>
          <w:snapToGrid w:val="0"/>
          <w:color w:val="000000"/>
          <w:kern w:val="0"/>
          <w:szCs w:val="21"/>
          <w:highlight w:val="none"/>
        </w:rPr>
        <w:t>害关系人对评标结</w:t>
      </w:r>
      <w:bookmarkEnd w:id="817"/>
      <w:bookmarkEnd w:id="818"/>
      <w:bookmarkEnd w:id="819"/>
      <w:bookmarkEnd w:id="820"/>
      <w:bookmarkEnd w:id="821"/>
      <w:bookmarkEnd w:id="822"/>
      <w:bookmarkEnd w:id="823"/>
      <w:bookmarkEnd w:id="824"/>
      <w:bookmarkEnd w:id="825"/>
      <w:bookmarkEnd w:id="826"/>
      <w:bookmarkEnd w:id="827"/>
      <w:r>
        <w:rPr>
          <w:rFonts w:hint="eastAsia" w:ascii="宋体" w:hAnsi="宋体"/>
          <w:snapToGrid w:val="0"/>
          <w:color w:val="000000"/>
          <w:kern w:val="0"/>
          <w:szCs w:val="21"/>
          <w:highlight w:val="none"/>
        </w:rPr>
        <w:t>果有异议的，应当在中标候选人公示期间提出。招标人将在收到异议之日起</w:t>
      </w:r>
      <w:r>
        <w:rPr>
          <w:rFonts w:ascii="宋体" w:hAnsi="宋体"/>
          <w:snapToGrid w:val="0"/>
          <w:color w:val="000000"/>
          <w:kern w:val="0"/>
          <w:szCs w:val="21"/>
          <w:highlight w:val="none"/>
        </w:rPr>
        <w:t>3</w:t>
      </w:r>
      <w:r>
        <w:rPr>
          <w:rFonts w:hint="eastAsia" w:ascii="宋体" w:hAnsi="宋体"/>
          <w:snapToGrid w:val="0"/>
          <w:color w:val="000000"/>
          <w:kern w:val="0"/>
          <w:szCs w:val="21"/>
          <w:highlight w:val="none"/>
        </w:rPr>
        <w:t>日内作出答复；作出答复前，将暂停招标投标活动。</w:t>
      </w:r>
    </w:p>
    <w:p>
      <w:pPr>
        <w:pStyle w:val="5"/>
        <w:snapToGrid w:val="0"/>
        <w:spacing w:before="0" w:after="0" w:line="360" w:lineRule="auto"/>
        <w:ind w:firstLine="0"/>
        <w:rPr>
          <w:rFonts w:ascii="宋体" w:hAnsi="宋体"/>
          <w:b w:val="0"/>
          <w:snapToGrid w:val="0"/>
          <w:color w:val="000000"/>
          <w:sz w:val="24"/>
          <w:szCs w:val="24"/>
          <w:highlight w:val="none"/>
        </w:rPr>
      </w:pPr>
      <w:bookmarkStart w:id="828" w:name="_Toc75857031"/>
      <w:bookmarkStart w:id="829" w:name="_Toc10386"/>
      <w:bookmarkStart w:id="830" w:name="_Toc27758"/>
      <w:bookmarkStart w:id="831" w:name="_Toc492300802"/>
      <w:bookmarkStart w:id="832" w:name="_Toc5560"/>
      <w:bookmarkStart w:id="833" w:name="_Toc10336"/>
      <w:bookmarkStart w:id="834" w:name="_Toc3346"/>
      <w:r>
        <w:rPr>
          <w:rFonts w:ascii="宋体" w:hAnsi="宋体"/>
          <w:b w:val="0"/>
          <w:snapToGrid w:val="0"/>
          <w:color w:val="000000"/>
          <w:sz w:val="24"/>
          <w:szCs w:val="24"/>
          <w:highlight w:val="none"/>
        </w:rPr>
        <w:t xml:space="preserve">7.3 </w:t>
      </w:r>
      <w:r>
        <w:rPr>
          <w:rFonts w:hint="eastAsia" w:ascii="宋体" w:hAnsi="宋体"/>
          <w:b w:val="0"/>
          <w:snapToGrid w:val="0"/>
          <w:color w:val="000000"/>
          <w:sz w:val="24"/>
          <w:szCs w:val="24"/>
          <w:highlight w:val="none"/>
        </w:rPr>
        <w:t>中标候选人履约能力审查</w:t>
      </w:r>
      <w:bookmarkEnd w:id="828"/>
      <w:bookmarkEnd w:id="829"/>
      <w:bookmarkEnd w:id="830"/>
      <w:bookmarkEnd w:id="831"/>
      <w:bookmarkEnd w:id="832"/>
      <w:bookmarkEnd w:id="833"/>
      <w:bookmarkEnd w:id="834"/>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hint="eastAsia" w:ascii="宋体" w:hAnsi="宋体"/>
          <w:snapToGrid w:val="0"/>
          <w:color w:val="000000"/>
          <w:kern w:val="0"/>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pPr>
        <w:pStyle w:val="5"/>
        <w:snapToGrid w:val="0"/>
        <w:spacing w:before="0" w:after="0" w:line="360" w:lineRule="auto"/>
        <w:ind w:firstLine="0"/>
        <w:rPr>
          <w:rFonts w:ascii="宋体" w:hAnsi="宋体"/>
          <w:b w:val="0"/>
          <w:snapToGrid w:val="0"/>
          <w:color w:val="000000"/>
          <w:sz w:val="24"/>
          <w:szCs w:val="24"/>
          <w:highlight w:val="none"/>
        </w:rPr>
      </w:pPr>
      <w:bookmarkStart w:id="835" w:name="_Toc75857032"/>
      <w:bookmarkStart w:id="836" w:name="_Toc492300803"/>
      <w:bookmarkStart w:id="837" w:name="_Toc27470"/>
      <w:bookmarkStart w:id="838" w:name="_Toc8336"/>
      <w:bookmarkStart w:id="839" w:name="_Toc24412"/>
      <w:bookmarkStart w:id="840" w:name="_Toc9021"/>
      <w:bookmarkStart w:id="841" w:name="_Toc30309"/>
      <w:r>
        <w:rPr>
          <w:rFonts w:ascii="宋体" w:hAnsi="宋体"/>
          <w:b w:val="0"/>
          <w:snapToGrid w:val="0"/>
          <w:color w:val="000000"/>
          <w:sz w:val="24"/>
          <w:szCs w:val="24"/>
          <w:highlight w:val="none"/>
        </w:rPr>
        <w:t xml:space="preserve">7.4 </w:t>
      </w:r>
      <w:r>
        <w:rPr>
          <w:rFonts w:hint="eastAsia" w:ascii="宋体" w:hAnsi="宋体"/>
          <w:b w:val="0"/>
          <w:snapToGrid w:val="0"/>
          <w:color w:val="000000"/>
          <w:sz w:val="24"/>
          <w:szCs w:val="24"/>
          <w:highlight w:val="none"/>
        </w:rPr>
        <w:t>定标</w:t>
      </w:r>
      <w:bookmarkEnd w:id="835"/>
      <w:bookmarkEnd w:id="836"/>
      <w:bookmarkEnd w:id="837"/>
      <w:bookmarkEnd w:id="838"/>
      <w:bookmarkEnd w:id="839"/>
      <w:bookmarkEnd w:id="840"/>
      <w:bookmarkEnd w:id="841"/>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hint="eastAsia" w:ascii="宋体" w:hAnsi="宋体"/>
          <w:snapToGrid w:val="0"/>
          <w:color w:val="000000"/>
          <w:kern w:val="0"/>
          <w:szCs w:val="21"/>
          <w:highlight w:val="none"/>
        </w:rPr>
        <w:t>按照投标人须知前附表的规定，招标人或招标人授权的评标委员会依法确定中标人。</w:t>
      </w:r>
    </w:p>
    <w:p>
      <w:pPr>
        <w:pStyle w:val="5"/>
        <w:snapToGrid w:val="0"/>
        <w:spacing w:before="0" w:after="0" w:line="360" w:lineRule="auto"/>
        <w:ind w:firstLine="0"/>
        <w:rPr>
          <w:rFonts w:ascii="宋体" w:hAnsi="宋体"/>
          <w:b w:val="0"/>
          <w:snapToGrid w:val="0"/>
          <w:color w:val="000000"/>
          <w:sz w:val="24"/>
          <w:szCs w:val="24"/>
          <w:highlight w:val="none"/>
        </w:rPr>
      </w:pPr>
      <w:bookmarkStart w:id="842" w:name="_Toc32205"/>
      <w:bookmarkStart w:id="843" w:name="_Toc9245"/>
      <w:bookmarkStart w:id="844" w:name="_Toc75857033"/>
      <w:bookmarkStart w:id="845" w:name="_Toc3570"/>
      <w:bookmarkStart w:id="846" w:name="_Toc28977"/>
      <w:bookmarkStart w:id="847" w:name="_Toc492300804"/>
      <w:bookmarkStart w:id="848" w:name="_Toc15593"/>
      <w:r>
        <w:rPr>
          <w:rFonts w:ascii="宋体" w:hAnsi="宋体"/>
          <w:b w:val="0"/>
          <w:snapToGrid w:val="0"/>
          <w:color w:val="000000"/>
          <w:sz w:val="24"/>
          <w:szCs w:val="24"/>
          <w:highlight w:val="none"/>
        </w:rPr>
        <w:t xml:space="preserve">7.5 </w:t>
      </w:r>
      <w:r>
        <w:rPr>
          <w:rFonts w:hint="eastAsia" w:ascii="宋体" w:hAnsi="宋体"/>
          <w:b w:val="0"/>
          <w:snapToGrid w:val="0"/>
          <w:color w:val="000000"/>
          <w:sz w:val="24"/>
          <w:szCs w:val="24"/>
          <w:highlight w:val="none"/>
        </w:rPr>
        <w:t>中标通知</w:t>
      </w:r>
      <w:bookmarkEnd w:id="842"/>
      <w:bookmarkEnd w:id="843"/>
      <w:bookmarkEnd w:id="844"/>
      <w:bookmarkEnd w:id="845"/>
      <w:bookmarkEnd w:id="846"/>
      <w:bookmarkEnd w:id="847"/>
      <w:bookmarkEnd w:id="848"/>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hint="eastAsia" w:ascii="宋体" w:hAnsi="宋体"/>
          <w:snapToGrid w:val="0"/>
          <w:color w:val="000000"/>
          <w:kern w:val="0"/>
          <w:szCs w:val="21"/>
          <w:highlight w:val="none"/>
        </w:rPr>
        <w:t>在本章第</w:t>
      </w:r>
      <w:r>
        <w:rPr>
          <w:rFonts w:ascii="宋体" w:hAnsi="宋体"/>
          <w:snapToGrid w:val="0"/>
          <w:color w:val="000000"/>
          <w:kern w:val="0"/>
          <w:szCs w:val="21"/>
          <w:highlight w:val="none"/>
        </w:rPr>
        <w:t>3.3</w:t>
      </w:r>
      <w:r>
        <w:rPr>
          <w:rFonts w:hint="eastAsia" w:ascii="宋体" w:hAnsi="宋体"/>
          <w:snapToGrid w:val="0"/>
          <w:color w:val="000000"/>
          <w:kern w:val="0"/>
          <w:szCs w:val="21"/>
          <w:highlight w:val="none"/>
        </w:rPr>
        <w:t>款规定的投标有效期内，招标人以书面形式向中标人发出中标</w:t>
      </w:r>
      <w:bookmarkStart w:id="849" w:name="_Toc369531550"/>
      <w:bookmarkStart w:id="850" w:name="_Toc5668"/>
      <w:bookmarkStart w:id="851" w:name="_Toc361508619"/>
      <w:bookmarkStart w:id="852" w:name="_Toc384308244"/>
      <w:bookmarkStart w:id="853" w:name="_Toc300834983"/>
      <w:bookmarkStart w:id="854" w:name="_Toc352691506"/>
      <w:r>
        <w:rPr>
          <w:rFonts w:hint="eastAsia" w:ascii="宋体" w:hAnsi="宋体"/>
          <w:snapToGrid w:val="0"/>
          <w:color w:val="000000"/>
          <w:kern w:val="0"/>
          <w:szCs w:val="21"/>
          <w:highlight w:val="none"/>
        </w:rPr>
        <w:t>通知书，同时将中</w:t>
      </w:r>
      <w:bookmarkEnd w:id="849"/>
      <w:bookmarkEnd w:id="850"/>
      <w:bookmarkEnd w:id="851"/>
      <w:bookmarkEnd w:id="852"/>
      <w:bookmarkEnd w:id="853"/>
      <w:bookmarkEnd w:id="854"/>
      <w:r>
        <w:rPr>
          <w:rFonts w:hint="eastAsia" w:ascii="宋体" w:hAnsi="宋体"/>
          <w:snapToGrid w:val="0"/>
          <w:color w:val="000000"/>
          <w:kern w:val="0"/>
          <w:szCs w:val="21"/>
          <w:highlight w:val="none"/>
        </w:rPr>
        <w:t>标结果通知未中标的投标人。</w:t>
      </w:r>
    </w:p>
    <w:p>
      <w:pPr>
        <w:pStyle w:val="5"/>
        <w:snapToGrid w:val="0"/>
        <w:spacing w:before="0" w:after="0" w:line="360" w:lineRule="auto"/>
        <w:ind w:firstLine="0"/>
        <w:rPr>
          <w:rFonts w:ascii="宋体" w:hAnsi="宋体"/>
          <w:b w:val="0"/>
          <w:snapToGrid w:val="0"/>
          <w:color w:val="000000"/>
          <w:sz w:val="24"/>
          <w:szCs w:val="24"/>
          <w:highlight w:val="none"/>
        </w:rPr>
      </w:pPr>
      <w:bookmarkStart w:id="855" w:name="_Toc13991"/>
      <w:bookmarkStart w:id="856" w:name="_Toc11592"/>
      <w:bookmarkStart w:id="857" w:name="_Toc8847"/>
      <w:bookmarkStart w:id="858" w:name="_Toc14386"/>
      <w:bookmarkStart w:id="859" w:name="_Toc492300805"/>
      <w:bookmarkStart w:id="860" w:name="_Toc2960"/>
      <w:bookmarkStart w:id="861" w:name="_Toc75857034"/>
      <w:r>
        <w:rPr>
          <w:rFonts w:ascii="宋体" w:hAnsi="宋体"/>
          <w:b w:val="0"/>
          <w:snapToGrid w:val="0"/>
          <w:color w:val="000000"/>
          <w:sz w:val="24"/>
          <w:szCs w:val="24"/>
          <w:highlight w:val="none"/>
        </w:rPr>
        <w:t xml:space="preserve">7.6 </w:t>
      </w:r>
      <w:r>
        <w:rPr>
          <w:rFonts w:hint="eastAsia" w:ascii="宋体" w:hAnsi="宋体"/>
          <w:b w:val="0"/>
          <w:snapToGrid w:val="0"/>
          <w:color w:val="000000"/>
          <w:sz w:val="24"/>
          <w:szCs w:val="24"/>
          <w:highlight w:val="none"/>
        </w:rPr>
        <w:t>履约保证金</w:t>
      </w:r>
      <w:bookmarkEnd w:id="855"/>
      <w:bookmarkEnd w:id="856"/>
      <w:bookmarkEnd w:id="857"/>
      <w:bookmarkEnd w:id="858"/>
      <w:bookmarkEnd w:id="859"/>
      <w:bookmarkEnd w:id="860"/>
      <w:bookmarkEnd w:id="861"/>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ascii="宋体" w:hAnsi="宋体"/>
          <w:snapToGrid w:val="0"/>
          <w:color w:val="000000"/>
          <w:kern w:val="0"/>
          <w:szCs w:val="21"/>
          <w:highlight w:val="none"/>
        </w:rPr>
        <w:t xml:space="preserve">7.6.1 </w:t>
      </w:r>
      <w:r>
        <w:rPr>
          <w:rFonts w:hint="eastAsia" w:ascii="宋体" w:hAnsi="宋体"/>
          <w:snapToGrid w:val="0"/>
          <w:color w:val="000000"/>
          <w:kern w:val="0"/>
          <w:szCs w:val="21"/>
          <w:highlight w:val="none"/>
        </w:rPr>
        <w:t>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w:t>
      </w:r>
      <w:r>
        <w:rPr>
          <w:rFonts w:ascii="宋体" w:hAnsi="宋体"/>
          <w:snapToGrid w:val="0"/>
          <w:color w:val="000000"/>
          <w:kern w:val="0"/>
          <w:szCs w:val="21"/>
          <w:highlight w:val="none"/>
        </w:rPr>
        <w:t>10%</w:t>
      </w:r>
      <w:r>
        <w:rPr>
          <w:rFonts w:hint="eastAsia" w:ascii="宋体" w:hAnsi="宋体"/>
          <w:snapToGrid w:val="0"/>
          <w:color w:val="000000"/>
          <w:kern w:val="0"/>
          <w:szCs w:val="21"/>
          <w:highlight w:val="none"/>
        </w:rPr>
        <w:t>。联合体中标的，其履约保证金以联合体各方或者联合体中牵头人的名义提交。</w:t>
      </w:r>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ascii="宋体" w:hAnsi="宋体"/>
          <w:snapToGrid w:val="0"/>
          <w:color w:val="000000"/>
          <w:kern w:val="0"/>
          <w:szCs w:val="21"/>
          <w:highlight w:val="none"/>
        </w:rPr>
        <w:t xml:space="preserve">7.6.2 </w:t>
      </w:r>
      <w:r>
        <w:rPr>
          <w:rFonts w:hint="eastAsia" w:ascii="宋体" w:hAnsi="宋体"/>
          <w:snapToGrid w:val="0"/>
          <w:color w:val="000000"/>
          <w:kern w:val="0"/>
          <w:szCs w:val="21"/>
          <w:highlight w:val="none"/>
        </w:rPr>
        <w:t>中标人不能按本章第</w:t>
      </w:r>
      <w:r>
        <w:rPr>
          <w:rFonts w:ascii="宋体" w:hAnsi="宋体"/>
          <w:snapToGrid w:val="0"/>
          <w:color w:val="000000"/>
          <w:kern w:val="0"/>
          <w:szCs w:val="21"/>
          <w:highlight w:val="none"/>
        </w:rPr>
        <w:t>7.6.1</w:t>
      </w:r>
      <w:r>
        <w:rPr>
          <w:rFonts w:hint="eastAsia" w:ascii="宋体" w:hAnsi="宋体"/>
          <w:snapToGrid w:val="0"/>
          <w:color w:val="000000"/>
          <w:kern w:val="0"/>
          <w:szCs w:val="21"/>
          <w:highlight w:val="none"/>
        </w:rPr>
        <w:t>项要求提交履约保证金的，视为放弃中标，其投标保证金以现金形式交纳的不予退还，以保函形式交纳的由保函开立人支付保函担保的与投标保证金等额的款项，给招标人造成的损失超过投标保证金数额的，中标人还应当对超过部分予以赔偿。</w:t>
      </w:r>
    </w:p>
    <w:p>
      <w:pPr>
        <w:pStyle w:val="5"/>
        <w:snapToGrid w:val="0"/>
        <w:spacing w:before="0" w:after="0" w:line="360" w:lineRule="auto"/>
        <w:ind w:firstLine="0"/>
        <w:rPr>
          <w:rFonts w:ascii="宋体" w:hAnsi="宋体"/>
          <w:b w:val="0"/>
          <w:snapToGrid w:val="0"/>
          <w:color w:val="000000"/>
          <w:sz w:val="24"/>
          <w:szCs w:val="24"/>
          <w:highlight w:val="none"/>
        </w:rPr>
      </w:pPr>
      <w:bookmarkStart w:id="862" w:name="_Toc25495"/>
      <w:bookmarkStart w:id="863" w:name="_Toc28787"/>
      <w:bookmarkStart w:id="864" w:name="_Toc75857035"/>
      <w:bookmarkStart w:id="865" w:name="_Toc492300806"/>
      <w:bookmarkStart w:id="866" w:name="_Toc20461"/>
      <w:bookmarkStart w:id="867" w:name="_Toc25204"/>
      <w:bookmarkStart w:id="868" w:name="_Toc28822"/>
      <w:r>
        <w:rPr>
          <w:rFonts w:ascii="宋体" w:hAnsi="宋体"/>
          <w:b w:val="0"/>
          <w:snapToGrid w:val="0"/>
          <w:color w:val="000000"/>
          <w:sz w:val="24"/>
          <w:szCs w:val="24"/>
          <w:highlight w:val="none"/>
        </w:rPr>
        <w:t xml:space="preserve">7.7 </w:t>
      </w:r>
      <w:r>
        <w:rPr>
          <w:rFonts w:hint="eastAsia" w:ascii="宋体" w:hAnsi="宋体"/>
          <w:b w:val="0"/>
          <w:snapToGrid w:val="0"/>
          <w:color w:val="000000"/>
          <w:sz w:val="24"/>
          <w:szCs w:val="24"/>
          <w:highlight w:val="none"/>
        </w:rPr>
        <w:t>签订合同</w:t>
      </w:r>
      <w:bookmarkEnd w:id="862"/>
      <w:bookmarkEnd w:id="863"/>
      <w:bookmarkEnd w:id="864"/>
      <w:bookmarkEnd w:id="865"/>
      <w:bookmarkEnd w:id="866"/>
      <w:bookmarkEnd w:id="867"/>
      <w:bookmarkEnd w:id="868"/>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ascii="宋体" w:hAnsi="宋体"/>
          <w:snapToGrid w:val="0"/>
          <w:color w:val="000000"/>
          <w:kern w:val="0"/>
          <w:szCs w:val="21"/>
          <w:highlight w:val="none"/>
        </w:rPr>
        <w:t xml:space="preserve">7.7.1 </w:t>
      </w:r>
      <w:r>
        <w:rPr>
          <w:rFonts w:hint="eastAsia" w:ascii="宋体" w:hAnsi="宋体"/>
          <w:snapToGrid w:val="0"/>
          <w:color w:val="000000"/>
          <w:kern w:val="0"/>
          <w:szCs w:val="21"/>
          <w:highlight w:val="none"/>
        </w:rPr>
        <w:t>招标人和中标人应当在中标通知书发出之日起</w:t>
      </w:r>
      <w:r>
        <w:rPr>
          <w:rFonts w:ascii="宋体" w:hAnsi="宋体"/>
          <w:snapToGrid w:val="0"/>
          <w:color w:val="000000"/>
          <w:kern w:val="0"/>
          <w:szCs w:val="21"/>
          <w:highlight w:val="none"/>
        </w:rPr>
        <w:t>30</w:t>
      </w:r>
      <w:r>
        <w:rPr>
          <w:rFonts w:hint="eastAsia" w:ascii="宋体" w:hAnsi="宋体"/>
          <w:snapToGrid w:val="0"/>
          <w:color w:val="000000"/>
          <w:kern w:val="0"/>
          <w:szCs w:val="21"/>
          <w:highlight w:val="none"/>
        </w:rPr>
        <w:t>日内，根据招标文件和中标人的投标文件订立书面合同。中标人无正当理由拒签合同，在签订合同时向招标人提出附加条件，或者不按照招标文件要求提交履约保证金的，招标人有权取消其中标资格，其投标保证金以现金形式交纳的不予退还，以保函形式交纳的由保函开立人支付保函担保的与投标保证金等额的款项，给招标人造成的损失超过投标保证金数额的，中标人还应当对超过部分予以赔偿。</w:t>
      </w:r>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ascii="宋体" w:hAnsi="宋体"/>
          <w:snapToGrid w:val="0"/>
          <w:color w:val="000000"/>
          <w:kern w:val="0"/>
          <w:szCs w:val="21"/>
          <w:highlight w:val="none"/>
        </w:rPr>
        <w:t xml:space="preserve">7.7.2 </w:t>
      </w:r>
      <w:r>
        <w:rPr>
          <w:rFonts w:hint="eastAsia" w:ascii="宋体" w:hAnsi="宋体"/>
          <w:snapToGrid w:val="0"/>
          <w:color w:val="000000"/>
          <w:kern w:val="0"/>
          <w:szCs w:val="21"/>
          <w:highlight w:val="none"/>
        </w:rPr>
        <w:t>发出中标通知书后，招标人无正当理由拒签合同，或者在签订合同时向中标人提出附加条件的，招标人向中标人退还投标保证金；给中标人造成损失的，还应当赔偿损失。</w:t>
      </w:r>
    </w:p>
    <w:p>
      <w:pPr>
        <w:autoSpaceDE w:val="0"/>
        <w:autoSpaceDN w:val="0"/>
        <w:adjustRightInd w:val="0"/>
        <w:snapToGrid w:val="0"/>
        <w:spacing w:line="360" w:lineRule="auto"/>
        <w:ind w:firstLine="420" w:firstLineChars="200"/>
        <w:rPr>
          <w:rFonts w:ascii="宋体" w:hAnsi="宋体"/>
          <w:snapToGrid w:val="0"/>
          <w:color w:val="000000"/>
          <w:kern w:val="0"/>
          <w:szCs w:val="21"/>
          <w:highlight w:val="none"/>
        </w:rPr>
      </w:pPr>
      <w:r>
        <w:rPr>
          <w:rFonts w:ascii="宋体" w:hAnsi="宋体"/>
          <w:snapToGrid w:val="0"/>
          <w:color w:val="000000"/>
          <w:kern w:val="0"/>
          <w:szCs w:val="21"/>
          <w:highlight w:val="none"/>
        </w:rPr>
        <w:t>7.7.3</w:t>
      </w:r>
      <w:r>
        <w:rPr>
          <w:rFonts w:hint="eastAsia" w:ascii="宋体" w:hAnsi="宋体"/>
          <w:snapToGrid w:val="0"/>
          <w:color w:val="000000"/>
          <w:kern w:val="0"/>
          <w:szCs w:val="21"/>
          <w:highlight w:val="none"/>
        </w:rPr>
        <w:t>联合体中标的，联合体各方应当共同与招标人签订合同，就中标项目向招标人承担连带责任。</w:t>
      </w:r>
    </w:p>
    <w:bookmarkEnd w:id="803"/>
    <w:bookmarkEnd w:id="804"/>
    <w:bookmarkEnd w:id="805"/>
    <w:bookmarkEnd w:id="806"/>
    <w:bookmarkEnd w:id="807"/>
    <w:bookmarkEnd w:id="808"/>
    <w:bookmarkEnd w:id="809"/>
    <w:p>
      <w:pPr>
        <w:pStyle w:val="4"/>
        <w:spacing w:before="0" w:after="0" w:line="360" w:lineRule="auto"/>
        <w:rPr>
          <w:rFonts w:ascii="宋体" w:hAnsi="宋体"/>
          <w:b w:val="0"/>
          <w:snapToGrid w:val="0"/>
          <w:highlight w:val="none"/>
        </w:rPr>
      </w:pPr>
      <w:bookmarkStart w:id="869" w:name="_Toc287607789"/>
      <w:bookmarkStart w:id="870" w:name="_Toc8240"/>
      <w:bookmarkStart w:id="871" w:name="_Toc83"/>
      <w:bookmarkStart w:id="872" w:name="_Toc13522"/>
      <w:bookmarkStart w:id="873" w:name="_Toc287620728"/>
      <w:bookmarkStart w:id="874" w:name="_Toc75857036"/>
      <w:bookmarkStart w:id="875" w:name="_Toc200513169"/>
      <w:bookmarkStart w:id="876" w:name="_Toc19311"/>
      <w:bookmarkStart w:id="877" w:name="_Toc509218753"/>
      <w:bookmarkStart w:id="878" w:name="_Toc430530478"/>
      <w:bookmarkStart w:id="879" w:name="_Toc277082595"/>
      <w:bookmarkStart w:id="880" w:name="_Toc224103360"/>
      <w:bookmarkStart w:id="881" w:name="_Toc12756"/>
      <w:r>
        <w:rPr>
          <w:rFonts w:ascii="宋体" w:hAnsi="宋体"/>
          <w:b w:val="0"/>
          <w:snapToGrid w:val="0"/>
          <w:highlight w:val="none"/>
        </w:rPr>
        <w:t>8.  重新招标和不再招标</w:t>
      </w:r>
      <w:bookmarkEnd w:id="869"/>
      <w:bookmarkEnd w:id="870"/>
      <w:bookmarkEnd w:id="871"/>
      <w:bookmarkEnd w:id="872"/>
      <w:bookmarkEnd w:id="873"/>
      <w:bookmarkEnd w:id="874"/>
      <w:bookmarkEnd w:id="875"/>
      <w:bookmarkEnd w:id="876"/>
      <w:bookmarkEnd w:id="877"/>
      <w:bookmarkEnd w:id="878"/>
      <w:bookmarkEnd w:id="879"/>
      <w:bookmarkEnd w:id="880"/>
      <w:bookmarkEnd w:id="881"/>
    </w:p>
    <w:p>
      <w:pPr>
        <w:pStyle w:val="5"/>
        <w:snapToGrid w:val="0"/>
        <w:spacing w:before="0" w:after="0" w:line="360" w:lineRule="auto"/>
        <w:rPr>
          <w:rFonts w:ascii="宋体" w:hAnsi="宋体"/>
          <w:b w:val="0"/>
          <w:snapToGrid w:val="0"/>
          <w:sz w:val="24"/>
          <w:szCs w:val="24"/>
          <w:highlight w:val="none"/>
        </w:rPr>
      </w:pPr>
      <w:bookmarkStart w:id="882" w:name="_Toc277082596"/>
      <w:bookmarkStart w:id="883" w:name="_Toc287620729"/>
      <w:bookmarkStart w:id="884" w:name="_Toc509218754"/>
      <w:bookmarkStart w:id="885" w:name="_Toc430530479"/>
      <w:bookmarkStart w:id="886" w:name="_Toc224103361"/>
      <w:bookmarkStart w:id="887" w:name="_Toc75857037"/>
      <w:bookmarkStart w:id="888" w:name="_Toc200513170"/>
      <w:bookmarkStart w:id="889" w:name="_Toc287607790"/>
      <w:bookmarkStart w:id="890" w:name="_Toc4100"/>
      <w:bookmarkStart w:id="891" w:name="_Toc10106"/>
      <w:bookmarkStart w:id="892" w:name="_Toc6649"/>
      <w:bookmarkStart w:id="893" w:name="_Toc25846"/>
      <w:bookmarkStart w:id="894" w:name="_Toc32723"/>
      <w:r>
        <w:rPr>
          <w:rFonts w:ascii="宋体" w:hAnsi="宋体"/>
          <w:b w:val="0"/>
          <w:snapToGrid w:val="0"/>
          <w:sz w:val="24"/>
          <w:szCs w:val="24"/>
          <w:highlight w:val="none"/>
        </w:rPr>
        <w:t>8.1  重新招标</w:t>
      </w:r>
      <w:bookmarkEnd w:id="882"/>
      <w:bookmarkEnd w:id="883"/>
      <w:bookmarkEnd w:id="884"/>
      <w:bookmarkEnd w:id="885"/>
      <w:bookmarkEnd w:id="886"/>
      <w:bookmarkEnd w:id="887"/>
      <w:bookmarkEnd w:id="888"/>
      <w:bookmarkEnd w:id="889"/>
      <w:r>
        <w:rPr>
          <w:rFonts w:ascii="宋体" w:hAnsi="宋体"/>
          <w:b w:val="0"/>
          <w:snapToGrid w:val="0"/>
          <w:sz w:val="24"/>
          <w:szCs w:val="24"/>
          <w:highlight w:val="none"/>
        </w:rPr>
        <w:t>的情形</w:t>
      </w:r>
      <w:bookmarkEnd w:id="890"/>
      <w:bookmarkEnd w:id="891"/>
      <w:bookmarkEnd w:id="892"/>
      <w:bookmarkEnd w:id="893"/>
      <w:bookmarkEnd w:id="894"/>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有下列情形之一的，招标人将重新招标：</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（1）投标截止时间止，投标人少于 3 个的；</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（2）经评标委员会评审后否决所有投标的；</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（3）</w:t>
      </w:r>
      <w:r>
        <w:rPr>
          <w:rFonts w:hint="eastAsia" w:ascii="宋体" w:hAnsi="宋体"/>
          <w:snapToGrid w:val="0"/>
          <w:kern w:val="0"/>
          <w:szCs w:val="21"/>
          <w:highlight w:val="none"/>
        </w:rPr>
        <w:t>经评标委员会评审后部分投标被否决，导致有效投标人不足三个的，评标委员会应当否决所有投标。但是有效投标人的经济、技术等指标仍然具有市场竞争力，能够满足招标文件要求的，评标委员会可以继续评标并确定中标候选人</w:t>
      </w:r>
      <w:r>
        <w:rPr>
          <w:rFonts w:ascii="宋体" w:hAnsi="宋体"/>
          <w:snapToGrid w:val="0"/>
          <w:kern w:val="0"/>
          <w:szCs w:val="21"/>
          <w:highlight w:val="none"/>
        </w:rPr>
        <w:t>；</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（4）法律法规规定的其他情形。</w:t>
      </w:r>
    </w:p>
    <w:p>
      <w:pPr>
        <w:pStyle w:val="5"/>
        <w:snapToGrid w:val="0"/>
        <w:spacing w:before="0" w:after="0" w:line="360" w:lineRule="auto"/>
        <w:rPr>
          <w:rFonts w:ascii="宋体" w:hAnsi="宋体"/>
          <w:b w:val="0"/>
          <w:snapToGrid w:val="0"/>
          <w:sz w:val="24"/>
          <w:szCs w:val="24"/>
          <w:highlight w:val="none"/>
        </w:rPr>
      </w:pPr>
      <w:bookmarkStart w:id="895" w:name="_Toc26020"/>
      <w:bookmarkStart w:id="896" w:name="_Toc224103362"/>
      <w:bookmarkStart w:id="897" w:name="_Toc687"/>
      <w:bookmarkStart w:id="898" w:name="_Toc4380"/>
      <w:bookmarkStart w:id="899" w:name="_Toc17181"/>
      <w:bookmarkStart w:id="900" w:name="_Toc200513171"/>
      <w:bookmarkStart w:id="901" w:name="_Toc75857038"/>
      <w:bookmarkStart w:id="902" w:name="_Toc287607791"/>
      <w:bookmarkStart w:id="903" w:name="_Toc287620730"/>
      <w:bookmarkStart w:id="904" w:name="_Toc430530480"/>
      <w:bookmarkStart w:id="905" w:name="_Toc277082597"/>
      <w:bookmarkStart w:id="906" w:name="_Toc22436"/>
      <w:bookmarkStart w:id="907" w:name="_Toc509218755"/>
      <w:r>
        <w:rPr>
          <w:rFonts w:ascii="宋体" w:hAnsi="宋体"/>
          <w:b w:val="0"/>
          <w:snapToGrid w:val="0"/>
          <w:sz w:val="24"/>
          <w:szCs w:val="24"/>
          <w:highlight w:val="none"/>
        </w:rPr>
        <w:t xml:space="preserve">8.2  </w:t>
      </w:r>
      <w:r>
        <w:rPr>
          <w:rFonts w:hint="eastAsia" w:ascii="宋体" w:hAnsi="宋体"/>
          <w:b w:val="0"/>
          <w:snapToGrid w:val="0"/>
          <w:sz w:val="24"/>
          <w:szCs w:val="24"/>
          <w:highlight w:val="none"/>
        </w:rPr>
        <w:t>重新</w:t>
      </w:r>
      <w:r>
        <w:rPr>
          <w:rFonts w:ascii="宋体" w:hAnsi="宋体"/>
          <w:b w:val="0"/>
          <w:snapToGrid w:val="0"/>
          <w:sz w:val="24"/>
          <w:szCs w:val="24"/>
          <w:highlight w:val="none"/>
        </w:rPr>
        <w:t>招标和不再招标</w:t>
      </w:r>
      <w:bookmarkEnd w:id="895"/>
      <w:bookmarkEnd w:id="896"/>
      <w:bookmarkEnd w:id="897"/>
      <w:bookmarkEnd w:id="898"/>
      <w:bookmarkEnd w:id="899"/>
      <w:bookmarkEnd w:id="900"/>
      <w:bookmarkEnd w:id="901"/>
      <w:bookmarkEnd w:id="902"/>
      <w:bookmarkEnd w:id="903"/>
      <w:bookmarkEnd w:id="904"/>
      <w:bookmarkEnd w:id="905"/>
      <w:bookmarkEnd w:id="906"/>
      <w:bookmarkEnd w:id="907"/>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备案手续的依法必须进行招标的项目，应当报原项目投资主管部门审批、核准、备案</w:t>
      </w:r>
      <w:r>
        <w:rPr>
          <w:rFonts w:ascii="宋体" w:hAnsi="宋体"/>
          <w:snapToGrid w:val="0"/>
          <w:kern w:val="0"/>
          <w:szCs w:val="21"/>
          <w:highlight w:val="none"/>
        </w:rPr>
        <w:t>。</w:t>
      </w:r>
    </w:p>
    <w:p>
      <w:pPr>
        <w:pStyle w:val="4"/>
        <w:spacing w:before="0" w:after="0" w:line="360" w:lineRule="auto"/>
        <w:rPr>
          <w:rFonts w:ascii="宋体" w:hAnsi="宋体"/>
          <w:b w:val="0"/>
          <w:snapToGrid w:val="0"/>
          <w:highlight w:val="none"/>
        </w:rPr>
      </w:pPr>
      <w:bookmarkStart w:id="908" w:name="_Toc200513172"/>
      <w:bookmarkStart w:id="909" w:name="_Toc5876"/>
      <w:bookmarkStart w:id="910" w:name="_Toc287620731"/>
      <w:bookmarkStart w:id="911" w:name="_Toc20563"/>
      <w:bookmarkStart w:id="912" w:name="_Toc287607792"/>
      <w:bookmarkStart w:id="913" w:name="_Toc2943"/>
      <w:bookmarkStart w:id="914" w:name="_Toc509218756"/>
      <w:bookmarkStart w:id="915" w:name="_Toc29891"/>
      <w:bookmarkStart w:id="916" w:name="_Toc430530481"/>
      <w:bookmarkStart w:id="917" w:name="_Toc277082598"/>
      <w:bookmarkStart w:id="918" w:name="_Toc224103363"/>
      <w:bookmarkStart w:id="919" w:name="_Toc29580"/>
      <w:bookmarkStart w:id="920" w:name="_Toc75857039"/>
      <w:r>
        <w:rPr>
          <w:rFonts w:ascii="宋体" w:hAnsi="宋体"/>
          <w:b w:val="0"/>
          <w:snapToGrid w:val="0"/>
          <w:highlight w:val="none"/>
        </w:rPr>
        <w:t>9.  纪律和监督</w:t>
      </w:r>
      <w:bookmarkEnd w:id="908"/>
      <w:bookmarkEnd w:id="909"/>
      <w:bookmarkEnd w:id="910"/>
      <w:bookmarkEnd w:id="911"/>
      <w:bookmarkEnd w:id="912"/>
      <w:bookmarkEnd w:id="913"/>
      <w:bookmarkEnd w:id="914"/>
      <w:bookmarkEnd w:id="915"/>
      <w:bookmarkEnd w:id="916"/>
      <w:bookmarkEnd w:id="917"/>
      <w:bookmarkEnd w:id="918"/>
      <w:bookmarkEnd w:id="919"/>
      <w:bookmarkEnd w:id="920"/>
    </w:p>
    <w:p>
      <w:pPr>
        <w:pStyle w:val="5"/>
        <w:snapToGrid w:val="0"/>
        <w:spacing w:before="0" w:after="0" w:line="360" w:lineRule="auto"/>
        <w:rPr>
          <w:rFonts w:ascii="宋体" w:hAnsi="宋体"/>
          <w:b w:val="0"/>
          <w:snapToGrid w:val="0"/>
          <w:sz w:val="24"/>
          <w:szCs w:val="24"/>
          <w:highlight w:val="none"/>
        </w:rPr>
      </w:pPr>
      <w:bookmarkStart w:id="921" w:name="_Toc18158"/>
      <w:bookmarkStart w:id="922" w:name="_Toc509218757"/>
      <w:bookmarkStart w:id="923" w:name="_Toc287620732"/>
      <w:bookmarkStart w:id="924" w:name="_Toc277082599"/>
      <w:bookmarkStart w:id="925" w:name="_Toc7047"/>
      <w:bookmarkStart w:id="926" w:name="_Toc224103364"/>
      <w:bookmarkStart w:id="927" w:name="_Toc17222"/>
      <w:bookmarkStart w:id="928" w:name="_Toc287607793"/>
      <w:bookmarkStart w:id="929" w:name="_Toc430530482"/>
      <w:bookmarkStart w:id="930" w:name="_Toc75857040"/>
      <w:bookmarkStart w:id="931" w:name="_Toc9258"/>
      <w:bookmarkStart w:id="932" w:name="_Toc200513173"/>
      <w:bookmarkStart w:id="933" w:name="_Toc26638"/>
      <w:r>
        <w:rPr>
          <w:rFonts w:ascii="宋体" w:hAnsi="宋体"/>
          <w:b w:val="0"/>
          <w:snapToGrid w:val="0"/>
          <w:sz w:val="24"/>
          <w:szCs w:val="24"/>
          <w:highlight w:val="none"/>
        </w:rPr>
        <w:t>9.1  对招标人的纪律要求</w:t>
      </w:r>
      <w:bookmarkEnd w:id="921"/>
      <w:bookmarkEnd w:id="922"/>
      <w:bookmarkEnd w:id="923"/>
      <w:bookmarkEnd w:id="924"/>
      <w:bookmarkEnd w:id="925"/>
      <w:bookmarkEnd w:id="926"/>
      <w:bookmarkEnd w:id="927"/>
      <w:bookmarkEnd w:id="928"/>
      <w:bookmarkEnd w:id="929"/>
      <w:bookmarkEnd w:id="930"/>
      <w:bookmarkEnd w:id="931"/>
      <w:bookmarkEnd w:id="932"/>
      <w:bookmarkEnd w:id="933"/>
    </w:p>
    <w:p>
      <w:pPr>
        <w:autoSpaceDE w:val="0"/>
        <w:autoSpaceDN w:val="0"/>
        <w:adjustRightInd w:val="0"/>
        <w:snapToGrid w:val="0"/>
        <w:spacing w:line="360" w:lineRule="auto"/>
        <w:ind w:firstLine="420"/>
        <w:rPr>
          <w:rFonts w:ascii="宋体" w:hAnsi="宋体"/>
          <w:highlight w:val="none"/>
        </w:rPr>
      </w:pPr>
      <w:r>
        <w:rPr>
          <w:rFonts w:ascii="宋体" w:hAnsi="宋体"/>
          <w:snapToGrid w:val="0"/>
          <w:kern w:val="0"/>
          <w:szCs w:val="21"/>
          <w:highlight w:val="none"/>
        </w:rPr>
        <w:t>招标人不得泄漏招标投标活动中应当保密的情况和资料，不得与投标人串通损害国家利 益、社会公共利益或者他人合法权益，</w:t>
      </w:r>
      <w:r>
        <w:rPr>
          <w:rFonts w:ascii="宋体" w:hAnsi="宋体"/>
          <w:highlight w:val="none"/>
        </w:rPr>
        <w:t>禁止招标人与投标人串通投标。</w:t>
      </w:r>
    </w:p>
    <w:p>
      <w:pPr>
        <w:autoSpaceDE w:val="0"/>
        <w:autoSpaceDN w:val="0"/>
        <w:adjustRightInd w:val="0"/>
        <w:snapToGrid w:val="0"/>
        <w:spacing w:line="360" w:lineRule="auto"/>
        <w:ind w:firstLine="420"/>
        <w:rPr>
          <w:rFonts w:ascii="宋体" w:hAnsi="宋体"/>
          <w:highlight w:val="none"/>
        </w:rPr>
      </w:pPr>
      <w:r>
        <w:rPr>
          <w:rFonts w:ascii="宋体" w:hAnsi="宋体"/>
          <w:highlight w:val="none"/>
        </w:rPr>
        <w:t>有下列情形之一的，属于招标人与投标人串通投标：</w:t>
      </w:r>
    </w:p>
    <w:p>
      <w:pPr>
        <w:autoSpaceDE w:val="0"/>
        <w:autoSpaceDN w:val="0"/>
        <w:adjustRightInd w:val="0"/>
        <w:snapToGrid w:val="0"/>
        <w:spacing w:line="360" w:lineRule="auto"/>
        <w:ind w:firstLine="420"/>
        <w:rPr>
          <w:rFonts w:ascii="宋体" w:hAnsi="宋体"/>
          <w:highlight w:val="none"/>
        </w:rPr>
      </w:pPr>
      <w:r>
        <w:rPr>
          <w:rFonts w:ascii="宋体" w:hAnsi="宋体"/>
          <w:highlight w:val="none"/>
        </w:rPr>
        <w:t>（1）招标人在开标前开启投标文件并将有关信息泄露给其他投标人</w:t>
      </w:r>
      <w:r>
        <w:rPr>
          <w:rFonts w:hint="eastAsia" w:ascii="宋体" w:hAnsi="宋体"/>
          <w:highlight w:val="none"/>
        </w:rPr>
        <w:t>；</w:t>
      </w:r>
    </w:p>
    <w:p>
      <w:pPr>
        <w:autoSpaceDE w:val="0"/>
        <w:autoSpaceDN w:val="0"/>
        <w:adjustRightInd w:val="0"/>
        <w:snapToGrid w:val="0"/>
        <w:spacing w:line="360" w:lineRule="auto"/>
        <w:ind w:firstLine="420"/>
        <w:rPr>
          <w:rFonts w:ascii="宋体" w:hAnsi="宋体"/>
          <w:highlight w:val="none"/>
        </w:rPr>
      </w:pPr>
      <w:r>
        <w:rPr>
          <w:rFonts w:ascii="宋体" w:hAnsi="宋体"/>
          <w:highlight w:val="none"/>
        </w:rPr>
        <w:t>（2）招标人直接或者间接向投标人泄露标底、评标委员会成员等信息；</w:t>
      </w:r>
    </w:p>
    <w:p>
      <w:pPr>
        <w:autoSpaceDE w:val="0"/>
        <w:autoSpaceDN w:val="0"/>
        <w:adjustRightInd w:val="0"/>
        <w:snapToGrid w:val="0"/>
        <w:spacing w:line="360" w:lineRule="auto"/>
        <w:ind w:firstLine="420"/>
        <w:rPr>
          <w:rFonts w:ascii="宋体" w:hAnsi="宋体"/>
          <w:highlight w:val="none"/>
        </w:rPr>
      </w:pPr>
      <w:r>
        <w:rPr>
          <w:rFonts w:ascii="宋体" w:hAnsi="宋体"/>
          <w:highlight w:val="none"/>
        </w:rPr>
        <w:t>（3）招标人明示或者暗示投标人压低或者抬高投标报价；</w:t>
      </w:r>
    </w:p>
    <w:p>
      <w:pPr>
        <w:autoSpaceDE w:val="0"/>
        <w:autoSpaceDN w:val="0"/>
        <w:adjustRightInd w:val="0"/>
        <w:snapToGrid w:val="0"/>
        <w:spacing w:line="360" w:lineRule="auto"/>
        <w:ind w:firstLine="420"/>
        <w:rPr>
          <w:rFonts w:ascii="宋体" w:hAnsi="宋体"/>
          <w:highlight w:val="none"/>
        </w:rPr>
      </w:pPr>
      <w:r>
        <w:rPr>
          <w:rFonts w:ascii="宋体" w:hAnsi="宋体"/>
          <w:highlight w:val="none"/>
        </w:rPr>
        <w:t>（4）招标人授意投标人撤换、修改投标文件；</w:t>
      </w:r>
    </w:p>
    <w:p>
      <w:pPr>
        <w:autoSpaceDE w:val="0"/>
        <w:autoSpaceDN w:val="0"/>
        <w:adjustRightInd w:val="0"/>
        <w:snapToGrid w:val="0"/>
        <w:spacing w:line="360" w:lineRule="auto"/>
        <w:ind w:firstLine="420"/>
        <w:rPr>
          <w:rFonts w:ascii="宋体" w:hAnsi="宋体"/>
          <w:highlight w:val="none"/>
        </w:rPr>
      </w:pPr>
      <w:r>
        <w:rPr>
          <w:rFonts w:ascii="宋体" w:hAnsi="宋体"/>
          <w:highlight w:val="none"/>
        </w:rPr>
        <w:t>（5）招标人明示或者暗示投标人为特定投标人中标提供方便；</w:t>
      </w:r>
    </w:p>
    <w:p>
      <w:pPr>
        <w:autoSpaceDE w:val="0"/>
        <w:autoSpaceDN w:val="0"/>
        <w:adjustRightInd w:val="0"/>
        <w:snapToGrid w:val="0"/>
        <w:spacing w:line="360" w:lineRule="auto"/>
        <w:ind w:firstLine="420"/>
        <w:rPr>
          <w:rFonts w:ascii="宋体" w:hAnsi="宋体"/>
          <w:snapToGrid w:val="0"/>
          <w:kern w:val="0"/>
          <w:szCs w:val="21"/>
          <w:highlight w:val="none"/>
        </w:rPr>
      </w:pPr>
      <w:r>
        <w:rPr>
          <w:rFonts w:ascii="宋体" w:hAnsi="宋体"/>
          <w:highlight w:val="none"/>
        </w:rPr>
        <w:t>（6）招标人与投标人为谋求特定投标人中标而采取的其他串通行为。</w:t>
      </w:r>
    </w:p>
    <w:p>
      <w:pPr>
        <w:pStyle w:val="5"/>
        <w:snapToGrid w:val="0"/>
        <w:spacing w:before="0" w:after="0" w:line="360" w:lineRule="auto"/>
        <w:ind w:firstLine="480" w:firstLineChars="200"/>
        <w:rPr>
          <w:rFonts w:ascii="宋体" w:hAnsi="宋体"/>
          <w:b w:val="0"/>
          <w:snapToGrid w:val="0"/>
          <w:sz w:val="24"/>
          <w:szCs w:val="24"/>
          <w:highlight w:val="none"/>
        </w:rPr>
      </w:pPr>
      <w:bookmarkStart w:id="934" w:name="_Toc509218758"/>
      <w:bookmarkStart w:id="935" w:name="_Toc26579"/>
      <w:bookmarkStart w:id="936" w:name="_Toc287620733"/>
      <w:bookmarkStart w:id="937" w:name="_Toc200513174"/>
      <w:bookmarkStart w:id="938" w:name="_Toc5147"/>
      <w:bookmarkStart w:id="939" w:name="_Toc287607794"/>
      <w:bookmarkStart w:id="940" w:name="_Toc31945"/>
      <w:bookmarkStart w:id="941" w:name="_Toc430530483"/>
      <w:bookmarkStart w:id="942" w:name="_Toc1450"/>
      <w:bookmarkStart w:id="943" w:name="_Toc839"/>
      <w:bookmarkStart w:id="944" w:name="_Toc277082600"/>
      <w:bookmarkStart w:id="945" w:name="_Toc224103365"/>
      <w:bookmarkStart w:id="946" w:name="_Toc75857041"/>
      <w:r>
        <w:rPr>
          <w:rFonts w:ascii="宋体" w:hAnsi="宋体"/>
          <w:b w:val="0"/>
          <w:snapToGrid w:val="0"/>
          <w:sz w:val="24"/>
          <w:szCs w:val="24"/>
          <w:highlight w:val="none"/>
        </w:rPr>
        <w:t>9.2  对投标人的纪律要求</w:t>
      </w:r>
      <w:bookmarkEnd w:id="934"/>
      <w:bookmarkEnd w:id="935"/>
      <w:bookmarkEnd w:id="936"/>
      <w:bookmarkEnd w:id="937"/>
      <w:bookmarkEnd w:id="938"/>
      <w:bookmarkEnd w:id="939"/>
      <w:bookmarkEnd w:id="940"/>
      <w:bookmarkEnd w:id="941"/>
      <w:bookmarkEnd w:id="942"/>
      <w:bookmarkEnd w:id="943"/>
      <w:bookmarkEnd w:id="944"/>
      <w:bookmarkEnd w:id="945"/>
      <w:bookmarkEnd w:id="946"/>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hint="eastAsia" w:ascii="宋体" w:hAnsi="宋体"/>
          <w:snapToGrid w:val="0"/>
          <w:kern w:val="0"/>
          <w:szCs w:val="21"/>
          <w:highlight w:val="none"/>
        </w:rPr>
        <w:t xml:space="preserve">9.2.1  </w:t>
      </w:r>
      <w:r>
        <w:rPr>
          <w:rFonts w:ascii="宋体" w:hAnsi="宋体"/>
          <w:highlight w:val="none"/>
        </w:rPr>
        <w:t>有下列情形之一的，属于投标人相互串通投标：</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（1）投标人之间协商投标报价等投标文件的实质性内容；</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（2）投标人之间约定中标人；</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（3）投标人之间约定部分投标人放弃投标或者中标；</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（4）属于同一集团、协会、商会等组织成员的投标人按照该组织要求协同投标；</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（5）投标人之间为谋取中标或者排斥特定投标人而采取的其他联合行动。</w:t>
      </w:r>
    </w:p>
    <w:p>
      <w:pPr>
        <w:autoSpaceDE w:val="0"/>
        <w:autoSpaceDN w:val="0"/>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9.2.2  </w:t>
      </w:r>
      <w:r>
        <w:rPr>
          <w:rFonts w:ascii="宋体" w:hAnsi="宋体"/>
          <w:highlight w:val="none"/>
        </w:rPr>
        <w:t>有下列情形之一的，视为投标人相互串通投标：</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（1）不同投标人的投标文件由同一单位或者个人编制；</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（2）不同投标人委托同一单位或者个人办理投标事宜；</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（3）不同投标人的投标文件载明的项目管理成员为同一人；</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（4）不同投标人的投标文件异常一致或者投标报价呈规律性差异；</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（5）不同投标人的投标文件相互混装；</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（6）不同投标人的投标保证金从同一单位或者个人的账户转出</w:t>
      </w:r>
      <w:r>
        <w:rPr>
          <w:rFonts w:hint="eastAsia" w:ascii="宋体" w:hAnsi="宋体"/>
          <w:highlight w:val="none"/>
        </w:rPr>
        <w:t>；</w:t>
      </w:r>
    </w:p>
    <w:p>
      <w:pPr>
        <w:autoSpaceDE w:val="0"/>
        <w:autoSpaceDN w:val="0"/>
        <w:adjustRightInd w:val="0"/>
        <w:snapToGrid w:val="0"/>
        <w:spacing w:line="360" w:lineRule="auto"/>
        <w:ind w:firstLine="420" w:firstLineChars="200"/>
        <w:rPr>
          <w:rFonts w:ascii="宋体" w:hAnsi="宋体"/>
          <w:highlight w:val="none"/>
        </w:rPr>
      </w:pPr>
      <w:r>
        <w:rPr>
          <w:rFonts w:hint="eastAsia" w:ascii="宋体" w:hAnsi="宋体"/>
          <w:highlight w:val="none"/>
        </w:rPr>
        <w:t>（7）不同投标人的电子投标文件制作机器码相同。</w:t>
      </w:r>
    </w:p>
    <w:p>
      <w:pPr>
        <w:autoSpaceDE w:val="0"/>
        <w:autoSpaceDN w:val="0"/>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9.2.3  </w:t>
      </w:r>
      <w:r>
        <w:rPr>
          <w:rFonts w:ascii="宋体" w:hAnsi="宋体"/>
          <w:highlight w:val="none"/>
        </w:rPr>
        <w:t>使用通过受让或者租借等方式获取的资格、资质证书投标的，属于以他人名义投标。</w:t>
      </w:r>
    </w:p>
    <w:p>
      <w:pPr>
        <w:autoSpaceDE w:val="0"/>
        <w:autoSpaceDN w:val="0"/>
        <w:adjustRightInd w:val="0"/>
        <w:snapToGrid w:val="0"/>
        <w:spacing w:line="360" w:lineRule="auto"/>
        <w:ind w:firstLine="420" w:firstLineChars="200"/>
        <w:rPr>
          <w:rFonts w:ascii="宋体" w:hAnsi="宋体"/>
          <w:highlight w:val="none"/>
        </w:rPr>
      </w:pPr>
      <w:r>
        <w:rPr>
          <w:rFonts w:hint="eastAsia" w:ascii="宋体" w:hAnsi="宋体"/>
          <w:highlight w:val="none"/>
        </w:rPr>
        <w:t xml:space="preserve">9.2.4  </w:t>
      </w:r>
      <w:r>
        <w:rPr>
          <w:rFonts w:ascii="宋体" w:hAnsi="宋体"/>
          <w:highlight w:val="none"/>
        </w:rPr>
        <w:t>投标人有下列情形之一的，属于以其他方式弄虚作假的行为：</w:t>
      </w:r>
    </w:p>
    <w:p>
      <w:pPr>
        <w:autoSpaceDE w:val="0"/>
        <w:autoSpaceDN w:val="0"/>
        <w:adjustRightInd w:val="0"/>
        <w:snapToGrid w:val="0"/>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使用伪造、变造的许可证件；</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w:t>
      </w:r>
      <w:r>
        <w:rPr>
          <w:rFonts w:hint="eastAsia" w:ascii="宋体" w:hAnsi="宋体"/>
          <w:highlight w:val="none"/>
        </w:rPr>
        <w:t>2</w:t>
      </w:r>
      <w:r>
        <w:rPr>
          <w:rFonts w:ascii="宋体" w:hAnsi="宋体"/>
          <w:highlight w:val="none"/>
        </w:rPr>
        <w:t>）提供虚假的财务状况或者业绩；</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w:t>
      </w:r>
      <w:r>
        <w:rPr>
          <w:rFonts w:hint="eastAsia" w:ascii="宋体" w:hAnsi="宋体"/>
          <w:highlight w:val="none"/>
        </w:rPr>
        <w:t>3</w:t>
      </w:r>
      <w:r>
        <w:rPr>
          <w:rFonts w:ascii="宋体" w:hAnsi="宋体"/>
          <w:highlight w:val="none"/>
        </w:rPr>
        <w:t>）提供虚假的项目负责人或者主要技术人员简历、劳动关系证明；</w:t>
      </w:r>
    </w:p>
    <w:p>
      <w:pPr>
        <w:autoSpaceDE w:val="0"/>
        <w:autoSpaceDN w:val="0"/>
        <w:adjustRightInd w:val="0"/>
        <w:snapToGrid w:val="0"/>
        <w:spacing w:line="360" w:lineRule="auto"/>
        <w:ind w:firstLine="420" w:firstLineChars="200"/>
        <w:rPr>
          <w:rFonts w:ascii="宋体" w:hAnsi="宋体"/>
          <w:highlight w:val="none"/>
        </w:rPr>
      </w:pPr>
      <w:r>
        <w:rPr>
          <w:rFonts w:ascii="宋体" w:hAnsi="宋体"/>
          <w:highlight w:val="none"/>
        </w:rPr>
        <w:t>（</w:t>
      </w:r>
      <w:r>
        <w:rPr>
          <w:rFonts w:hint="eastAsia" w:ascii="宋体" w:hAnsi="宋体"/>
          <w:highlight w:val="none"/>
        </w:rPr>
        <w:t>4</w:t>
      </w:r>
      <w:r>
        <w:rPr>
          <w:rFonts w:ascii="宋体" w:hAnsi="宋体"/>
          <w:highlight w:val="none"/>
        </w:rPr>
        <w:t>）提供虚假的信用状况；</w:t>
      </w:r>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highlight w:val="none"/>
        </w:rPr>
        <w:t>（</w:t>
      </w:r>
      <w:r>
        <w:rPr>
          <w:rFonts w:hint="eastAsia" w:ascii="宋体" w:hAnsi="宋体"/>
          <w:highlight w:val="none"/>
        </w:rPr>
        <w:t>5</w:t>
      </w:r>
      <w:r>
        <w:rPr>
          <w:rFonts w:ascii="宋体" w:hAnsi="宋体"/>
          <w:highlight w:val="none"/>
        </w:rPr>
        <w:t>）其他弄虚作假的行为。</w:t>
      </w:r>
    </w:p>
    <w:p>
      <w:pPr>
        <w:pStyle w:val="5"/>
        <w:snapToGrid w:val="0"/>
        <w:spacing w:before="0" w:after="0" w:line="360" w:lineRule="auto"/>
        <w:rPr>
          <w:rFonts w:ascii="宋体" w:hAnsi="宋体"/>
          <w:b w:val="0"/>
          <w:snapToGrid w:val="0"/>
          <w:sz w:val="24"/>
          <w:szCs w:val="24"/>
          <w:highlight w:val="none"/>
        </w:rPr>
      </w:pPr>
      <w:bookmarkStart w:id="947" w:name="_Toc1818"/>
      <w:bookmarkStart w:id="948" w:name="_Toc287607795"/>
      <w:bookmarkStart w:id="949" w:name="_Toc8841"/>
      <w:bookmarkStart w:id="950" w:name="_Toc277082601"/>
      <w:bookmarkStart w:id="951" w:name="_Toc15643"/>
      <w:bookmarkStart w:id="952" w:name="_Toc224103366"/>
      <w:bookmarkStart w:id="953" w:name="_Toc430530484"/>
      <w:bookmarkStart w:id="954" w:name="_Toc287620734"/>
      <w:bookmarkStart w:id="955" w:name="_Toc200513175"/>
      <w:bookmarkStart w:id="956" w:name="_Toc75857042"/>
      <w:bookmarkStart w:id="957" w:name="_Toc24546"/>
      <w:bookmarkStart w:id="958" w:name="_Toc509218759"/>
      <w:bookmarkStart w:id="959" w:name="_Toc2587"/>
      <w:r>
        <w:rPr>
          <w:rFonts w:ascii="宋体" w:hAnsi="宋体"/>
          <w:b w:val="0"/>
          <w:snapToGrid w:val="0"/>
          <w:sz w:val="24"/>
          <w:szCs w:val="24"/>
          <w:highlight w:val="none"/>
        </w:rPr>
        <w:t>9.3  对评标委员会成员的纪律要求</w:t>
      </w:r>
      <w:bookmarkEnd w:id="947"/>
      <w:bookmarkEnd w:id="948"/>
      <w:bookmarkEnd w:id="949"/>
      <w:bookmarkEnd w:id="950"/>
      <w:bookmarkEnd w:id="951"/>
      <w:bookmarkEnd w:id="952"/>
      <w:bookmarkEnd w:id="953"/>
      <w:bookmarkEnd w:id="954"/>
      <w:bookmarkEnd w:id="955"/>
      <w:bookmarkEnd w:id="956"/>
      <w:bookmarkEnd w:id="957"/>
      <w:bookmarkEnd w:id="958"/>
      <w:bookmarkEnd w:id="959"/>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r>
        <w:rPr>
          <w:rFonts w:hint="eastAsia" w:ascii="宋体" w:hAnsi="宋体"/>
          <w:snapToGrid w:val="0"/>
          <w:kern w:val="0"/>
          <w:szCs w:val="21"/>
          <w:highlight w:val="none"/>
        </w:rPr>
        <w:t>，不得对招标文件中《否决投标情况一览表》以外的内容予以否决投标，否则对评标委员会成员按《重庆市综合评标专家库和评标专家管理暂行办法》进行处理。</w:t>
      </w:r>
    </w:p>
    <w:p>
      <w:pPr>
        <w:pStyle w:val="5"/>
        <w:snapToGrid w:val="0"/>
        <w:spacing w:before="0" w:after="0" w:line="360" w:lineRule="auto"/>
        <w:rPr>
          <w:rFonts w:ascii="宋体" w:hAnsi="宋体"/>
          <w:b w:val="0"/>
          <w:snapToGrid w:val="0"/>
          <w:sz w:val="24"/>
          <w:szCs w:val="24"/>
          <w:highlight w:val="none"/>
        </w:rPr>
      </w:pPr>
      <w:bookmarkStart w:id="960" w:name="_Toc11468"/>
      <w:bookmarkStart w:id="961" w:name="_Toc277082602"/>
      <w:bookmarkStart w:id="962" w:name="_Toc224103367"/>
      <w:bookmarkStart w:id="963" w:name="_Toc509218760"/>
      <w:bookmarkStart w:id="964" w:name="_Toc287620735"/>
      <w:bookmarkStart w:id="965" w:name="_Toc27854"/>
      <w:bookmarkStart w:id="966" w:name="_Toc30760"/>
      <w:bookmarkStart w:id="967" w:name="_Toc75857043"/>
      <w:bookmarkStart w:id="968" w:name="_Toc200513176"/>
      <w:bookmarkStart w:id="969" w:name="_Toc14571"/>
      <w:bookmarkStart w:id="970" w:name="_Toc27827"/>
      <w:bookmarkStart w:id="971" w:name="_Toc287607796"/>
      <w:bookmarkStart w:id="972" w:name="_Toc430530485"/>
      <w:r>
        <w:rPr>
          <w:rFonts w:ascii="宋体" w:hAnsi="宋体"/>
          <w:b w:val="0"/>
          <w:snapToGrid w:val="0"/>
          <w:sz w:val="24"/>
          <w:szCs w:val="24"/>
          <w:highlight w:val="none"/>
        </w:rPr>
        <w:t>9.4  对与评标活动有关的工作人员的纪律要求</w:t>
      </w:r>
      <w:bookmarkEnd w:id="960"/>
      <w:bookmarkEnd w:id="961"/>
      <w:bookmarkEnd w:id="962"/>
      <w:bookmarkEnd w:id="963"/>
      <w:bookmarkEnd w:id="964"/>
      <w:bookmarkEnd w:id="965"/>
      <w:bookmarkEnd w:id="966"/>
      <w:bookmarkEnd w:id="967"/>
      <w:bookmarkEnd w:id="968"/>
      <w:bookmarkEnd w:id="969"/>
      <w:bookmarkEnd w:id="970"/>
      <w:bookmarkEnd w:id="971"/>
      <w:bookmarkEnd w:id="972"/>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p>
    <w:p>
      <w:pPr>
        <w:pStyle w:val="5"/>
        <w:snapToGrid w:val="0"/>
        <w:spacing w:before="0" w:after="0" w:line="360" w:lineRule="auto"/>
        <w:rPr>
          <w:rFonts w:ascii="宋体" w:hAnsi="宋体"/>
          <w:b w:val="0"/>
          <w:snapToGrid w:val="0"/>
          <w:sz w:val="24"/>
          <w:szCs w:val="24"/>
          <w:highlight w:val="none"/>
        </w:rPr>
      </w:pPr>
      <w:bookmarkStart w:id="973" w:name="_Toc75857044"/>
      <w:bookmarkStart w:id="974" w:name="_Toc15426"/>
      <w:bookmarkStart w:id="975" w:name="_Toc430530486"/>
      <w:bookmarkStart w:id="976" w:name="_Toc10809"/>
      <w:bookmarkStart w:id="977" w:name="_Toc287607797"/>
      <w:bookmarkStart w:id="978" w:name="_Toc277082603"/>
      <w:bookmarkStart w:id="979" w:name="_Toc224103368"/>
      <w:bookmarkStart w:id="980" w:name="_Toc750"/>
      <w:bookmarkStart w:id="981" w:name="_Toc2462"/>
      <w:bookmarkStart w:id="982" w:name="_Toc509218761"/>
      <w:bookmarkStart w:id="983" w:name="_Toc287620736"/>
      <w:bookmarkStart w:id="984" w:name="_Toc10626"/>
      <w:bookmarkStart w:id="985" w:name="_Toc200513177"/>
      <w:r>
        <w:rPr>
          <w:rFonts w:ascii="宋体" w:hAnsi="宋体"/>
          <w:b w:val="0"/>
          <w:snapToGrid w:val="0"/>
          <w:sz w:val="24"/>
          <w:szCs w:val="24"/>
          <w:highlight w:val="none"/>
        </w:rPr>
        <w:t>9.5  投诉</w:t>
      </w:r>
      <w:bookmarkEnd w:id="973"/>
      <w:bookmarkEnd w:id="974"/>
      <w:bookmarkEnd w:id="975"/>
      <w:bookmarkEnd w:id="976"/>
      <w:bookmarkEnd w:id="977"/>
      <w:bookmarkEnd w:id="978"/>
      <w:bookmarkEnd w:id="979"/>
      <w:bookmarkEnd w:id="980"/>
      <w:bookmarkEnd w:id="981"/>
      <w:bookmarkEnd w:id="982"/>
      <w:bookmarkEnd w:id="983"/>
      <w:bookmarkEnd w:id="984"/>
      <w:bookmarkEnd w:id="985"/>
    </w:p>
    <w:p>
      <w:pPr>
        <w:autoSpaceDE w:val="0"/>
        <w:autoSpaceDN w:val="0"/>
        <w:adjustRightInd w:val="0"/>
        <w:snapToGrid w:val="0"/>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投标人和其他利害关系人认为本次招标活动违反法律、法规和规章规定的，有权向有关行政监督部门投诉。</w:t>
      </w:r>
    </w:p>
    <w:p>
      <w:pPr>
        <w:pStyle w:val="4"/>
        <w:spacing w:before="0" w:after="0" w:line="360" w:lineRule="auto"/>
        <w:rPr>
          <w:rFonts w:ascii="宋体" w:hAnsi="宋体"/>
          <w:b w:val="0"/>
          <w:snapToGrid w:val="0"/>
          <w:highlight w:val="none"/>
        </w:rPr>
      </w:pPr>
      <w:bookmarkStart w:id="986" w:name="_Toc9970"/>
      <w:bookmarkStart w:id="987" w:name="_Toc287620737"/>
      <w:bookmarkStart w:id="988" w:name="_Toc28953"/>
      <w:bookmarkStart w:id="989" w:name="_Toc277082604"/>
      <w:bookmarkStart w:id="990" w:name="_Toc287607798"/>
      <w:bookmarkStart w:id="991" w:name="_Toc200513178"/>
      <w:bookmarkStart w:id="992" w:name="_Toc30036"/>
      <w:bookmarkStart w:id="993" w:name="_Toc224103369"/>
      <w:bookmarkStart w:id="994" w:name="_Toc509218762"/>
      <w:bookmarkStart w:id="995" w:name="_Toc430530487"/>
      <w:bookmarkStart w:id="996" w:name="_Toc30298"/>
      <w:bookmarkStart w:id="997" w:name="_Toc8195"/>
      <w:bookmarkStart w:id="998" w:name="_Toc75857045"/>
      <w:r>
        <w:rPr>
          <w:rFonts w:ascii="宋体" w:hAnsi="宋体"/>
          <w:b w:val="0"/>
          <w:snapToGrid w:val="0"/>
          <w:highlight w:val="none"/>
        </w:rPr>
        <w:t>10. 需要补充的其他内容</w:t>
      </w:r>
      <w:bookmarkEnd w:id="986"/>
      <w:bookmarkEnd w:id="987"/>
      <w:bookmarkEnd w:id="988"/>
      <w:bookmarkEnd w:id="989"/>
      <w:bookmarkEnd w:id="990"/>
      <w:bookmarkEnd w:id="991"/>
      <w:bookmarkEnd w:id="992"/>
      <w:bookmarkEnd w:id="993"/>
      <w:bookmarkEnd w:id="994"/>
      <w:bookmarkEnd w:id="995"/>
      <w:bookmarkEnd w:id="996"/>
      <w:bookmarkEnd w:id="997"/>
      <w:bookmarkEnd w:id="998"/>
    </w:p>
    <w:p>
      <w:pPr>
        <w:autoSpaceDE w:val="0"/>
        <w:autoSpaceDN w:val="0"/>
        <w:adjustRightInd w:val="0"/>
        <w:snapToGrid w:val="0"/>
        <w:spacing w:line="360" w:lineRule="auto"/>
        <w:ind w:firstLine="420" w:firstLineChars="200"/>
        <w:rPr>
          <w:rFonts w:ascii="宋体" w:hAnsi="宋体"/>
          <w:snapToGrid w:val="0"/>
          <w:kern w:val="0"/>
          <w:szCs w:val="21"/>
          <w:highlight w:val="none"/>
        </w:rPr>
        <w:sectPr>
          <w:footerReference r:id="rId9" w:type="default"/>
          <w:footerReference r:id="rId10" w:type="even"/>
          <w:pgSz w:w="11906" w:h="16838"/>
          <w:pgMar w:top="1304" w:right="1134" w:bottom="1304" w:left="1304" w:header="851" w:footer="992" w:gutter="0"/>
          <w:pgNumType w:start="1"/>
          <w:cols w:space="720" w:num="1"/>
          <w:docGrid w:type="lines" w:linePitch="312" w:charSpace="0"/>
        </w:sectPr>
      </w:pPr>
      <w:r>
        <w:rPr>
          <w:rFonts w:ascii="宋体" w:hAnsi="宋体"/>
          <w:snapToGrid w:val="0"/>
          <w:kern w:val="0"/>
          <w:szCs w:val="21"/>
          <w:highlight w:val="none"/>
        </w:rPr>
        <w:t>需要补充的其他内容：见投标人须知前附表。</w:t>
      </w:r>
    </w:p>
    <w:p>
      <w:pPr>
        <w:autoSpaceDE w:val="0"/>
        <w:autoSpaceDN w:val="0"/>
        <w:adjustRightInd w:val="0"/>
        <w:snapToGrid w:val="0"/>
        <w:spacing w:line="360" w:lineRule="auto"/>
        <w:ind w:firstLine="420" w:firstLineChars="200"/>
        <w:rPr>
          <w:rFonts w:ascii="宋体" w:hAnsi="宋体"/>
          <w:snapToGrid w:val="0"/>
          <w:kern w:val="0"/>
          <w:szCs w:val="21"/>
          <w:highlight w:val="none"/>
        </w:rPr>
      </w:pPr>
    </w:p>
    <w:p>
      <w:pPr>
        <w:autoSpaceDE w:val="0"/>
        <w:autoSpaceDN w:val="0"/>
        <w:adjustRightInd w:val="0"/>
        <w:snapToGrid w:val="0"/>
        <w:spacing w:line="360" w:lineRule="auto"/>
        <w:jc w:val="left"/>
        <w:rPr>
          <w:rFonts w:ascii="宋体" w:hAnsi="宋体"/>
          <w:b/>
          <w:snapToGrid w:val="0"/>
          <w:kern w:val="0"/>
          <w:highlight w:val="none"/>
        </w:rPr>
      </w:pPr>
      <w:r>
        <w:rPr>
          <w:rFonts w:ascii="宋体" w:hAnsi="宋体"/>
          <w:b/>
          <w:snapToGrid w:val="0"/>
          <w:kern w:val="0"/>
          <w:highlight w:val="none"/>
        </w:rPr>
        <w:t>附表一：开标记录表</w:t>
      </w:r>
    </w:p>
    <w:p>
      <w:pPr>
        <w:autoSpaceDE w:val="0"/>
        <w:autoSpaceDN w:val="0"/>
        <w:adjustRightInd w:val="0"/>
        <w:snapToGrid w:val="0"/>
        <w:spacing w:line="360" w:lineRule="auto"/>
        <w:jc w:val="left"/>
        <w:rPr>
          <w:rFonts w:ascii="宋体" w:hAnsi="宋体"/>
          <w:b/>
          <w:snapToGrid w:val="0"/>
          <w:kern w:val="0"/>
          <w:highlight w:val="none"/>
        </w:rPr>
      </w:pPr>
    </w:p>
    <w:p>
      <w:pPr>
        <w:tabs>
          <w:tab w:val="left" w:pos="3529"/>
          <w:tab w:val="left" w:pos="5060"/>
        </w:tabs>
        <w:autoSpaceDE w:val="0"/>
        <w:autoSpaceDN w:val="0"/>
        <w:adjustRightInd w:val="0"/>
        <w:snapToGrid w:val="0"/>
        <w:spacing w:line="360" w:lineRule="auto"/>
        <w:ind w:firstLine="3324" w:firstLineChars="600"/>
        <w:jc w:val="left"/>
        <w:rPr>
          <w:rFonts w:ascii="宋体" w:hAnsi="宋体"/>
          <w:b/>
          <w:snapToGrid w:val="0"/>
          <w:kern w:val="0"/>
          <w:sz w:val="28"/>
          <w:szCs w:val="28"/>
          <w:highlight w:val="none"/>
        </w:rPr>
      </w:pPr>
      <w:r>
        <w:rPr>
          <w:rFonts w:hint="eastAsia" w:ascii="宋体" w:hAnsi="宋体" w:cs="MingLiU"/>
          <w:snapToGrid w:val="0"/>
          <w:w w:val="198"/>
          <w:kern w:val="0"/>
          <w:sz w:val="28"/>
          <w:szCs w:val="28"/>
          <w:highlight w:val="none"/>
          <w:u w:val="single"/>
        </w:rPr>
        <w:t xml:space="preserve">              </w:t>
      </w:r>
      <w:r>
        <w:rPr>
          <w:rFonts w:hint="eastAsia" w:ascii="宋体" w:hAnsi="宋体"/>
          <w:snapToGrid w:val="0"/>
          <w:kern w:val="0"/>
          <w:sz w:val="28"/>
          <w:szCs w:val="28"/>
          <w:highlight w:val="none"/>
          <w:u w:val="single"/>
        </w:rPr>
        <w:t xml:space="preserve"> </w:t>
      </w:r>
      <w:r>
        <w:rPr>
          <w:rFonts w:ascii="宋体" w:hAnsi="宋体"/>
          <w:b/>
          <w:snapToGrid w:val="0"/>
          <w:w w:val="99"/>
          <w:kern w:val="0"/>
          <w:sz w:val="28"/>
          <w:szCs w:val="28"/>
          <w:highlight w:val="none"/>
          <w:u w:val="single"/>
        </w:rPr>
        <w:t>（项目名称）</w:t>
      </w:r>
      <w:r>
        <w:rPr>
          <w:rFonts w:ascii="宋体" w:hAnsi="宋体"/>
          <w:b/>
          <w:snapToGrid w:val="0"/>
          <w:w w:val="99"/>
          <w:kern w:val="0"/>
          <w:sz w:val="28"/>
          <w:szCs w:val="28"/>
          <w:highlight w:val="none"/>
        </w:rPr>
        <w:t>开标记录表</w:t>
      </w:r>
    </w:p>
    <w:p>
      <w:pPr>
        <w:tabs>
          <w:tab w:val="left" w:pos="2260"/>
          <w:tab w:val="left" w:pos="5060"/>
        </w:tabs>
        <w:autoSpaceDE w:val="0"/>
        <w:autoSpaceDN w:val="0"/>
        <w:adjustRightInd w:val="0"/>
        <w:snapToGrid w:val="0"/>
        <w:spacing w:line="360" w:lineRule="auto"/>
        <w:jc w:val="right"/>
        <w:rPr>
          <w:rFonts w:ascii="宋体" w:hAnsi="宋体"/>
          <w:snapToGrid w:val="0"/>
          <w:kern w:val="0"/>
          <w:szCs w:val="21"/>
          <w:highlight w:val="none"/>
        </w:rPr>
      </w:pPr>
      <w:r>
        <w:rPr>
          <w:rFonts w:ascii="宋体" w:hAnsi="宋体"/>
          <w:b/>
          <w:snapToGrid w:val="0"/>
          <w:kern w:val="0"/>
          <w:sz w:val="28"/>
          <w:szCs w:val="28"/>
          <w:highlight w:val="none"/>
        </w:rPr>
        <w:t xml:space="preserve">                             </w:t>
      </w:r>
      <w:r>
        <w:rPr>
          <w:rFonts w:ascii="宋体" w:hAnsi="宋体"/>
          <w:snapToGrid w:val="0"/>
          <w:kern w:val="0"/>
          <w:szCs w:val="21"/>
          <w:highlight w:val="none"/>
        </w:rPr>
        <w:t>开标时间：</w:t>
      </w:r>
      <w:r>
        <w:rPr>
          <w:rFonts w:hint="eastAsia" w:ascii="宋体" w:hAnsi="宋体" w:cs="MingLiU"/>
          <w:snapToGrid w:val="0"/>
          <w:w w:val="200"/>
          <w:kern w:val="0"/>
          <w:szCs w:val="21"/>
          <w:highlight w:val="none"/>
          <w:u w:val="single"/>
        </w:rPr>
        <w:t xml:space="preserve">     </w:t>
      </w:r>
      <w:r>
        <w:rPr>
          <w:rFonts w:hint="eastAsia" w:ascii="宋体" w:hAnsi="宋体" w:cs="MingLiU"/>
          <w:snapToGrid w:val="0"/>
          <w:kern w:val="0"/>
          <w:szCs w:val="21"/>
          <w:highlight w:val="none"/>
        </w:rPr>
        <w:t>年</w:t>
      </w:r>
      <w:r>
        <w:rPr>
          <w:rFonts w:hint="eastAsia" w:ascii="宋体" w:hAnsi="宋体"/>
          <w:snapToGrid w:val="0"/>
          <w:kern w:val="0"/>
          <w:szCs w:val="21"/>
          <w:highlight w:val="none"/>
          <w:u w:val="single"/>
        </w:rPr>
        <w:t xml:space="preserve">     </w:t>
      </w:r>
      <w:r>
        <w:rPr>
          <w:rFonts w:hint="eastAsia" w:ascii="宋体" w:hAnsi="宋体" w:cs="MingLiU"/>
          <w:snapToGrid w:val="0"/>
          <w:kern w:val="0"/>
          <w:szCs w:val="21"/>
          <w:highlight w:val="none"/>
        </w:rPr>
        <w:t>月</w:t>
      </w:r>
      <w:r>
        <w:rPr>
          <w:rFonts w:hint="eastAsia" w:ascii="宋体" w:hAnsi="宋体"/>
          <w:snapToGrid w:val="0"/>
          <w:kern w:val="0"/>
          <w:szCs w:val="21"/>
          <w:highlight w:val="none"/>
          <w:u w:val="single"/>
        </w:rPr>
        <w:t xml:space="preserve">     </w:t>
      </w:r>
      <w:r>
        <w:rPr>
          <w:rFonts w:hint="eastAsia" w:ascii="宋体" w:hAnsi="宋体" w:cs="MingLiU"/>
          <w:snapToGrid w:val="0"/>
          <w:kern w:val="0"/>
          <w:szCs w:val="21"/>
          <w:highlight w:val="none"/>
        </w:rPr>
        <w:t>日</w:t>
      </w:r>
      <w:r>
        <w:rPr>
          <w:rFonts w:hint="eastAsia" w:ascii="宋体" w:hAnsi="宋体"/>
          <w:snapToGrid w:val="0"/>
          <w:kern w:val="0"/>
          <w:szCs w:val="21"/>
          <w:highlight w:val="none"/>
          <w:u w:val="single"/>
        </w:rPr>
        <w:t xml:space="preserve">     </w:t>
      </w:r>
      <w:r>
        <w:rPr>
          <w:rFonts w:hint="eastAsia" w:ascii="宋体" w:hAnsi="宋体" w:cs="MingLiU"/>
          <w:snapToGrid w:val="0"/>
          <w:kern w:val="0"/>
          <w:szCs w:val="21"/>
          <w:highlight w:val="none"/>
        </w:rPr>
        <w:t>时</w:t>
      </w:r>
      <w:r>
        <w:rPr>
          <w:rFonts w:hint="eastAsia" w:ascii="宋体" w:hAnsi="宋体"/>
          <w:snapToGrid w:val="0"/>
          <w:kern w:val="0"/>
          <w:szCs w:val="21"/>
          <w:highlight w:val="none"/>
          <w:u w:val="single"/>
        </w:rPr>
        <w:t xml:space="preserve">     </w:t>
      </w:r>
      <w:r>
        <w:rPr>
          <w:rFonts w:hint="eastAsia" w:ascii="宋体" w:hAnsi="宋体" w:cs="MingLiU"/>
          <w:snapToGrid w:val="0"/>
          <w:kern w:val="0"/>
          <w:szCs w:val="21"/>
          <w:highlight w:val="none"/>
        </w:rPr>
        <w:t>分</w:t>
      </w:r>
    </w:p>
    <w:tbl>
      <w:tblPr>
        <w:tblStyle w:val="55"/>
        <w:tblW w:w="13757"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433"/>
        <w:gridCol w:w="3260"/>
        <w:gridCol w:w="1134"/>
        <w:gridCol w:w="1559"/>
        <w:gridCol w:w="1560"/>
        <w:gridCol w:w="1275"/>
        <w:gridCol w:w="993"/>
        <w:gridCol w:w="1285"/>
        <w:gridCol w:w="947"/>
        <w:gridCol w:w="131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851" w:hRule="exact"/>
          <w:jc w:val="center"/>
        </w:trPr>
        <w:tc>
          <w:tcPr>
            <w:tcW w:w="433" w:type="dxa"/>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序号</w:t>
            </w:r>
          </w:p>
        </w:tc>
        <w:tc>
          <w:tcPr>
            <w:tcW w:w="3260" w:type="dxa"/>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投标人</w:t>
            </w:r>
          </w:p>
        </w:tc>
        <w:tc>
          <w:tcPr>
            <w:tcW w:w="1134" w:type="dxa"/>
            <w:vAlign w:val="center"/>
          </w:tcPr>
          <w:p>
            <w:pPr>
              <w:autoSpaceDE w:val="0"/>
              <w:autoSpaceDN w:val="0"/>
              <w:adjustRightInd w:val="0"/>
              <w:snapToGrid w:val="0"/>
              <w:jc w:val="center"/>
              <w:rPr>
                <w:rFonts w:ascii="宋体" w:hAnsi="宋体"/>
                <w:snapToGrid w:val="0"/>
                <w:kern w:val="0"/>
                <w:szCs w:val="21"/>
                <w:highlight w:val="none"/>
              </w:rPr>
            </w:pPr>
            <w:r>
              <w:rPr>
                <w:rFonts w:hint="eastAsia" w:ascii="宋体" w:hAnsi="宋体"/>
                <w:snapToGrid w:val="0"/>
                <w:kern w:val="0"/>
                <w:szCs w:val="21"/>
                <w:highlight w:val="none"/>
              </w:rPr>
              <w:t>解密情况</w:t>
            </w:r>
          </w:p>
        </w:tc>
        <w:tc>
          <w:tcPr>
            <w:tcW w:w="1559" w:type="dxa"/>
            <w:tcBorders>
              <w:right w:val="single" w:color="auto" w:sz="4" w:space="0"/>
            </w:tcBorders>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投标总报价</w:t>
            </w:r>
          </w:p>
        </w:tc>
        <w:tc>
          <w:tcPr>
            <w:tcW w:w="1560" w:type="dxa"/>
            <w:tcBorders>
              <w:left w:val="single" w:color="auto" w:sz="4" w:space="0"/>
            </w:tcBorders>
            <w:vAlign w:val="center"/>
          </w:tcPr>
          <w:p>
            <w:pPr>
              <w:autoSpaceDE w:val="0"/>
              <w:autoSpaceDN w:val="0"/>
              <w:adjustRightInd w:val="0"/>
              <w:snapToGrid w:val="0"/>
              <w:jc w:val="center"/>
              <w:rPr>
                <w:rFonts w:ascii="宋体" w:hAnsi="宋体"/>
                <w:snapToGrid w:val="0"/>
                <w:kern w:val="0"/>
                <w:szCs w:val="21"/>
                <w:highlight w:val="none"/>
              </w:rPr>
            </w:pPr>
            <w:r>
              <w:rPr>
                <w:rFonts w:hint="eastAsia" w:ascii="宋体" w:hAnsi="宋体"/>
                <w:snapToGrid w:val="0"/>
                <w:kern w:val="0"/>
                <w:szCs w:val="21"/>
                <w:highlight w:val="none"/>
              </w:rPr>
              <w:t>□</w:t>
            </w:r>
            <w:r>
              <w:rPr>
                <w:rFonts w:ascii="宋体" w:hAnsi="宋体"/>
                <w:snapToGrid w:val="0"/>
                <w:kern w:val="0"/>
                <w:szCs w:val="21"/>
                <w:highlight w:val="none"/>
              </w:rPr>
              <w:t>勘察固定单价</w:t>
            </w:r>
            <w:r>
              <w:rPr>
                <w:rFonts w:hint="eastAsia" w:ascii="宋体" w:hAnsi="宋体"/>
                <w:snapToGrid w:val="0"/>
                <w:kern w:val="0"/>
                <w:szCs w:val="21"/>
                <w:highlight w:val="none"/>
              </w:rPr>
              <w:t>/□固定费率</w:t>
            </w:r>
          </w:p>
        </w:tc>
        <w:tc>
          <w:tcPr>
            <w:tcW w:w="1275" w:type="dxa"/>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质量目标</w:t>
            </w:r>
          </w:p>
        </w:tc>
        <w:tc>
          <w:tcPr>
            <w:tcW w:w="993" w:type="dxa"/>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勘察服务期限</w:t>
            </w:r>
          </w:p>
        </w:tc>
        <w:tc>
          <w:tcPr>
            <w:tcW w:w="1285" w:type="dxa"/>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项目负责人</w:t>
            </w:r>
          </w:p>
        </w:tc>
        <w:tc>
          <w:tcPr>
            <w:tcW w:w="947" w:type="dxa"/>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备注</w:t>
            </w:r>
          </w:p>
        </w:tc>
        <w:tc>
          <w:tcPr>
            <w:tcW w:w="1311" w:type="dxa"/>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签名</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3260"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134"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559"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560"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27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9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28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47"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311" w:type="dxa"/>
            <w:vAlign w:val="center"/>
          </w:tcPr>
          <w:p>
            <w:pPr>
              <w:autoSpaceDE w:val="0"/>
              <w:autoSpaceDN w:val="0"/>
              <w:adjustRightInd w:val="0"/>
              <w:snapToGrid w:val="0"/>
              <w:jc w:val="left"/>
              <w:rPr>
                <w:rFonts w:ascii="宋体" w:hAnsi="宋体"/>
                <w:snapToGrid w:val="0"/>
                <w:kern w:val="0"/>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3260"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134"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559"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560"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27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9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28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47"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311" w:type="dxa"/>
            <w:vAlign w:val="center"/>
          </w:tcPr>
          <w:p>
            <w:pPr>
              <w:autoSpaceDE w:val="0"/>
              <w:autoSpaceDN w:val="0"/>
              <w:adjustRightInd w:val="0"/>
              <w:snapToGrid w:val="0"/>
              <w:jc w:val="left"/>
              <w:rPr>
                <w:rFonts w:ascii="宋体" w:hAnsi="宋体"/>
                <w:snapToGrid w:val="0"/>
                <w:kern w:val="0"/>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3260"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134"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559"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560"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27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9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28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47"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311" w:type="dxa"/>
            <w:vAlign w:val="center"/>
          </w:tcPr>
          <w:p>
            <w:pPr>
              <w:autoSpaceDE w:val="0"/>
              <w:autoSpaceDN w:val="0"/>
              <w:adjustRightInd w:val="0"/>
              <w:snapToGrid w:val="0"/>
              <w:jc w:val="left"/>
              <w:rPr>
                <w:rFonts w:ascii="宋体" w:hAnsi="宋体"/>
                <w:snapToGrid w:val="0"/>
                <w:kern w:val="0"/>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3260"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134"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559"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560"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27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9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28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47"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311" w:type="dxa"/>
            <w:vAlign w:val="center"/>
          </w:tcPr>
          <w:p>
            <w:pPr>
              <w:autoSpaceDE w:val="0"/>
              <w:autoSpaceDN w:val="0"/>
              <w:adjustRightInd w:val="0"/>
              <w:snapToGrid w:val="0"/>
              <w:jc w:val="left"/>
              <w:rPr>
                <w:rFonts w:ascii="宋体" w:hAnsi="宋体"/>
                <w:snapToGrid w:val="0"/>
                <w:kern w:val="0"/>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3260"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134"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559"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560"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27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9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28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47"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311" w:type="dxa"/>
            <w:vAlign w:val="center"/>
          </w:tcPr>
          <w:p>
            <w:pPr>
              <w:autoSpaceDE w:val="0"/>
              <w:autoSpaceDN w:val="0"/>
              <w:adjustRightInd w:val="0"/>
              <w:snapToGrid w:val="0"/>
              <w:jc w:val="left"/>
              <w:rPr>
                <w:rFonts w:ascii="宋体" w:hAnsi="宋体"/>
                <w:snapToGrid w:val="0"/>
                <w:kern w:val="0"/>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3260"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134"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559"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560"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highlight w:val="none"/>
              </w:rPr>
            </w:pPr>
          </w:p>
        </w:tc>
        <w:tc>
          <w:tcPr>
            <w:tcW w:w="127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93"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285"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947" w:type="dxa"/>
            <w:vAlign w:val="center"/>
          </w:tcPr>
          <w:p>
            <w:pPr>
              <w:autoSpaceDE w:val="0"/>
              <w:autoSpaceDN w:val="0"/>
              <w:adjustRightInd w:val="0"/>
              <w:snapToGrid w:val="0"/>
              <w:jc w:val="left"/>
              <w:rPr>
                <w:rFonts w:ascii="宋体" w:hAnsi="宋体"/>
                <w:snapToGrid w:val="0"/>
                <w:kern w:val="0"/>
                <w:sz w:val="28"/>
                <w:szCs w:val="28"/>
                <w:highlight w:val="none"/>
              </w:rPr>
            </w:pPr>
          </w:p>
        </w:tc>
        <w:tc>
          <w:tcPr>
            <w:tcW w:w="1311" w:type="dxa"/>
            <w:vAlign w:val="center"/>
          </w:tcPr>
          <w:p>
            <w:pPr>
              <w:autoSpaceDE w:val="0"/>
              <w:autoSpaceDN w:val="0"/>
              <w:adjustRightInd w:val="0"/>
              <w:snapToGrid w:val="0"/>
              <w:jc w:val="left"/>
              <w:rPr>
                <w:rFonts w:ascii="宋体" w:hAnsi="宋体"/>
                <w:snapToGrid w:val="0"/>
                <w:kern w:val="0"/>
                <w:sz w:val="28"/>
                <w:szCs w:val="28"/>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47" w:hRule="exact"/>
          <w:jc w:val="center"/>
        </w:trPr>
        <w:tc>
          <w:tcPr>
            <w:tcW w:w="3693" w:type="dxa"/>
            <w:gridSpan w:val="2"/>
            <w:tcBorders>
              <w:bottom w:val="single" w:color="auto" w:sz="4" w:space="0"/>
            </w:tcBorders>
            <w:vAlign w:val="center"/>
          </w:tcPr>
          <w:p>
            <w:pPr>
              <w:autoSpaceDE w:val="0"/>
              <w:autoSpaceDN w:val="0"/>
              <w:adjustRightInd w:val="0"/>
              <w:snapToGrid w:val="0"/>
              <w:jc w:val="center"/>
              <w:rPr>
                <w:rFonts w:ascii="宋体" w:hAnsi="宋体"/>
                <w:snapToGrid w:val="0"/>
                <w:kern w:val="0"/>
                <w:szCs w:val="21"/>
                <w:highlight w:val="none"/>
              </w:rPr>
            </w:pPr>
            <w:r>
              <w:rPr>
                <w:rFonts w:ascii="宋体" w:hAnsi="宋体"/>
                <w:snapToGrid w:val="0"/>
                <w:kern w:val="0"/>
                <w:szCs w:val="21"/>
                <w:highlight w:val="none"/>
              </w:rPr>
              <w:t>最高限价</w:t>
            </w:r>
          </w:p>
        </w:tc>
        <w:tc>
          <w:tcPr>
            <w:tcW w:w="10064" w:type="dxa"/>
            <w:gridSpan w:val="8"/>
            <w:tcBorders>
              <w:bottom w:val="single" w:color="auto" w:sz="4" w:space="0"/>
            </w:tcBorders>
            <w:vAlign w:val="center"/>
          </w:tcPr>
          <w:p>
            <w:pPr>
              <w:autoSpaceDE w:val="0"/>
              <w:autoSpaceDN w:val="0"/>
              <w:adjustRightInd w:val="0"/>
              <w:snapToGrid w:val="0"/>
              <w:jc w:val="left"/>
              <w:rPr>
                <w:rFonts w:ascii="宋体" w:hAnsi="宋体"/>
                <w:snapToGrid w:val="0"/>
                <w:kern w:val="0"/>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55" w:hRule="exact"/>
          <w:jc w:val="center"/>
        </w:trPr>
        <w:tc>
          <w:tcPr>
            <w:tcW w:w="3693" w:type="dxa"/>
            <w:gridSpan w:val="2"/>
            <w:tcBorders>
              <w:bottom w:val="single" w:color="auto" w:sz="4" w:space="0"/>
            </w:tcBorders>
            <w:vAlign w:val="center"/>
          </w:tcPr>
          <w:p>
            <w:pPr>
              <w:autoSpaceDE w:val="0"/>
              <w:autoSpaceDN w:val="0"/>
              <w:adjustRightInd w:val="0"/>
              <w:snapToGrid w:val="0"/>
              <w:jc w:val="center"/>
              <w:rPr>
                <w:rFonts w:ascii="宋体" w:hAnsi="宋体"/>
                <w:snapToGrid w:val="0"/>
                <w:kern w:val="0"/>
                <w:szCs w:val="21"/>
                <w:highlight w:val="none"/>
              </w:rPr>
            </w:pPr>
            <w:r>
              <w:rPr>
                <w:rFonts w:hint="eastAsia"/>
                <w:highlight w:val="none"/>
              </w:rPr>
              <w:t>最高限价的85%</w:t>
            </w:r>
          </w:p>
        </w:tc>
        <w:tc>
          <w:tcPr>
            <w:tcW w:w="10064" w:type="dxa"/>
            <w:gridSpan w:val="8"/>
            <w:tcBorders>
              <w:bottom w:val="single" w:color="auto" w:sz="4" w:space="0"/>
            </w:tcBorders>
            <w:vAlign w:val="center"/>
          </w:tcPr>
          <w:p>
            <w:pPr>
              <w:suppressLineNumbers w:val="0"/>
              <w:suppressAutoHyphens w:val="0"/>
              <w:autoSpaceDE w:val="0"/>
              <w:autoSpaceDN w:val="0"/>
              <w:adjustRightInd w:val="0"/>
              <w:snapToGrid w:val="0"/>
              <w:jc w:val="center"/>
              <w:rPr>
                <w:rFonts w:ascii="宋体" w:hAnsi="宋体"/>
                <w:snapToGrid w:val="0"/>
                <w:kern w:val="0"/>
                <w:szCs w:val="21"/>
                <w:highlight w:val="none"/>
              </w:rPr>
            </w:pPr>
            <w:r>
              <w:rPr>
                <w:rFonts w:hint="eastAsia"/>
                <w:i/>
                <w:iCs/>
                <w:highlight w:val="none"/>
              </w:rPr>
              <w:t>[提示：经评审的最低投标价法适用]</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Ex>
        <w:trPr>
          <w:trHeight w:val="526" w:hRule="exact"/>
          <w:jc w:val="center"/>
        </w:trPr>
        <w:tc>
          <w:tcPr>
            <w:tcW w:w="3693" w:type="dxa"/>
            <w:gridSpan w:val="2"/>
            <w:tcBorders>
              <w:top w:val="single" w:color="auto" w:sz="4" w:space="0"/>
            </w:tcBorders>
            <w:vAlign w:val="center"/>
          </w:tcPr>
          <w:p>
            <w:pPr>
              <w:autoSpaceDE w:val="0"/>
              <w:autoSpaceDN w:val="0"/>
              <w:adjustRightInd w:val="0"/>
              <w:snapToGrid w:val="0"/>
              <w:jc w:val="center"/>
              <w:rPr>
                <w:szCs w:val="21"/>
                <w:highlight w:val="none"/>
              </w:rPr>
            </w:pPr>
            <w:r>
              <w:rPr>
                <w:rFonts w:hint="eastAsia"/>
                <w:szCs w:val="21"/>
                <w:highlight w:val="none"/>
              </w:rPr>
              <w:t>异常情况</w:t>
            </w:r>
          </w:p>
        </w:tc>
        <w:tc>
          <w:tcPr>
            <w:tcW w:w="10064" w:type="dxa"/>
            <w:gridSpan w:val="8"/>
            <w:tcBorders>
              <w:top w:val="single" w:color="auto" w:sz="4" w:space="0"/>
            </w:tcBorders>
            <w:vAlign w:val="center"/>
          </w:tcPr>
          <w:p>
            <w:pPr>
              <w:autoSpaceDE w:val="0"/>
              <w:autoSpaceDN w:val="0"/>
              <w:adjustRightInd w:val="0"/>
              <w:snapToGrid w:val="0"/>
              <w:jc w:val="left"/>
              <w:rPr>
                <w:rFonts w:ascii="宋体" w:hAnsi="宋体"/>
                <w:i/>
                <w:kern w:val="0"/>
                <w:szCs w:val="21"/>
                <w:highlight w:val="none"/>
              </w:rPr>
            </w:pPr>
          </w:p>
        </w:tc>
      </w:tr>
    </w:tbl>
    <w:p>
      <w:pPr>
        <w:tabs>
          <w:tab w:val="left" w:pos="2740"/>
          <w:tab w:val="left" w:pos="4940"/>
          <w:tab w:val="left" w:pos="7140"/>
        </w:tabs>
        <w:autoSpaceDE w:val="0"/>
        <w:autoSpaceDN w:val="0"/>
        <w:adjustRightInd w:val="0"/>
        <w:snapToGrid w:val="0"/>
        <w:spacing w:line="360" w:lineRule="auto"/>
        <w:jc w:val="left"/>
        <w:rPr>
          <w:rFonts w:ascii="宋体" w:hAnsi="宋体"/>
          <w:snapToGrid w:val="0"/>
          <w:kern w:val="0"/>
          <w:szCs w:val="21"/>
          <w:highlight w:val="none"/>
        </w:rPr>
      </w:pPr>
    </w:p>
    <w:p>
      <w:pPr>
        <w:tabs>
          <w:tab w:val="left" w:pos="2740"/>
          <w:tab w:val="left" w:pos="4940"/>
          <w:tab w:val="left" w:pos="6930"/>
        </w:tabs>
        <w:autoSpaceDE w:val="0"/>
        <w:autoSpaceDN w:val="0"/>
        <w:adjustRightInd w:val="0"/>
        <w:snapToGrid w:val="0"/>
        <w:spacing w:line="360" w:lineRule="auto"/>
        <w:ind w:firstLine="420"/>
        <w:jc w:val="left"/>
        <w:rPr>
          <w:rFonts w:ascii="宋体" w:hAnsi="宋体"/>
          <w:snapToGrid w:val="0"/>
          <w:kern w:val="0"/>
          <w:szCs w:val="21"/>
          <w:highlight w:val="none"/>
        </w:rPr>
      </w:pPr>
      <w:r>
        <w:rPr>
          <w:rFonts w:ascii="宋体" w:hAnsi="宋体"/>
          <w:snapToGrid w:val="0"/>
          <w:kern w:val="0"/>
          <w:szCs w:val="21"/>
          <w:highlight w:val="none"/>
        </w:rPr>
        <w:t>招标人代表：</w:t>
      </w:r>
      <w:r>
        <w:rPr>
          <w:rFonts w:hint="eastAsia" w:ascii="宋体" w:hAnsi="宋体" w:cs="MingLiU"/>
          <w:snapToGrid w:val="0"/>
          <w:w w:val="200"/>
          <w:kern w:val="0"/>
          <w:szCs w:val="21"/>
          <w:highlight w:val="none"/>
          <w:u w:val="single"/>
        </w:rPr>
        <w:t xml:space="preserve">      </w:t>
      </w:r>
      <w:r>
        <w:rPr>
          <w:rFonts w:hint="eastAsia" w:ascii="宋体" w:hAnsi="宋体" w:cs="MingLiU"/>
          <w:snapToGrid w:val="0"/>
          <w:w w:val="200"/>
          <w:kern w:val="0"/>
          <w:szCs w:val="21"/>
          <w:highlight w:val="none"/>
        </w:rPr>
        <w:t xml:space="preserve">      </w:t>
      </w:r>
      <w:r>
        <w:rPr>
          <w:rFonts w:ascii="宋体" w:hAnsi="宋体"/>
          <w:snapToGrid w:val="0"/>
          <w:kern w:val="0"/>
          <w:szCs w:val="21"/>
          <w:highlight w:val="none"/>
        </w:rPr>
        <w:t>监标人：</w:t>
      </w:r>
      <w:r>
        <w:rPr>
          <w:rFonts w:hint="eastAsia" w:ascii="宋体" w:hAnsi="宋体" w:cs="MingLiU"/>
          <w:snapToGrid w:val="0"/>
          <w:w w:val="200"/>
          <w:kern w:val="0"/>
          <w:szCs w:val="21"/>
          <w:highlight w:val="none"/>
          <w:u w:val="single"/>
        </w:rPr>
        <w:t xml:space="preserve">      </w:t>
      </w:r>
      <w:r>
        <w:rPr>
          <w:rFonts w:hint="eastAsia" w:ascii="宋体" w:hAnsi="宋体" w:cs="MingLiU"/>
          <w:snapToGrid w:val="0"/>
          <w:w w:val="200"/>
          <w:kern w:val="0"/>
          <w:szCs w:val="21"/>
          <w:highlight w:val="none"/>
        </w:rPr>
        <w:t xml:space="preserve">      </w:t>
      </w:r>
      <w:r>
        <w:rPr>
          <w:rFonts w:hint="eastAsia" w:ascii="宋体" w:hAnsi="宋体"/>
          <w:snapToGrid w:val="0"/>
          <w:kern w:val="0"/>
          <w:szCs w:val="21"/>
          <w:highlight w:val="none"/>
        </w:rPr>
        <w:t>主持人</w:t>
      </w:r>
      <w:r>
        <w:rPr>
          <w:rFonts w:ascii="宋体" w:hAnsi="宋体"/>
          <w:snapToGrid w:val="0"/>
          <w:kern w:val="0"/>
          <w:szCs w:val="21"/>
          <w:highlight w:val="none"/>
        </w:rPr>
        <w:t>：</w:t>
      </w:r>
      <w:r>
        <w:rPr>
          <w:rFonts w:hint="eastAsia" w:ascii="宋体" w:hAnsi="宋体" w:cs="MingLiU"/>
          <w:snapToGrid w:val="0"/>
          <w:w w:val="200"/>
          <w:kern w:val="0"/>
          <w:szCs w:val="21"/>
          <w:highlight w:val="none"/>
          <w:u w:val="single"/>
        </w:rPr>
        <w:t xml:space="preserve">      </w:t>
      </w:r>
      <w:r>
        <w:rPr>
          <w:rFonts w:hint="eastAsia" w:ascii="宋体" w:hAnsi="宋体" w:cs="MingLiU"/>
          <w:snapToGrid w:val="0"/>
          <w:w w:val="200"/>
          <w:kern w:val="0"/>
          <w:szCs w:val="21"/>
          <w:highlight w:val="none"/>
        </w:rPr>
        <w:t xml:space="preserve">      </w:t>
      </w:r>
      <w:r>
        <w:rPr>
          <w:rFonts w:ascii="宋体" w:hAnsi="宋体"/>
          <w:snapToGrid w:val="0"/>
          <w:kern w:val="0"/>
          <w:szCs w:val="21"/>
          <w:highlight w:val="none"/>
        </w:rPr>
        <w:t>记录人：</w:t>
      </w:r>
      <w:r>
        <w:rPr>
          <w:rFonts w:hint="eastAsia" w:ascii="宋体" w:hAnsi="宋体" w:cs="MingLiU"/>
          <w:snapToGrid w:val="0"/>
          <w:w w:val="200"/>
          <w:kern w:val="0"/>
          <w:szCs w:val="21"/>
          <w:highlight w:val="none"/>
          <w:u w:val="single"/>
        </w:rPr>
        <w:t xml:space="preserve">      </w:t>
      </w:r>
    </w:p>
    <w:p>
      <w:pPr>
        <w:autoSpaceDE w:val="0"/>
        <w:autoSpaceDN w:val="0"/>
        <w:adjustRightInd w:val="0"/>
        <w:snapToGrid w:val="0"/>
        <w:spacing w:before="62" w:beforeLines="20" w:line="360" w:lineRule="auto"/>
        <w:jc w:val="right"/>
        <w:rPr>
          <w:rFonts w:ascii="宋体" w:hAnsi="宋体"/>
          <w:snapToGrid w:val="0"/>
          <w:kern w:val="0"/>
          <w:sz w:val="24"/>
          <w:highlight w:val="none"/>
        </w:rPr>
      </w:pPr>
      <w:r>
        <w:rPr>
          <w:rFonts w:ascii="宋体" w:hAnsi="宋体"/>
          <w:snapToGrid w:val="0"/>
          <w:kern w:val="0"/>
          <w:sz w:val="24"/>
          <w:highlight w:val="none"/>
        </w:rPr>
        <w:t xml:space="preserve">                                       </w:t>
      </w:r>
      <w:r>
        <w:rPr>
          <w:rFonts w:ascii="宋体" w:hAnsi="宋体"/>
          <w:snapToGrid w:val="0"/>
          <w:kern w:val="0"/>
          <w:sz w:val="24"/>
          <w:highlight w:val="none"/>
          <w:u w:val="single"/>
        </w:rPr>
        <w:t xml:space="preserve">       </w:t>
      </w:r>
      <w:r>
        <w:rPr>
          <w:rFonts w:ascii="宋体" w:hAnsi="宋体"/>
          <w:snapToGrid w:val="0"/>
          <w:kern w:val="0"/>
          <w:sz w:val="24"/>
          <w:highlight w:val="none"/>
        </w:rPr>
        <w:t>年</w:t>
      </w:r>
      <w:r>
        <w:rPr>
          <w:rFonts w:ascii="宋体" w:hAnsi="宋体"/>
          <w:snapToGrid w:val="0"/>
          <w:kern w:val="0"/>
          <w:sz w:val="24"/>
          <w:highlight w:val="none"/>
          <w:u w:val="single"/>
        </w:rPr>
        <w:t xml:space="preserve">     </w:t>
      </w:r>
      <w:r>
        <w:rPr>
          <w:rFonts w:ascii="宋体" w:hAnsi="宋体"/>
          <w:snapToGrid w:val="0"/>
          <w:kern w:val="0"/>
          <w:sz w:val="24"/>
          <w:highlight w:val="none"/>
        </w:rPr>
        <w:t>月</w:t>
      </w:r>
      <w:r>
        <w:rPr>
          <w:rFonts w:ascii="宋体" w:hAnsi="宋体"/>
          <w:snapToGrid w:val="0"/>
          <w:kern w:val="0"/>
          <w:sz w:val="24"/>
          <w:highlight w:val="none"/>
          <w:u w:val="single"/>
        </w:rPr>
        <w:t xml:space="preserve">    </w:t>
      </w:r>
      <w:r>
        <w:rPr>
          <w:rFonts w:ascii="宋体" w:hAnsi="宋体"/>
          <w:snapToGrid w:val="0"/>
          <w:kern w:val="0"/>
          <w:sz w:val="24"/>
          <w:highlight w:val="none"/>
        </w:rPr>
        <w:t>日</w:t>
      </w:r>
    </w:p>
    <w:p>
      <w:pPr>
        <w:autoSpaceDE w:val="0"/>
        <w:autoSpaceDN w:val="0"/>
        <w:adjustRightInd w:val="0"/>
        <w:snapToGrid w:val="0"/>
        <w:spacing w:before="62" w:beforeLines="20" w:line="360" w:lineRule="auto"/>
        <w:rPr>
          <w:rFonts w:ascii="宋体" w:hAnsi="宋体"/>
          <w:snapToGrid w:val="0"/>
          <w:kern w:val="0"/>
          <w:sz w:val="24"/>
          <w:highlight w:val="none"/>
        </w:rPr>
      </w:pPr>
      <w:r>
        <w:rPr>
          <w:rFonts w:ascii="宋体" w:hAnsi="宋体"/>
          <w:snapToGrid w:val="0"/>
          <w:kern w:val="0"/>
          <w:sz w:val="24"/>
          <w:highlight w:val="none"/>
        </w:rPr>
        <w:br w:type="page"/>
      </w:r>
      <w:r>
        <w:rPr>
          <w:rFonts w:ascii="宋体" w:hAnsi="宋体"/>
          <w:b/>
          <w:snapToGrid w:val="0"/>
          <w:kern w:val="0"/>
          <w:highlight w:val="none"/>
        </w:rPr>
        <w:t>附表</w:t>
      </w:r>
      <w:r>
        <w:rPr>
          <w:rFonts w:hint="eastAsia" w:ascii="宋体" w:hAnsi="宋体"/>
          <w:b/>
          <w:snapToGrid w:val="0"/>
          <w:kern w:val="0"/>
          <w:highlight w:val="none"/>
        </w:rPr>
        <w:t>二</w:t>
      </w:r>
      <w:r>
        <w:rPr>
          <w:rFonts w:ascii="宋体" w:hAnsi="宋体"/>
          <w:b/>
          <w:snapToGrid w:val="0"/>
          <w:kern w:val="0"/>
          <w:highlight w:val="none"/>
        </w:rPr>
        <w:t>：纸质投标保函递交情况一览表（如有）</w:t>
      </w:r>
    </w:p>
    <w:p>
      <w:pPr>
        <w:autoSpaceDE w:val="0"/>
        <w:autoSpaceDN w:val="0"/>
        <w:adjustRightInd w:val="0"/>
        <w:snapToGrid w:val="0"/>
        <w:spacing w:before="62" w:beforeLines="20" w:line="360" w:lineRule="auto"/>
        <w:jc w:val="center"/>
        <w:rPr>
          <w:rFonts w:ascii="宋体" w:hAnsi="宋体"/>
          <w:szCs w:val="21"/>
          <w:highlight w:val="none"/>
        </w:rPr>
      </w:pPr>
      <w:r>
        <w:rPr>
          <w:rFonts w:hint="eastAsia" w:ascii="宋体" w:hAnsi="宋体" w:cs="MingLiU"/>
          <w:snapToGrid w:val="0"/>
          <w:w w:val="198"/>
          <w:kern w:val="0"/>
          <w:sz w:val="28"/>
          <w:szCs w:val="28"/>
          <w:highlight w:val="none"/>
          <w:u w:val="single"/>
        </w:rPr>
        <w:t xml:space="preserve">              </w:t>
      </w:r>
      <w:r>
        <w:rPr>
          <w:rFonts w:hint="eastAsia" w:ascii="宋体" w:hAnsi="宋体"/>
          <w:snapToGrid w:val="0"/>
          <w:kern w:val="0"/>
          <w:sz w:val="28"/>
          <w:szCs w:val="28"/>
          <w:highlight w:val="none"/>
          <w:u w:val="single"/>
        </w:rPr>
        <w:t xml:space="preserve"> </w:t>
      </w:r>
      <w:r>
        <w:rPr>
          <w:rFonts w:ascii="宋体" w:hAnsi="宋体"/>
          <w:b/>
          <w:snapToGrid w:val="0"/>
          <w:w w:val="99"/>
          <w:kern w:val="0"/>
          <w:sz w:val="28"/>
          <w:szCs w:val="28"/>
          <w:highlight w:val="none"/>
          <w:u w:val="single"/>
        </w:rPr>
        <w:t>（项目名称）纸质投标保函</w:t>
      </w:r>
      <w:r>
        <w:rPr>
          <w:rFonts w:hint="eastAsia" w:ascii="宋体" w:hAnsi="宋体"/>
          <w:b/>
          <w:snapToGrid w:val="0"/>
          <w:w w:val="99"/>
          <w:kern w:val="0"/>
          <w:sz w:val="28"/>
          <w:szCs w:val="28"/>
          <w:highlight w:val="none"/>
          <w:u w:val="single"/>
        </w:rPr>
        <w:t>递交</w:t>
      </w:r>
      <w:r>
        <w:rPr>
          <w:rFonts w:ascii="宋体" w:hAnsi="宋体"/>
          <w:b/>
          <w:snapToGrid w:val="0"/>
          <w:w w:val="99"/>
          <w:kern w:val="0"/>
          <w:sz w:val="28"/>
          <w:szCs w:val="28"/>
          <w:highlight w:val="none"/>
          <w:u w:val="single"/>
        </w:rPr>
        <w:t>情况一览表</w:t>
      </w:r>
    </w:p>
    <w:p>
      <w:pPr>
        <w:autoSpaceDE w:val="0"/>
        <w:autoSpaceDN w:val="0"/>
        <w:adjustRightInd w:val="0"/>
        <w:snapToGrid w:val="0"/>
        <w:spacing w:before="62" w:beforeLines="20" w:line="360" w:lineRule="auto"/>
        <w:ind w:firstLine="8610" w:firstLineChars="4100"/>
        <w:rPr>
          <w:rFonts w:ascii="宋体" w:hAnsi="宋体"/>
          <w:szCs w:val="21"/>
          <w:highlight w:val="none"/>
        </w:rPr>
      </w:pPr>
      <w:r>
        <w:rPr>
          <w:rFonts w:hint="eastAsia" w:ascii="宋体" w:hAnsi="宋体"/>
          <w:snapToGrid w:val="0"/>
          <w:kern w:val="0"/>
          <w:szCs w:val="21"/>
          <w:highlight w:val="none"/>
        </w:rPr>
        <w:t>投标截止时间</w:t>
      </w:r>
      <w:r>
        <w:rPr>
          <w:rFonts w:ascii="宋体" w:hAnsi="宋体"/>
          <w:snapToGrid w:val="0"/>
          <w:kern w:val="0"/>
          <w:szCs w:val="21"/>
          <w:highlight w:val="none"/>
        </w:rPr>
        <w:t>：</w:t>
      </w:r>
      <w:r>
        <w:rPr>
          <w:rFonts w:hint="eastAsia" w:ascii="宋体" w:hAnsi="宋体" w:cs="MingLiU"/>
          <w:snapToGrid w:val="0"/>
          <w:w w:val="200"/>
          <w:kern w:val="0"/>
          <w:szCs w:val="21"/>
          <w:highlight w:val="none"/>
          <w:u w:val="single"/>
        </w:rPr>
        <w:t xml:space="preserve">     </w:t>
      </w:r>
      <w:r>
        <w:rPr>
          <w:rFonts w:hint="eastAsia" w:ascii="宋体" w:hAnsi="宋体" w:cs="MingLiU"/>
          <w:snapToGrid w:val="0"/>
          <w:kern w:val="0"/>
          <w:szCs w:val="21"/>
          <w:highlight w:val="none"/>
        </w:rPr>
        <w:t>年</w:t>
      </w:r>
      <w:r>
        <w:rPr>
          <w:rFonts w:hint="eastAsia" w:ascii="宋体" w:hAnsi="宋体"/>
          <w:snapToGrid w:val="0"/>
          <w:kern w:val="0"/>
          <w:szCs w:val="21"/>
          <w:highlight w:val="none"/>
          <w:u w:val="single"/>
        </w:rPr>
        <w:t xml:space="preserve">     </w:t>
      </w:r>
      <w:r>
        <w:rPr>
          <w:rFonts w:hint="eastAsia" w:ascii="宋体" w:hAnsi="宋体" w:cs="MingLiU"/>
          <w:snapToGrid w:val="0"/>
          <w:kern w:val="0"/>
          <w:szCs w:val="21"/>
          <w:highlight w:val="none"/>
        </w:rPr>
        <w:t>月</w:t>
      </w:r>
      <w:r>
        <w:rPr>
          <w:rFonts w:hint="eastAsia" w:ascii="宋体" w:hAnsi="宋体"/>
          <w:snapToGrid w:val="0"/>
          <w:kern w:val="0"/>
          <w:szCs w:val="21"/>
          <w:highlight w:val="none"/>
          <w:u w:val="single"/>
        </w:rPr>
        <w:t xml:space="preserve">     </w:t>
      </w:r>
      <w:r>
        <w:rPr>
          <w:rFonts w:hint="eastAsia" w:ascii="宋体" w:hAnsi="宋体" w:cs="MingLiU"/>
          <w:snapToGrid w:val="0"/>
          <w:kern w:val="0"/>
          <w:szCs w:val="21"/>
          <w:highlight w:val="none"/>
        </w:rPr>
        <w:t>日</w:t>
      </w:r>
      <w:r>
        <w:rPr>
          <w:rFonts w:hint="eastAsia" w:ascii="宋体" w:hAnsi="宋体"/>
          <w:snapToGrid w:val="0"/>
          <w:kern w:val="0"/>
          <w:szCs w:val="21"/>
          <w:highlight w:val="none"/>
          <w:u w:val="single"/>
        </w:rPr>
        <w:t xml:space="preserve">     </w:t>
      </w:r>
      <w:r>
        <w:rPr>
          <w:rFonts w:hint="eastAsia" w:ascii="宋体" w:hAnsi="宋体" w:cs="MingLiU"/>
          <w:snapToGrid w:val="0"/>
          <w:kern w:val="0"/>
          <w:szCs w:val="21"/>
          <w:highlight w:val="none"/>
        </w:rPr>
        <w:t>时</w:t>
      </w:r>
      <w:r>
        <w:rPr>
          <w:rFonts w:hint="eastAsia" w:ascii="宋体" w:hAnsi="宋体"/>
          <w:snapToGrid w:val="0"/>
          <w:kern w:val="0"/>
          <w:szCs w:val="21"/>
          <w:highlight w:val="none"/>
          <w:u w:val="single"/>
        </w:rPr>
        <w:t xml:space="preserve">     </w:t>
      </w:r>
      <w:r>
        <w:rPr>
          <w:rFonts w:hint="eastAsia" w:ascii="宋体" w:hAnsi="宋体" w:cs="MingLiU"/>
          <w:snapToGrid w:val="0"/>
          <w:kern w:val="0"/>
          <w:szCs w:val="21"/>
          <w:highlight w:val="none"/>
        </w:rPr>
        <w:t>分</w:t>
      </w:r>
    </w:p>
    <w:tbl>
      <w:tblPr>
        <w:tblStyle w:val="55"/>
        <w:tblW w:w="14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4160"/>
        <w:gridCol w:w="3088"/>
        <w:gridCol w:w="2987"/>
        <w:gridCol w:w="3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jc w:val="center"/>
              <w:rPr>
                <w:rFonts w:ascii="宋体" w:hAnsi="宋体"/>
                <w:szCs w:val="21"/>
                <w:highlight w:val="none"/>
              </w:rPr>
            </w:pPr>
            <w:r>
              <w:rPr>
                <w:rFonts w:hint="eastAsia" w:ascii="宋体" w:hAnsi="宋体"/>
                <w:szCs w:val="21"/>
                <w:highlight w:val="none"/>
              </w:rPr>
              <w:t>序号</w:t>
            </w:r>
          </w:p>
        </w:tc>
        <w:tc>
          <w:tcPr>
            <w:tcW w:w="4160" w:type="dxa"/>
          </w:tcPr>
          <w:p>
            <w:pPr>
              <w:autoSpaceDE w:val="0"/>
              <w:autoSpaceDN w:val="0"/>
              <w:adjustRightInd w:val="0"/>
              <w:snapToGrid w:val="0"/>
              <w:spacing w:before="62" w:beforeLines="20" w:line="360" w:lineRule="auto"/>
              <w:jc w:val="center"/>
              <w:rPr>
                <w:rFonts w:ascii="宋体" w:hAnsi="宋体"/>
                <w:szCs w:val="21"/>
                <w:highlight w:val="none"/>
              </w:rPr>
            </w:pPr>
            <w:r>
              <w:rPr>
                <w:rFonts w:hint="eastAsia" w:ascii="宋体" w:hAnsi="宋体"/>
                <w:szCs w:val="21"/>
                <w:highlight w:val="none"/>
              </w:rPr>
              <w:t>投标人</w:t>
            </w:r>
          </w:p>
        </w:tc>
        <w:tc>
          <w:tcPr>
            <w:tcW w:w="3088" w:type="dxa"/>
          </w:tcPr>
          <w:p>
            <w:pPr>
              <w:autoSpaceDE w:val="0"/>
              <w:autoSpaceDN w:val="0"/>
              <w:adjustRightInd w:val="0"/>
              <w:snapToGrid w:val="0"/>
              <w:spacing w:before="62" w:beforeLines="20" w:line="360" w:lineRule="auto"/>
              <w:jc w:val="center"/>
              <w:rPr>
                <w:rFonts w:ascii="宋体" w:hAnsi="宋体"/>
                <w:szCs w:val="21"/>
                <w:highlight w:val="none"/>
              </w:rPr>
            </w:pPr>
            <w:r>
              <w:rPr>
                <w:rFonts w:hint="eastAsia" w:ascii="宋体" w:hAnsi="宋体"/>
                <w:szCs w:val="21"/>
                <w:highlight w:val="none"/>
              </w:rPr>
              <w:t>金额（元）</w:t>
            </w:r>
          </w:p>
        </w:tc>
        <w:tc>
          <w:tcPr>
            <w:tcW w:w="2987" w:type="dxa"/>
          </w:tcPr>
          <w:p>
            <w:pPr>
              <w:autoSpaceDE w:val="0"/>
              <w:autoSpaceDN w:val="0"/>
              <w:adjustRightInd w:val="0"/>
              <w:snapToGrid w:val="0"/>
              <w:spacing w:before="62" w:beforeLines="20" w:line="360" w:lineRule="auto"/>
              <w:jc w:val="center"/>
              <w:rPr>
                <w:rFonts w:ascii="宋体" w:hAnsi="宋体"/>
                <w:szCs w:val="21"/>
                <w:highlight w:val="none"/>
              </w:rPr>
            </w:pPr>
            <w:r>
              <w:rPr>
                <w:rFonts w:hint="eastAsia" w:ascii="宋体" w:hAnsi="宋体"/>
                <w:szCs w:val="21"/>
                <w:highlight w:val="none"/>
              </w:rPr>
              <w:t>递交时间</w:t>
            </w:r>
          </w:p>
        </w:tc>
        <w:tc>
          <w:tcPr>
            <w:tcW w:w="3175" w:type="dxa"/>
          </w:tcPr>
          <w:p>
            <w:pPr>
              <w:autoSpaceDE w:val="0"/>
              <w:autoSpaceDN w:val="0"/>
              <w:adjustRightInd w:val="0"/>
              <w:snapToGrid w:val="0"/>
              <w:spacing w:before="62" w:beforeLines="20" w:line="360" w:lineRule="auto"/>
              <w:jc w:val="center"/>
              <w:rPr>
                <w:rFonts w:ascii="宋体" w:hAnsi="宋体"/>
                <w:szCs w:val="21"/>
                <w:highlight w:val="none"/>
              </w:rPr>
            </w:pPr>
            <w:r>
              <w:rPr>
                <w:rFonts w:hint="eastAsia" w:ascii="宋体" w:hAnsi="宋体"/>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62" w:beforeLines="20" w:line="360" w:lineRule="auto"/>
              <w:rPr>
                <w:rFonts w:ascii="宋体" w:hAnsi="宋体"/>
                <w:szCs w:val="21"/>
                <w:highlight w:val="none"/>
              </w:rPr>
            </w:pPr>
          </w:p>
        </w:tc>
        <w:tc>
          <w:tcPr>
            <w:tcW w:w="4160" w:type="dxa"/>
          </w:tcPr>
          <w:p>
            <w:pPr>
              <w:autoSpaceDE w:val="0"/>
              <w:autoSpaceDN w:val="0"/>
              <w:adjustRightInd w:val="0"/>
              <w:snapToGrid w:val="0"/>
              <w:spacing w:before="62" w:beforeLines="20" w:line="360" w:lineRule="auto"/>
              <w:rPr>
                <w:rFonts w:ascii="宋体" w:hAnsi="宋体"/>
                <w:szCs w:val="21"/>
                <w:highlight w:val="none"/>
              </w:rPr>
            </w:pPr>
          </w:p>
        </w:tc>
        <w:tc>
          <w:tcPr>
            <w:tcW w:w="3088" w:type="dxa"/>
          </w:tcPr>
          <w:p>
            <w:pPr>
              <w:autoSpaceDE w:val="0"/>
              <w:autoSpaceDN w:val="0"/>
              <w:adjustRightInd w:val="0"/>
              <w:snapToGrid w:val="0"/>
              <w:spacing w:before="62" w:beforeLines="20" w:line="360" w:lineRule="auto"/>
              <w:rPr>
                <w:rFonts w:ascii="宋体" w:hAnsi="宋体"/>
                <w:szCs w:val="21"/>
                <w:highlight w:val="none"/>
              </w:rPr>
            </w:pPr>
          </w:p>
        </w:tc>
        <w:tc>
          <w:tcPr>
            <w:tcW w:w="2987" w:type="dxa"/>
          </w:tcPr>
          <w:p>
            <w:pPr>
              <w:autoSpaceDE w:val="0"/>
              <w:autoSpaceDN w:val="0"/>
              <w:adjustRightInd w:val="0"/>
              <w:snapToGrid w:val="0"/>
              <w:spacing w:before="62" w:beforeLines="20" w:line="360" w:lineRule="auto"/>
              <w:rPr>
                <w:rFonts w:ascii="宋体" w:hAnsi="宋体"/>
                <w:szCs w:val="21"/>
                <w:highlight w:val="none"/>
              </w:rPr>
            </w:pPr>
          </w:p>
        </w:tc>
        <w:tc>
          <w:tcPr>
            <w:tcW w:w="3175" w:type="dxa"/>
          </w:tcPr>
          <w:p>
            <w:pPr>
              <w:autoSpaceDE w:val="0"/>
              <w:autoSpaceDN w:val="0"/>
              <w:adjustRightInd w:val="0"/>
              <w:snapToGrid w:val="0"/>
              <w:spacing w:before="62" w:beforeLines="20" w:line="360" w:lineRule="auto"/>
              <w:rPr>
                <w:rFonts w:ascii="宋体" w:hAnsi="宋体"/>
                <w:szCs w:val="21"/>
                <w:highlight w:val="none"/>
              </w:rPr>
            </w:pPr>
          </w:p>
        </w:tc>
      </w:tr>
    </w:tbl>
    <w:p>
      <w:pPr>
        <w:tabs>
          <w:tab w:val="left" w:pos="2740"/>
          <w:tab w:val="left" w:pos="4940"/>
          <w:tab w:val="left" w:pos="6930"/>
        </w:tabs>
        <w:autoSpaceDE w:val="0"/>
        <w:autoSpaceDN w:val="0"/>
        <w:adjustRightInd w:val="0"/>
        <w:snapToGrid w:val="0"/>
        <w:spacing w:line="360" w:lineRule="auto"/>
        <w:ind w:firstLine="420"/>
        <w:jc w:val="left"/>
        <w:rPr>
          <w:rFonts w:ascii="宋体" w:hAnsi="宋体"/>
          <w:snapToGrid w:val="0"/>
          <w:kern w:val="0"/>
          <w:szCs w:val="21"/>
          <w:highlight w:val="none"/>
        </w:rPr>
      </w:pPr>
    </w:p>
    <w:p>
      <w:pPr>
        <w:tabs>
          <w:tab w:val="left" w:pos="2740"/>
          <w:tab w:val="left" w:pos="4940"/>
          <w:tab w:val="left" w:pos="6930"/>
        </w:tabs>
        <w:autoSpaceDE w:val="0"/>
        <w:autoSpaceDN w:val="0"/>
        <w:adjustRightInd w:val="0"/>
        <w:snapToGrid w:val="0"/>
        <w:spacing w:line="360" w:lineRule="auto"/>
        <w:ind w:firstLine="420"/>
        <w:jc w:val="left"/>
        <w:rPr>
          <w:rFonts w:ascii="宋体" w:hAnsi="宋体" w:cs="MingLiU"/>
          <w:snapToGrid w:val="0"/>
          <w:w w:val="200"/>
          <w:kern w:val="0"/>
          <w:szCs w:val="21"/>
          <w:highlight w:val="none"/>
          <w:u w:val="single"/>
        </w:rPr>
      </w:pPr>
      <w:r>
        <w:rPr>
          <w:rFonts w:ascii="宋体" w:hAnsi="宋体"/>
          <w:snapToGrid w:val="0"/>
          <w:kern w:val="0"/>
          <w:szCs w:val="21"/>
          <w:highlight w:val="none"/>
        </w:rPr>
        <w:t>招标人代表：</w:t>
      </w:r>
      <w:r>
        <w:rPr>
          <w:rFonts w:hint="eastAsia" w:ascii="宋体" w:hAnsi="宋体" w:cs="MingLiU"/>
          <w:snapToGrid w:val="0"/>
          <w:w w:val="200"/>
          <w:kern w:val="0"/>
          <w:szCs w:val="21"/>
          <w:highlight w:val="none"/>
          <w:u w:val="single"/>
        </w:rPr>
        <w:t xml:space="preserve">      </w:t>
      </w:r>
      <w:r>
        <w:rPr>
          <w:rFonts w:hint="eastAsia" w:ascii="宋体" w:hAnsi="宋体" w:cs="MingLiU"/>
          <w:snapToGrid w:val="0"/>
          <w:w w:val="200"/>
          <w:kern w:val="0"/>
          <w:szCs w:val="21"/>
          <w:highlight w:val="none"/>
        </w:rPr>
        <w:t xml:space="preserve">            </w:t>
      </w:r>
      <w:r>
        <w:rPr>
          <w:rFonts w:ascii="宋体" w:hAnsi="宋体"/>
          <w:snapToGrid w:val="0"/>
          <w:kern w:val="0"/>
          <w:szCs w:val="21"/>
          <w:highlight w:val="none"/>
        </w:rPr>
        <w:t>监标人：</w:t>
      </w:r>
      <w:r>
        <w:rPr>
          <w:rFonts w:hint="eastAsia" w:ascii="宋体" w:hAnsi="宋体" w:cs="MingLiU"/>
          <w:snapToGrid w:val="0"/>
          <w:w w:val="200"/>
          <w:kern w:val="0"/>
          <w:szCs w:val="21"/>
          <w:highlight w:val="none"/>
          <w:u w:val="single"/>
        </w:rPr>
        <w:t xml:space="preserve">      </w:t>
      </w:r>
      <w:r>
        <w:rPr>
          <w:rFonts w:hint="eastAsia" w:ascii="宋体" w:hAnsi="宋体" w:cs="MingLiU"/>
          <w:snapToGrid w:val="0"/>
          <w:w w:val="200"/>
          <w:kern w:val="0"/>
          <w:szCs w:val="21"/>
          <w:highlight w:val="none"/>
        </w:rPr>
        <w:t xml:space="preserve">            </w:t>
      </w:r>
      <w:r>
        <w:rPr>
          <w:rFonts w:ascii="宋体" w:hAnsi="宋体"/>
          <w:snapToGrid w:val="0"/>
          <w:kern w:val="0"/>
          <w:szCs w:val="21"/>
          <w:highlight w:val="none"/>
        </w:rPr>
        <w:t>记录人：</w:t>
      </w:r>
      <w:r>
        <w:rPr>
          <w:rFonts w:hint="eastAsia" w:ascii="宋体" w:hAnsi="宋体" w:cs="MingLiU"/>
          <w:snapToGrid w:val="0"/>
          <w:w w:val="200"/>
          <w:kern w:val="0"/>
          <w:szCs w:val="21"/>
          <w:highlight w:val="none"/>
          <w:u w:val="single"/>
        </w:rPr>
        <w:t xml:space="preserve">      </w:t>
      </w:r>
    </w:p>
    <w:p>
      <w:pPr>
        <w:pStyle w:val="2"/>
        <w:jc w:val="right"/>
        <w:rPr>
          <w:highlight w:val="none"/>
        </w:rPr>
      </w:pPr>
      <w:r>
        <w:rPr>
          <w:rFonts w:ascii="宋体" w:hAnsi="宋体"/>
          <w:snapToGrid w:val="0"/>
          <w:kern w:val="0"/>
          <w:sz w:val="24"/>
          <w:highlight w:val="none"/>
          <w:u w:val="single"/>
        </w:rPr>
        <w:t xml:space="preserve">       </w:t>
      </w:r>
      <w:r>
        <w:rPr>
          <w:rFonts w:ascii="宋体" w:hAnsi="宋体"/>
          <w:snapToGrid w:val="0"/>
          <w:kern w:val="0"/>
          <w:sz w:val="24"/>
          <w:highlight w:val="none"/>
        </w:rPr>
        <w:t>年</w:t>
      </w:r>
      <w:r>
        <w:rPr>
          <w:rFonts w:ascii="宋体" w:hAnsi="宋体"/>
          <w:snapToGrid w:val="0"/>
          <w:kern w:val="0"/>
          <w:sz w:val="24"/>
          <w:highlight w:val="none"/>
          <w:u w:val="single"/>
        </w:rPr>
        <w:t xml:space="preserve">     </w:t>
      </w:r>
      <w:r>
        <w:rPr>
          <w:rFonts w:ascii="宋体" w:hAnsi="宋体"/>
          <w:snapToGrid w:val="0"/>
          <w:kern w:val="0"/>
          <w:sz w:val="24"/>
          <w:highlight w:val="none"/>
        </w:rPr>
        <w:t>月</w:t>
      </w:r>
      <w:r>
        <w:rPr>
          <w:rFonts w:ascii="宋体" w:hAnsi="宋体"/>
          <w:snapToGrid w:val="0"/>
          <w:kern w:val="0"/>
          <w:sz w:val="24"/>
          <w:highlight w:val="none"/>
          <w:u w:val="single"/>
        </w:rPr>
        <w:t xml:space="preserve">    </w:t>
      </w:r>
      <w:r>
        <w:rPr>
          <w:rFonts w:ascii="宋体" w:hAnsi="宋体"/>
          <w:snapToGrid w:val="0"/>
          <w:kern w:val="0"/>
          <w:sz w:val="24"/>
          <w:highlight w:val="none"/>
        </w:rPr>
        <w:t>日</w:t>
      </w:r>
    </w:p>
    <w:p>
      <w:pPr>
        <w:autoSpaceDE w:val="0"/>
        <w:autoSpaceDN w:val="0"/>
        <w:adjustRightInd w:val="0"/>
        <w:snapToGrid w:val="0"/>
        <w:spacing w:before="62" w:beforeLines="20" w:line="360" w:lineRule="auto"/>
        <w:rPr>
          <w:rFonts w:ascii="宋体" w:hAnsi="宋体"/>
          <w:snapToGrid w:val="0"/>
          <w:kern w:val="0"/>
          <w:sz w:val="24"/>
          <w:highlight w:val="none"/>
        </w:rPr>
        <w:sectPr>
          <w:pgSz w:w="16838" w:h="11906" w:orient="landscape"/>
          <w:pgMar w:top="1304" w:right="1304" w:bottom="1134" w:left="1304" w:header="851" w:footer="992" w:gutter="0"/>
          <w:cols w:space="720" w:num="1"/>
          <w:docGrid w:type="lines" w:linePitch="312" w:charSpace="0"/>
        </w:sectPr>
      </w:pPr>
    </w:p>
    <w:p>
      <w:pPr>
        <w:autoSpaceDE w:val="0"/>
        <w:autoSpaceDN w:val="0"/>
        <w:adjustRightInd w:val="0"/>
        <w:snapToGrid w:val="0"/>
        <w:spacing w:before="62" w:beforeLines="20" w:line="360" w:lineRule="auto"/>
        <w:jc w:val="right"/>
        <w:rPr>
          <w:rFonts w:ascii="宋体" w:hAnsi="宋体"/>
          <w:snapToGrid w:val="0"/>
          <w:kern w:val="0"/>
          <w:sz w:val="24"/>
          <w:highlight w:val="none"/>
        </w:rPr>
      </w:pPr>
    </w:p>
    <w:p>
      <w:pPr>
        <w:autoSpaceDE w:val="0"/>
        <w:autoSpaceDN w:val="0"/>
        <w:adjustRightInd w:val="0"/>
        <w:snapToGrid w:val="0"/>
        <w:spacing w:line="360" w:lineRule="auto"/>
        <w:jc w:val="left"/>
        <w:rPr>
          <w:rFonts w:ascii="宋体" w:hAnsi="宋体"/>
          <w:b/>
          <w:snapToGrid w:val="0"/>
          <w:kern w:val="0"/>
          <w:highlight w:val="none"/>
        </w:rPr>
      </w:pPr>
      <w:r>
        <w:rPr>
          <w:rFonts w:ascii="宋体" w:hAnsi="宋体"/>
          <w:b/>
          <w:snapToGrid w:val="0"/>
          <w:kern w:val="0"/>
          <w:highlight w:val="none"/>
        </w:rPr>
        <w:t>附表</w:t>
      </w:r>
      <w:r>
        <w:rPr>
          <w:rFonts w:hint="eastAsia" w:ascii="宋体" w:hAnsi="宋体"/>
          <w:b/>
          <w:snapToGrid w:val="0"/>
          <w:kern w:val="0"/>
          <w:highlight w:val="none"/>
        </w:rPr>
        <w:t>三</w:t>
      </w:r>
      <w:r>
        <w:rPr>
          <w:rFonts w:ascii="宋体" w:hAnsi="宋体"/>
          <w:b/>
          <w:snapToGrid w:val="0"/>
          <w:kern w:val="0"/>
          <w:highlight w:val="none"/>
        </w:rPr>
        <w:t>：问题澄清通知</w:t>
      </w:r>
    </w:p>
    <w:p>
      <w:pPr>
        <w:autoSpaceDE w:val="0"/>
        <w:autoSpaceDN w:val="0"/>
        <w:adjustRightInd w:val="0"/>
        <w:snapToGrid w:val="0"/>
        <w:spacing w:line="360" w:lineRule="auto"/>
        <w:jc w:val="left"/>
        <w:rPr>
          <w:rFonts w:ascii="宋体" w:hAnsi="宋体"/>
          <w:b/>
          <w:snapToGrid w:val="0"/>
          <w:kern w:val="0"/>
          <w:sz w:val="24"/>
          <w:highlight w:val="none"/>
        </w:rPr>
      </w:pPr>
    </w:p>
    <w:p>
      <w:pPr>
        <w:autoSpaceDE w:val="0"/>
        <w:autoSpaceDN w:val="0"/>
        <w:adjustRightInd w:val="0"/>
        <w:snapToGrid w:val="0"/>
        <w:spacing w:line="360" w:lineRule="auto"/>
        <w:jc w:val="center"/>
        <w:rPr>
          <w:rFonts w:ascii="宋体" w:hAnsi="宋体"/>
          <w:b/>
          <w:snapToGrid w:val="0"/>
          <w:w w:val="99"/>
          <w:kern w:val="0"/>
          <w:sz w:val="32"/>
          <w:szCs w:val="32"/>
          <w:highlight w:val="none"/>
        </w:rPr>
      </w:pPr>
      <w:r>
        <w:rPr>
          <w:rFonts w:hint="eastAsia" w:ascii="宋体" w:hAnsi="宋体"/>
          <w:b/>
          <w:snapToGrid w:val="0"/>
          <w:w w:val="99"/>
          <w:kern w:val="0"/>
          <w:sz w:val="32"/>
          <w:szCs w:val="32"/>
          <w:highlight w:val="none"/>
        </w:rPr>
        <w:t>问题澄清通知</w:t>
      </w:r>
    </w:p>
    <w:p>
      <w:pPr>
        <w:autoSpaceDE w:val="0"/>
        <w:autoSpaceDN w:val="0"/>
        <w:adjustRightInd w:val="0"/>
        <w:snapToGrid w:val="0"/>
        <w:spacing w:line="360" w:lineRule="auto"/>
        <w:jc w:val="left"/>
        <w:rPr>
          <w:rFonts w:ascii="宋体" w:hAnsi="宋体"/>
          <w:b/>
          <w:snapToGrid w:val="0"/>
          <w:kern w:val="0"/>
          <w:sz w:val="24"/>
          <w:highlight w:val="none"/>
        </w:rPr>
      </w:pPr>
    </w:p>
    <w:p>
      <w:pPr>
        <w:autoSpaceDE w:val="0"/>
        <w:autoSpaceDN w:val="0"/>
        <w:adjustRightInd w:val="0"/>
        <w:snapToGrid w:val="0"/>
        <w:spacing w:line="360" w:lineRule="auto"/>
        <w:ind w:firstLine="3255" w:firstLineChars="1550"/>
        <w:jc w:val="left"/>
        <w:rPr>
          <w:rFonts w:ascii="宋体" w:hAnsi="宋体"/>
          <w:snapToGrid w:val="0"/>
          <w:kern w:val="0"/>
          <w:szCs w:val="21"/>
          <w:highlight w:val="none"/>
          <w:u w:val="single"/>
        </w:rPr>
      </w:pPr>
      <w:r>
        <w:rPr>
          <w:rFonts w:ascii="宋体" w:hAnsi="宋体"/>
          <w:snapToGrid w:val="0"/>
          <w:kern w:val="0"/>
          <w:szCs w:val="21"/>
          <w:highlight w:val="none"/>
        </w:rPr>
        <w:t>编号：</w:t>
      </w:r>
      <w:r>
        <w:rPr>
          <w:rFonts w:hint="eastAsia" w:ascii="宋体" w:hAnsi="宋体"/>
          <w:snapToGrid w:val="0"/>
          <w:kern w:val="0"/>
          <w:szCs w:val="21"/>
          <w:highlight w:val="none"/>
          <w:u w:val="single"/>
        </w:rPr>
        <w:t xml:space="preserve">                     </w:t>
      </w:r>
    </w:p>
    <w:p>
      <w:pPr>
        <w:autoSpaceDE w:val="0"/>
        <w:autoSpaceDN w:val="0"/>
        <w:adjustRightInd w:val="0"/>
        <w:snapToGrid w:val="0"/>
        <w:spacing w:line="360" w:lineRule="auto"/>
        <w:jc w:val="left"/>
        <w:rPr>
          <w:rFonts w:ascii="宋体" w:hAnsi="宋体"/>
          <w:b/>
          <w:snapToGrid w:val="0"/>
          <w:kern w:val="0"/>
          <w:sz w:val="24"/>
          <w:highlight w:val="none"/>
        </w:rPr>
      </w:pPr>
    </w:p>
    <w:p>
      <w:pPr>
        <w:autoSpaceDE w:val="0"/>
        <w:autoSpaceDN w:val="0"/>
        <w:adjustRightInd w:val="0"/>
        <w:snapToGrid w:val="0"/>
        <w:spacing w:line="360" w:lineRule="auto"/>
        <w:rPr>
          <w:rFonts w:ascii="宋体" w:hAnsi="宋体"/>
          <w:snapToGrid w:val="0"/>
          <w:kern w:val="0"/>
          <w:sz w:val="28"/>
          <w:szCs w:val="28"/>
          <w:highlight w:val="none"/>
        </w:rPr>
      </w:pPr>
    </w:p>
    <w:p>
      <w:pPr>
        <w:tabs>
          <w:tab w:val="left" w:pos="1580"/>
        </w:tabs>
        <w:autoSpaceDE w:val="0"/>
        <w:autoSpaceDN w:val="0"/>
        <w:adjustRightInd w:val="0"/>
        <w:snapToGrid w:val="0"/>
        <w:spacing w:line="480" w:lineRule="auto"/>
        <w:jc w:val="left"/>
        <w:rPr>
          <w:rFonts w:ascii="宋体" w:hAnsi="宋体"/>
          <w:snapToGrid w:val="0"/>
          <w:kern w:val="0"/>
          <w:szCs w:val="21"/>
          <w:highlight w:val="none"/>
        </w:rPr>
      </w:pPr>
      <w:r>
        <w:rPr>
          <w:rFonts w:ascii="宋体" w:hAnsi="宋体"/>
          <w:snapToGrid w:val="0"/>
          <w:w w:val="200"/>
          <w:kern w:val="0"/>
          <w:szCs w:val="21"/>
          <w:highlight w:val="none"/>
          <w:u w:val="single"/>
        </w:rPr>
        <w:t xml:space="preserve"> </w:t>
      </w:r>
      <w:r>
        <w:rPr>
          <w:rFonts w:ascii="宋体" w:hAnsi="宋体"/>
          <w:snapToGrid w:val="0"/>
          <w:kern w:val="0"/>
          <w:szCs w:val="21"/>
          <w:highlight w:val="none"/>
          <w:u w:val="single"/>
        </w:rPr>
        <w:tab/>
      </w:r>
      <w:r>
        <w:rPr>
          <w:rFonts w:ascii="宋体" w:hAnsi="宋体"/>
          <w:snapToGrid w:val="0"/>
          <w:kern w:val="0"/>
          <w:szCs w:val="21"/>
          <w:highlight w:val="none"/>
          <w:u w:val="single"/>
        </w:rPr>
        <w:t>（投标人名称）</w:t>
      </w:r>
      <w:r>
        <w:rPr>
          <w:rFonts w:ascii="宋体" w:hAnsi="宋体"/>
          <w:snapToGrid w:val="0"/>
          <w:kern w:val="0"/>
          <w:szCs w:val="21"/>
          <w:highlight w:val="none"/>
        </w:rPr>
        <w:t>：</w:t>
      </w:r>
    </w:p>
    <w:p>
      <w:pPr>
        <w:tabs>
          <w:tab w:val="left" w:pos="2320"/>
          <w:tab w:val="left" w:pos="4460"/>
        </w:tabs>
        <w:autoSpaceDE w:val="0"/>
        <w:autoSpaceDN w:val="0"/>
        <w:adjustRightInd w:val="0"/>
        <w:snapToGrid w:val="0"/>
        <w:spacing w:line="480" w:lineRule="auto"/>
        <w:ind w:firstLine="424" w:firstLineChars="101"/>
        <w:jc w:val="left"/>
        <w:rPr>
          <w:rFonts w:ascii="宋体" w:hAnsi="宋体"/>
          <w:snapToGrid w:val="0"/>
          <w:kern w:val="0"/>
          <w:szCs w:val="21"/>
          <w:highlight w:val="none"/>
        </w:rPr>
      </w:pPr>
      <w:r>
        <w:rPr>
          <w:rFonts w:ascii="宋体" w:hAnsi="宋体"/>
          <w:snapToGrid w:val="0"/>
          <w:w w:val="200"/>
          <w:kern w:val="0"/>
          <w:szCs w:val="21"/>
          <w:highlight w:val="none"/>
          <w:u w:val="single"/>
        </w:rPr>
        <w:t xml:space="preserve"> </w:t>
      </w:r>
      <w:r>
        <w:rPr>
          <w:rFonts w:ascii="宋体" w:hAnsi="宋体"/>
          <w:snapToGrid w:val="0"/>
          <w:kern w:val="0"/>
          <w:szCs w:val="21"/>
          <w:highlight w:val="none"/>
          <w:u w:val="single"/>
        </w:rPr>
        <w:tab/>
      </w:r>
      <w:r>
        <w:rPr>
          <w:rFonts w:ascii="宋体" w:hAnsi="宋体"/>
          <w:snapToGrid w:val="0"/>
          <w:kern w:val="0"/>
          <w:szCs w:val="21"/>
          <w:highlight w:val="none"/>
          <w:u w:val="single"/>
        </w:rPr>
        <w:t>（项目名称）</w:t>
      </w:r>
      <w:r>
        <w:rPr>
          <w:rFonts w:ascii="宋体" w:hAnsi="宋体"/>
          <w:snapToGrid w:val="0"/>
          <w:kern w:val="0"/>
          <w:szCs w:val="21"/>
          <w:highlight w:val="none"/>
        </w:rPr>
        <w:t>的评标委员会，对你方的投标文件进行了仔细的审查，现需你方对下列问题予以澄清：</w:t>
      </w:r>
    </w:p>
    <w:p>
      <w:pPr>
        <w:autoSpaceDE w:val="0"/>
        <w:autoSpaceDN w:val="0"/>
        <w:adjustRightInd w:val="0"/>
        <w:snapToGrid w:val="0"/>
        <w:spacing w:line="360" w:lineRule="auto"/>
        <w:jc w:val="left"/>
        <w:rPr>
          <w:rFonts w:ascii="宋体" w:hAnsi="宋体"/>
          <w:snapToGrid w:val="0"/>
          <w:kern w:val="0"/>
          <w:sz w:val="24"/>
          <w:highlight w:val="none"/>
        </w:rPr>
      </w:pPr>
    </w:p>
    <w:p>
      <w:pPr>
        <w:autoSpaceDE w:val="0"/>
        <w:autoSpaceDN w:val="0"/>
        <w:adjustRightInd w:val="0"/>
        <w:snapToGrid w:val="0"/>
        <w:spacing w:line="360" w:lineRule="auto"/>
        <w:jc w:val="left"/>
        <w:rPr>
          <w:rFonts w:ascii="宋体" w:hAnsi="宋体"/>
          <w:snapToGrid w:val="0"/>
          <w:kern w:val="0"/>
          <w:szCs w:val="21"/>
          <w:highlight w:val="none"/>
        </w:rPr>
      </w:pPr>
      <w:r>
        <w:rPr>
          <w:rFonts w:ascii="宋体" w:hAnsi="宋体"/>
          <w:snapToGrid w:val="0"/>
          <w:kern w:val="0"/>
          <w:szCs w:val="21"/>
          <w:highlight w:val="none"/>
        </w:rPr>
        <w:t xml:space="preserve">1. </w:t>
      </w:r>
    </w:p>
    <w:p>
      <w:pPr>
        <w:autoSpaceDE w:val="0"/>
        <w:autoSpaceDN w:val="0"/>
        <w:adjustRightInd w:val="0"/>
        <w:snapToGrid w:val="0"/>
        <w:spacing w:line="360" w:lineRule="auto"/>
        <w:jc w:val="left"/>
        <w:rPr>
          <w:rFonts w:ascii="宋体" w:hAnsi="宋体"/>
          <w:snapToGrid w:val="0"/>
          <w:kern w:val="0"/>
          <w:szCs w:val="21"/>
          <w:highlight w:val="none"/>
        </w:rPr>
      </w:pPr>
    </w:p>
    <w:p>
      <w:pPr>
        <w:autoSpaceDE w:val="0"/>
        <w:autoSpaceDN w:val="0"/>
        <w:adjustRightInd w:val="0"/>
        <w:snapToGrid w:val="0"/>
        <w:spacing w:line="360" w:lineRule="auto"/>
        <w:jc w:val="left"/>
        <w:rPr>
          <w:rFonts w:ascii="宋体" w:hAnsi="宋体"/>
          <w:snapToGrid w:val="0"/>
          <w:kern w:val="0"/>
          <w:szCs w:val="21"/>
          <w:highlight w:val="none"/>
        </w:rPr>
      </w:pPr>
    </w:p>
    <w:p>
      <w:pPr>
        <w:autoSpaceDE w:val="0"/>
        <w:autoSpaceDN w:val="0"/>
        <w:adjustRightInd w:val="0"/>
        <w:snapToGrid w:val="0"/>
        <w:spacing w:line="360" w:lineRule="auto"/>
        <w:jc w:val="left"/>
        <w:rPr>
          <w:rFonts w:ascii="宋体" w:hAnsi="宋体"/>
          <w:snapToGrid w:val="0"/>
          <w:kern w:val="0"/>
          <w:szCs w:val="21"/>
          <w:highlight w:val="none"/>
        </w:rPr>
      </w:pPr>
    </w:p>
    <w:p>
      <w:pPr>
        <w:autoSpaceDE w:val="0"/>
        <w:autoSpaceDN w:val="0"/>
        <w:adjustRightInd w:val="0"/>
        <w:snapToGrid w:val="0"/>
        <w:spacing w:line="360" w:lineRule="auto"/>
        <w:jc w:val="left"/>
        <w:rPr>
          <w:rFonts w:ascii="宋体" w:hAnsi="宋体"/>
          <w:snapToGrid w:val="0"/>
          <w:kern w:val="0"/>
          <w:szCs w:val="21"/>
          <w:highlight w:val="none"/>
        </w:rPr>
      </w:pPr>
    </w:p>
    <w:p>
      <w:pPr>
        <w:autoSpaceDE w:val="0"/>
        <w:autoSpaceDN w:val="0"/>
        <w:adjustRightInd w:val="0"/>
        <w:snapToGrid w:val="0"/>
        <w:spacing w:line="360" w:lineRule="auto"/>
        <w:jc w:val="left"/>
        <w:rPr>
          <w:rFonts w:ascii="宋体" w:hAnsi="宋体"/>
          <w:snapToGrid w:val="0"/>
          <w:kern w:val="0"/>
          <w:szCs w:val="21"/>
          <w:highlight w:val="none"/>
        </w:rPr>
      </w:pPr>
      <w:r>
        <w:rPr>
          <w:rFonts w:ascii="宋体" w:hAnsi="宋体"/>
          <w:snapToGrid w:val="0"/>
          <w:kern w:val="0"/>
          <w:szCs w:val="21"/>
          <w:highlight w:val="none"/>
        </w:rPr>
        <w:t xml:space="preserve">2. </w:t>
      </w:r>
    </w:p>
    <w:p>
      <w:pPr>
        <w:autoSpaceDE w:val="0"/>
        <w:autoSpaceDN w:val="0"/>
        <w:adjustRightInd w:val="0"/>
        <w:snapToGrid w:val="0"/>
        <w:spacing w:line="360" w:lineRule="auto"/>
        <w:jc w:val="left"/>
        <w:rPr>
          <w:rFonts w:ascii="宋体" w:hAnsi="宋体"/>
          <w:snapToGrid w:val="0"/>
          <w:kern w:val="0"/>
          <w:szCs w:val="21"/>
          <w:highlight w:val="none"/>
        </w:rPr>
      </w:pPr>
    </w:p>
    <w:p>
      <w:pPr>
        <w:autoSpaceDE w:val="0"/>
        <w:autoSpaceDN w:val="0"/>
        <w:adjustRightInd w:val="0"/>
        <w:snapToGrid w:val="0"/>
        <w:spacing w:line="360" w:lineRule="auto"/>
        <w:jc w:val="left"/>
        <w:rPr>
          <w:rFonts w:ascii="宋体" w:hAnsi="宋体"/>
          <w:snapToGrid w:val="0"/>
          <w:kern w:val="0"/>
          <w:szCs w:val="21"/>
          <w:highlight w:val="none"/>
        </w:rPr>
      </w:pPr>
      <w:r>
        <w:rPr>
          <w:rFonts w:ascii="宋体" w:hAnsi="宋体"/>
          <w:snapToGrid w:val="0"/>
          <w:kern w:val="0"/>
          <w:szCs w:val="21"/>
          <w:highlight w:val="none"/>
        </w:rPr>
        <w:t>......</w:t>
      </w:r>
    </w:p>
    <w:p>
      <w:pPr>
        <w:autoSpaceDE w:val="0"/>
        <w:autoSpaceDN w:val="0"/>
        <w:adjustRightInd w:val="0"/>
        <w:snapToGrid w:val="0"/>
        <w:spacing w:line="360" w:lineRule="auto"/>
        <w:jc w:val="left"/>
        <w:rPr>
          <w:rFonts w:ascii="宋体" w:hAnsi="宋体"/>
          <w:snapToGrid w:val="0"/>
          <w:kern w:val="0"/>
          <w:sz w:val="14"/>
          <w:szCs w:val="14"/>
          <w:highlight w:val="none"/>
        </w:rPr>
      </w:pPr>
    </w:p>
    <w:p>
      <w:pPr>
        <w:autoSpaceDE w:val="0"/>
        <w:autoSpaceDN w:val="0"/>
        <w:adjustRightInd w:val="0"/>
        <w:snapToGrid w:val="0"/>
        <w:spacing w:line="360" w:lineRule="auto"/>
        <w:jc w:val="left"/>
        <w:rPr>
          <w:rFonts w:ascii="宋体" w:hAnsi="宋体"/>
          <w:snapToGrid w:val="0"/>
          <w:kern w:val="0"/>
          <w:sz w:val="14"/>
          <w:szCs w:val="14"/>
          <w:highlight w:val="none"/>
        </w:rPr>
      </w:pPr>
    </w:p>
    <w:p>
      <w:pPr>
        <w:autoSpaceDE w:val="0"/>
        <w:autoSpaceDN w:val="0"/>
        <w:adjustRightInd w:val="0"/>
        <w:snapToGrid w:val="0"/>
        <w:spacing w:line="360" w:lineRule="auto"/>
        <w:jc w:val="left"/>
        <w:rPr>
          <w:rFonts w:ascii="宋体" w:hAnsi="宋体"/>
          <w:snapToGrid w:val="0"/>
          <w:kern w:val="0"/>
          <w:sz w:val="14"/>
          <w:szCs w:val="14"/>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p>
    <w:p>
      <w:pPr>
        <w:tabs>
          <w:tab w:val="left" w:pos="2745"/>
          <w:tab w:val="left" w:pos="3360"/>
          <w:tab w:val="left" w:pos="4060"/>
          <w:tab w:val="left" w:pos="4760"/>
          <w:tab w:val="left" w:pos="5360"/>
          <w:tab w:val="left" w:pos="5800"/>
          <w:tab w:val="left" w:pos="6735"/>
          <w:tab w:val="left" w:pos="7260"/>
          <w:tab w:val="left" w:pos="8000"/>
        </w:tabs>
        <w:autoSpaceDE w:val="0"/>
        <w:autoSpaceDN w:val="0"/>
        <w:adjustRightInd w:val="0"/>
        <w:snapToGrid w:val="0"/>
        <w:spacing w:line="480" w:lineRule="auto"/>
        <w:ind w:firstLine="420"/>
        <w:rPr>
          <w:rFonts w:ascii="宋体" w:hAnsi="宋体"/>
          <w:snapToGrid w:val="0"/>
          <w:kern w:val="0"/>
          <w:szCs w:val="21"/>
          <w:highlight w:val="none"/>
        </w:rPr>
      </w:pPr>
      <w:r>
        <w:rPr>
          <w:rFonts w:ascii="宋体" w:hAnsi="宋体"/>
          <w:snapToGrid w:val="0"/>
          <w:kern w:val="0"/>
          <w:szCs w:val="21"/>
          <w:highlight w:val="none"/>
        </w:rPr>
        <w:t>请将上述问题的澄清于</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年</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月</w:t>
      </w:r>
      <w:r>
        <w:rPr>
          <w:rFonts w:ascii="宋体" w:hAnsi="宋体"/>
          <w:snapToGrid w:val="0"/>
          <w:w w:val="200"/>
          <w:kern w:val="0"/>
          <w:szCs w:val="21"/>
          <w:highlight w:val="none"/>
          <w:u w:val="single"/>
        </w:rPr>
        <w:t xml:space="preserve"> </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日</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时前</w:t>
      </w:r>
      <w:r>
        <w:rPr>
          <w:rFonts w:hint="eastAsia" w:ascii="宋体" w:hAnsi="宋体"/>
          <w:snapToGrid w:val="0"/>
          <w:kern w:val="0"/>
          <w:szCs w:val="21"/>
          <w:highlight w:val="none"/>
        </w:rPr>
        <w:t>通过重庆市电子招投标系统提交</w:t>
      </w:r>
      <w:r>
        <w:rPr>
          <w:rFonts w:ascii="宋体" w:hAnsi="宋体"/>
          <w:snapToGrid w:val="0"/>
          <w:kern w:val="0"/>
          <w:szCs w:val="21"/>
          <w:highlight w:val="none"/>
        </w:rPr>
        <w:t>。</w:t>
      </w:r>
    </w:p>
    <w:p>
      <w:pPr>
        <w:autoSpaceDE w:val="0"/>
        <w:autoSpaceDN w:val="0"/>
        <w:adjustRightInd w:val="0"/>
        <w:snapToGrid w:val="0"/>
        <w:spacing w:line="360" w:lineRule="auto"/>
        <w:jc w:val="left"/>
        <w:rPr>
          <w:rFonts w:ascii="宋体" w:hAnsi="宋体"/>
          <w:snapToGrid w:val="0"/>
          <w:kern w:val="0"/>
          <w:sz w:val="20"/>
          <w:szCs w:val="20"/>
          <w:highlight w:val="none"/>
        </w:rPr>
      </w:pPr>
    </w:p>
    <w:p>
      <w:pPr>
        <w:tabs>
          <w:tab w:val="left" w:pos="6400"/>
        </w:tabs>
        <w:autoSpaceDE w:val="0"/>
        <w:autoSpaceDN w:val="0"/>
        <w:adjustRightInd w:val="0"/>
        <w:snapToGrid w:val="0"/>
        <w:spacing w:line="360" w:lineRule="auto"/>
        <w:jc w:val="right"/>
        <w:rPr>
          <w:rFonts w:ascii="宋体" w:hAnsi="宋体"/>
          <w:snapToGrid w:val="0"/>
          <w:kern w:val="0"/>
          <w:szCs w:val="21"/>
          <w:highlight w:val="none"/>
        </w:rPr>
      </w:pPr>
      <w:r>
        <w:rPr>
          <w:rFonts w:ascii="宋体" w:hAnsi="宋体"/>
          <w:snapToGrid w:val="0"/>
          <w:kern w:val="0"/>
          <w:szCs w:val="21"/>
          <w:highlight w:val="none"/>
        </w:rPr>
        <w:t xml:space="preserve">                             评标委员会：</w:t>
      </w:r>
      <w:r>
        <w:rPr>
          <w:rFonts w:ascii="宋体" w:hAnsi="宋体"/>
          <w:snapToGrid w:val="0"/>
          <w:kern w:val="0"/>
          <w:szCs w:val="21"/>
          <w:highlight w:val="none"/>
          <w:u w:val="single"/>
        </w:rPr>
        <w:t xml:space="preserve">                   </w:t>
      </w:r>
      <w:r>
        <w:rPr>
          <w:rFonts w:ascii="宋体" w:hAnsi="宋体"/>
          <w:snapToGrid w:val="0"/>
          <w:kern w:val="0"/>
          <w:szCs w:val="21"/>
          <w:highlight w:val="none"/>
        </w:rPr>
        <w:t>（签名）</w:t>
      </w:r>
    </w:p>
    <w:p>
      <w:pPr>
        <w:pStyle w:val="2"/>
        <w:jc w:val="right"/>
        <w:rPr>
          <w:i/>
          <w:highlight w:val="none"/>
        </w:rPr>
      </w:pPr>
      <w:r>
        <w:rPr>
          <w:rFonts w:hint="eastAsia"/>
          <w:i/>
          <w:highlight w:val="none"/>
        </w:rPr>
        <w:t>[提示：重庆市电子招投标系统应实现投标人接收端口签名隐藏显示功能]</w:t>
      </w:r>
    </w:p>
    <w:p>
      <w:pPr>
        <w:tabs>
          <w:tab w:val="left" w:pos="6400"/>
        </w:tabs>
        <w:autoSpaceDE w:val="0"/>
        <w:autoSpaceDN w:val="0"/>
        <w:adjustRightInd w:val="0"/>
        <w:snapToGrid w:val="0"/>
        <w:spacing w:line="360" w:lineRule="auto"/>
        <w:ind w:right="120"/>
        <w:jc w:val="right"/>
        <w:rPr>
          <w:rFonts w:ascii="宋体" w:hAnsi="宋体"/>
          <w:snapToGrid w:val="0"/>
          <w:kern w:val="0"/>
          <w:sz w:val="24"/>
          <w:highlight w:val="none"/>
        </w:rPr>
      </w:pPr>
      <w:r>
        <w:rPr>
          <w:rFonts w:ascii="宋体" w:hAnsi="宋体"/>
          <w:snapToGrid w:val="0"/>
          <w:kern w:val="0"/>
          <w:sz w:val="24"/>
          <w:highlight w:val="none"/>
        </w:rPr>
        <w:t xml:space="preserve"> </w:t>
      </w:r>
    </w:p>
    <w:p>
      <w:pPr>
        <w:autoSpaceDE w:val="0"/>
        <w:autoSpaceDN w:val="0"/>
        <w:adjustRightInd w:val="0"/>
        <w:snapToGrid w:val="0"/>
        <w:spacing w:line="360" w:lineRule="auto"/>
        <w:ind w:firstLine="315" w:firstLineChars="150"/>
        <w:jc w:val="right"/>
        <w:rPr>
          <w:rFonts w:ascii="宋体" w:hAnsi="宋体"/>
          <w:snapToGrid w:val="0"/>
          <w:kern w:val="0"/>
          <w:szCs w:val="21"/>
          <w:highlight w:val="none"/>
        </w:rPr>
      </w:pPr>
      <w:r>
        <w:rPr>
          <w:rFonts w:ascii="宋体" w:hAnsi="宋体"/>
          <w:snapToGrid w:val="0"/>
          <w:kern w:val="0"/>
          <w:szCs w:val="21"/>
          <w:highlight w:val="none"/>
        </w:rPr>
        <w:t xml:space="preserve">                            </w:t>
      </w:r>
    </w:p>
    <w:p>
      <w:pPr>
        <w:wordWrap w:val="0"/>
        <w:autoSpaceDE w:val="0"/>
        <w:autoSpaceDN w:val="0"/>
        <w:adjustRightInd w:val="0"/>
        <w:snapToGrid w:val="0"/>
        <w:spacing w:line="360" w:lineRule="auto"/>
        <w:ind w:firstLine="850" w:firstLineChars="405"/>
        <w:jc w:val="right"/>
        <w:rPr>
          <w:rFonts w:ascii="宋体" w:hAnsi="宋体"/>
          <w:snapToGrid w:val="0"/>
          <w:kern w:val="0"/>
          <w:szCs w:val="21"/>
          <w:highlight w:val="none"/>
        </w:rPr>
      </w:pPr>
      <w:r>
        <w:rPr>
          <w:rFonts w:ascii="宋体" w:hAnsi="宋体"/>
          <w:snapToGrid w:val="0"/>
          <w:kern w:val="0"/>
          <w:szCs w:val="21"/>
          <w:highlight w:val="none"/>
        </w:rPr>
        <w:t xml:space="preserve">                             </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年</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月</w:t>
      </w:r>
      <w:r>
        <w:rPr>
          <w:rFonts w:ascii="宋体" w:hAnsi="宋体"/>
          <w:snapToGrid w:val="0"/>
          <w:w w:val="200"/>
          <w:kern w:val="0"/>
          <w:szCs w:val="21"/>
          <w:highlight w:val="none"/>
          <w:u w:val="single"/>
        </w:rPr>
        <w:t xml:space="preserve"> </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日</w:t>
      </w:r>
      <w:r>
        <w:rPr>
          <w:rFonts w:hint="eastAsia" w:ascii="宋体" w:hAnsi="宋体"/>
          <w:snapToGrid w:val="0"/>
          <w:kern w:val="0"/>
          <w:szCs w:val="21"/>
          <w:highlight w:val="none"/>
        </w:rPr>
        <w:t xml:space="preserve">  </w:t>
      </w:r>
    </w:p>
    <w:p>
      <w:pPr>
        <w:autoSpaceDE w:val="0"/>
        <w:autoSpaceDN w:val="0"/>
        <w:adjustRightInd w:val="0"/>
        <w:snapToGrid w:val="0"/>
        <w:spacing w:line="360" w:lineRule="auto"/>
        <w:jc w:val="left"/>
        <w:rPr>
          <w:rFonts w:ascii="宋体" w:hAnsi="宋体"/>
          <w:b/>
          <w:snapToGrid w:val="0"/>
          <w:kern w:val="0"/>
          <w:highlight w:val="none"/>
        </w:rPr>
      </w:pPr>
      <w:r>
        <w:rPr>
          <w:rFonts w:ascii="宋体" w:hAnsi="宋体"/>
          <w:b/>
          <w:snapToGrid w:val="0"/>
          <w:kern w:val="0"/>
          <w:sz w:val="24"/>
          <w:highlight w:val="none"/>
        </w:rPr>
        <w:br w:type="page"/>
      </w:r>
      <w:r>
        <w:rPr>
          <w:rFonts w:ascii="宋体" w:hAnsi="宋体"/>
          <w:b/>
          <w:snapToGrid w:val="0"/>
          <w:kern w:val="0"/>
          <w:highlight w:val="none"/>
        </w:rPr>
        <w:t>附表</w:t>
      </w:r>
      <w:r>
        <w:rPr>
          <w:rFonts w:hint="eastAsia" w:ascii="宋体" w:hAnsi="宋体"/>
          <w:b/>
          <w:snapToGrid w:val="0"/>
          <w:kern w:val="0"/>
          <w:highlight w:val="none"/>
        </w:rPr>
        <w:t>四</w:t>
      </w:r>
      <w:r>
        <w:rPr>
          <w:rFonts w:ascii="宋体" w:hAnsi="宋体"/>
          <w:b/>
          <w:snapToGrid w:val="0"/>
          <w:kern w:val="0"/>
          <w:highlight w:val="none"/>
        </w:rPr>
        <w:t>：问题的澄清</w:t>
      </w:r>
    </w:p>
    <w:p>
      <w:pPr>
        <w:autoSpaceDE w:val="0"/>
        <w:autoSpaceDN w:val="0"/>
        <w:adjustRightInd w:val="0"/>
        <w:snapToGrid w:val="0"/>
        <w:spacing w:line="360" w:lineRule="auto"/>
        <w:jc w:val="left"/>
        <w:rPr>
          <w:rFonts w:ascii="宋体" w:hAnsi="宋体"/>
          <w:b/>
          <w:snapToGrid w:val="0"/>
          <w:kern w:val="0"/>
          <w:sz w:val="10"/>
          <w:szCs w:val="10"/>
          <w:highlight w:val="none"/>
        </w:rPr>
      </w:pPr>
    </w:p>
    <w:p>
      <w:pPr>
        <w:autoSpaceDE w:val="0"/>
        <w:autoSpaceDN w:val="0"/>
        <w:adjustRightInd w:val="0"/>
        <w:snapToGrid w:val="0"/>
        <w:spacing w:line="360" w:lineRule="auto"/>
        <w:jc w:val="center"/>
        <w:rPr>
          <w:rFonts w:ascii="宋体" w:hAnsi="宋体"/>
          <w:b/>
          <w:snapToGrid w:val="0"/>
          <w:kern w:val="0"/>
          <w:sz w:val="32"/>
          <w:szCs w:val="32"/>
          <w:highlight w:val="none"/>
        </w:rPr>
      </w:pPr>
      <w:r>
        <w:rPr>
          <w:rFonts w:ascii="宋体" w:hAnsi="宋体"/>
          <w:b/>
          <w:snapToGrid w:val="0"/>
          <w:w w:val="99"/>
          <w:kern w:val="0"/>
          <w:sz w:val="32"/>
          <w:szCs w:val="32"/>
          <w:highlight w:val="none"/>
        </w:rPr>
        <w:t>问题的澄清</w:t>
      </w:r>
    </w:p>
    <w:p>
      <w:pPr>
        <w:autoSpaceDE w:val="0"/>
        <w:autoSpaceDN w:val="0"/>
        <w:adjustRightInd w:val="0"/>
        <w:snapToGrid w:val="0"/>
        <w:spacing w:line="360" w:lineRule="auto"/>
        <w:ind w:firstLine="3255" w:firstLineChars="1550"/>
        <w:jc w:val="left"/>
        <w:rPr>
          <w:rFonts w:ascii="宋体" w:hAnsi="宋体"/>
          <w:snapToGrid w:val="0"/>
          <w:kern w:val="0"/>
          <w:szCs w:val="21"/>
          <w:highlight w:val="none"/>
        </w:rPr>
      </w:pPr>
    </w:p>
    <w:p>
      <w:pPr>
        <w:autoSpaceDE w:val="0"/>
        <w:autoSpaceDN w:val="0"/>
        <w:adjustRightInd w:val="0"/>
        <w:snapToGrid w:val="0"/>
        <w:spacing w:line="360" w:lineRule="auto"/>
        <w:ind w:firstLine="3255" w:firstLineChars="1550"/>
        <w:jc w:val="left"/>
        <w:rPr>
          <w:rFonts w:ascii="宋体" w:hAnsi="宋体"/>
          <w:snapToGrid w:val="0"/>
          <w:kern w:val="0"/>
          <w:szCs w:val="21"/>
          <w:highlight w:val="none"/>
          <w:u w:val="single"/>
        </w:rPr>
      </w:pPr>
      <w:r>
        <w:rPr>
          <w:rFonts w:ascii="宋体" w:hAnsi="宋体"/>
          <w:snapToGrid w:val="0"/>
          <w:kern w:val="0"/>
          <w:szCs w:val="21"/>
          <w:highlight w:val="none"/>
        </w:rPr>
        <w:t>编号：</w:t>
      </w:r>
      <w:r>
        <w:rPr>
          <w:rFonts w:hint="eastAsia" w:ascii="宋体" w:hAnsi="宋体"/>
          <w:snapToGrid w:val="0"/>
          <w:kern w:val="0"/>
          <w:szCs w:val="21"/>
          <w:highlight w:val="none"/>
          <w:u w:val="single"/>
        </w:rPr>
        <w:t xml:space="preserve">                     </w:t>
      </w:r>
    </w:p>
    <w:p>
      <w:pPr>
        <w:autoSpaceDE w:val="0"/>
        <w:autoSpaceDN w:val="0"/>
        <w:adjustRightInd w:val="0"/>
        <w:snapToGrid w:val="0"/>
        <w:spacing w:line="360" w:lineRule="auto"/>
        <w:ind w:firstLine="3150" w:firstLineChars="1500"/>
        <w:rPr>
          <w:rFonts w:ascii="宋体" w:hAnsi="宋体"/>
          <w:snapToGrid w:val="0"/>
          <w:kern w:val="0"/>
          <w:szCs w:val="21"/>
          <w:highlight w:val="none"/>
        </w:rPr>
      </w:pPr>
    </w:p>
    <w:p>
      <w:pPr>
        <w:autoSpaceDE w:val="0"/>
        <w:autoSpaceDN w:val="0"/>
        <w:adjustRightInd w:val="0"/>
        <w:snapToGrid w:val="0"/>
        <w:spacing w:line="360" w:lineRule="auto"/>
        <w:ind w:firstLine="3150" w:firstLineChars="1500"/>
        <w:rPr>
          <w:rFonts w:ascii="宋体" w:hAnsi="宋体"/>
          <w:snapToGrid w:val="0"/>
          <w:kern w:val="0"/>
          <w:szCs w:val="21"/>
          <w:highlight w:val="none"/>
        </w:rPr>
      </w:pPr>
    </w:p>
    <w:p>
      <w:pPr>
        <w:tabs>
          <w:tab w:val="left" w:pos="735"/>
          <w:tab w:val="left" w:pos="4200"/>
        </w:tabs>
        <w:autoSpaceDE w:val="0"/>
        <w:autoSpaceDN w:val="0"/>
        <w:adjustRightInd w:val="0"/>
        <w:snapToGrid w:val="0"/>
        <w:spacing w:line="480" w:lineRule="auto"/>
        <w:jc w:val="left"/>
        <w:rPr>
          <w:rFonts w:ascii="宋体" w:hAnsi="宋体"/>
          <w:snapToGrid w:val="0"/>
          <w:kern w:val="0"/>
          <w:szCs w:val="21"/>
          <w:highlight w:val="none"/>
        </w:rPr>
      </w:pPr>
      <w:r>
        <w:rPr>
          <w:rFonts w:ascii="宋体" w:hAnsi="宋体"/>
          <w:snapToGrid w:val="0"/>
          <w:w w:val="200"/>
          <w:kern w:val="0"/>
          <w:szCs w:val="21"/>
          <w:highlight w:val="none"/>
          <w:u w:val="single"/>
        </w:rPr>
        <w:t xml:space="preserve"> </w:t>
      </w:r>
      <w:r>
        <w:rPr>
          <w:rFonts w:ascii="宋体" w:hAnsi="宋体"/>
          <w:snapToGrid w:val="0"/>
          <w:kern w:val="0"/>
          <w:szCs w:val="21"/>
          <w:highlight w:val="none"/>
          <w:u w:val="single"/>
        </w:rPr>
        <w:tab/>
      </w:r>
      <w:r>
        <w:rPr>
          <w:rFonts w:ascii="宋体" w:hAnsi="宋体"/>
          <w:snapToGrid w:val="0"/>
          <w:kern w:val="0"/>
          <w:szCs w:val="21"/>
          <w:highlight w:val="none"/>
          <w:u w:val="single"/>
        </w:rPr>
        <w:t>（项目名称）</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招标评标委员会：</w:t>
      </w:r>
    </w:p>
    <w:p>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highlight w:val="none"/>
        </w:rPr>
      </w:pPr>
      <w:r>
        <w:rPr>
          <w:rFonts w:ascii="宋体" w:hAnsi="宋体"/>
          <w:snapToGrid w:val="0"/>
          <w:kern w:val="0"/>
          <w:szCs w:val="21"/>
          <w:highlight w:val="none"/>
        </w:rPr>
        <w:t>问题澄清通知（编号：</w:t>
      </w:r>
      <w:r>
        <w:rPr>
          <w:rFonts w:ascii="宋体" w:hAnsi="宋体"/>
          <w:snapToGrid w:val="0"/>
          <w:w w:val="200"/>
          <w:kern w:val="0"/>
          <w:szCs w:val="21"/>
          <w:highlight w:val="none"/>
          <w:u w:val="single"/>
        </w:rPr>
        <w:t xml:space="preserve"> </w:t>
      </w:r>
      <w:r>
        <w:rPr>
          <w:rFonts w:hint="eastAsia" w:ascii="宋体" w:hAnsi="宋体"/>
          <w:snapToGrid w:val="0"/>
          <w:w w:val="200"/>
          <w:kern w:val="0"/>
          <w:szCs w:val="21"/>
          <w:highlight w:val="none"/>
          <w:u w:val="single"/>
        </w:rPr>
        <w:t xml:space="preserve">         </w:t>
      </w:r>
      <w:r>
        <w:rPr>
          <w:rFonts w:ascii="宋体" w:hAnsi="宋体"/>
          <w:snapToGrid w:val="0"/>
          <w:kern w:val="0"/>
          <w:szCs w:val="21"/>
          <w:highlight w:val="none"/>
          <w:u w:val="single"/>
        </w:rPr>
        <w:tab/>
      </w:r>
      <w:r>
        <w:rPr>
          <w:rFonts w:ascii="宋体" w:hAnsi="宋体"/>
          <w:snapToGrid w:val="0"/>
          <w:kern w:val="0"/>
          <w:szCs w:val="21"/>
          <w:highlight w:val="none"/>
        </w:rPr>
        <w:t>）已收悉，现澄清如下：</w:t>
      </w:r>
    </w:p>
    <w:p>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highlight w:val="none"/>
        </w:rPr>
      </w:pPr>
    </w:p>
    <w:p>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highlight w:val="none"/>
        </w:rPr>
      </w:pPr>
    </w:p>
    <w:p>
      <w:pPr>
        <w:autoSpaceDE w:val="0"/>
        <w:autoSpaceDN w:val="0"/>
        <w:adjustRightInd w:val="0"/>
        <w:snapToGrid w:val="0"/>
        <w:spacing w:line="360" w:lineRule="auto"/>
        <w:jc w:val="left"/>
        <w:rPr>
          <w:rFonts w:ascii="宋体" w:hAnsi="宋体"/>
          <w:snapToGrid w:val="0"/>
          <w:kern w:val="0"/>
          <w:szCs w:val="21"/>
          <w:highlight w:val="none"/>
        </w:rPr>
      </w:pPr>
      <w:r>
        <w:rPr>
          <w:rFonts w:ascii="宋体" w:hAnsi="宋体"/>
          <w:snapToGrid w:val="0"/>
          <w:kern w:val="0"/>
          <w:szCs w:val="21"/>
          <w:highlight w:val="none"/>
        </w:rPr>
        <w:t xml:space="preserve">1. </w:t>
      </w:r>
    </w:p>
    <w:p>
      <w:pPr>
        <w:autoSpaceDE w:val="0"/>
        <w:autoSpaceDN w:val="0"/>
        <w:adjustRightInd w:val="0"/>
        <w:snapToGrid w:val="0"/>
        <w:spacing w:line="360" w:lineRule="auto"/>
        <w:jc w:val="left"/>
        <w:rPr>
          <w:rFonts w:ascii="宋体" w:hAnsi="宋体"/>
          <w:snapToGrid w:val="0"/>
          <w:kern w:val="0"/>
          <w:sz w:val="18"/>
          <w:szCs w:val="18"/>
          <w:highlight w:val="none"/>
        </w:rPr>
      </w:pPr>
    </w:p>
    <w:p>
      <w:pPr>
        <w:autoSpaceDE w:val="0"/>
        <w:autoSpaceDN w:val="0"/>
        <w:adjustRightInd w:val="0"/>
        <w:snapToGrid w:val="0"/>
        <w:spacing w:line="360" w:lineRule="auto"/>
        <w:jc w:val="left"/>
        <w:rPr>
          <w:rFonts w:ascii="宋体" w:hAnsi="宋体"/>
          <w:snapToGrid w:val="0"/>
          <w:kern w:val="0"/>
          <w:sz w:val="18"/>
          <w:szCs w:val="18"/>
          <w:highlight w:val="none"/>
        </w:rPr>
      </w:pPr>
    </w:p>
    <w:p>
      <w:pPr>
        <w:autoSpaceDE w:val="0"/>
        <w:autoSpaceDN w:val="0"/>
        <w:adjustRightInd w:val="0"/>
        <w:snapToGrid w:val="0"/>
        <w:spacing w:line="360" w:lineRule="auto"/>
        <w:jc w:val="left"/>
        <w:rPr>
          <w:rFonts w:ascii="宋体" w:hAnsi="宋体"/>
          <w:snapToGrid w:val="0"/>
          <w:kern w:val="0"/>
          <w:sz w:val="18"/>
          <w:szCs w:val="18"/>
          <w:highlight w:val="none"/>
        </w:rPr>
      </w:pPr>
    </w:p>
    <w:p>
      <w:pPr>
        <w:autoSpaceDE w:val="0"/>
        <w:autoSpaceDN w:val="0"/>
        <w:adjustRightInd w:val="0"/>
        <w:snapToGrid w:val="0"/>
        <w:spacing w:line="360" w:lineRule="auto"/>
        <w:jc w:val="left"/>
        <w:rPr>
          <w:rFonts w:ascii="宋体" w:hAnsi="宋体"/>
          <w:snapToGrid w:val="0"/>
          <w:kern w:val="0"/>
          <w:sz w:val="18"/>
          <w:szCs w:val="18"/>
          <w:highlight w:val="none"/>
        </w:rPr>
      </w:pPr>
    </w:p>
    <w:p>
      <w:pPr>
        <w:autoSpaceDE w:val="0"/>
        <w:autoSpaceDN w:val="0"/>
        <w:adjustRightInd w:val="0"/>
        <w:snapToGrid w:val="0"/>
        <w:spacing w:line="360" w:lineRule="auto"/>
        <w:jc w:val="left"/>
        <w:rPr>
          <w:rFonts w:ascii="宋体" w:hAnsi="宋体"/>
          <w:snapToGrid w:val="0"/>
          <w:kern w:val="0"/>
          <w:sz w:val="18"/>
          <w:szCs w:val="18"/>
          <w:highlight w:val="none"/>
        </w:rPr>
      </w:pPr>
    </w:p>
    <w:p>
      <w:pPr>
        <w:autoSpaceDE w:val="0"/>
        <w:autoSpaceDN w:val="0"/>
        <w:adjustRightInd w:val="0"/>
        <w:snapToGrid w:val="0"/>
        <w:spacing w:line="360" w:lineRule="auto"/>
        <w:jc w:val="left"/>
        <w:rPr>
          <w:rFonts w:ascii="宋体" w:hAnsi="宋体"/>
          <w:snapToGrid w:val="0"/>
          <w:kern w:val="0"/>
          <w:szCs w:val="21"/>
          <w:highlight w:val="none"/>
        </w:rPr>
      </w:pPr>
      <w:r>
        <w:rPr>
          <w:rFonts w:ascii="宋体" w:hAnsi="宋体"/>
          <w:snapToGrid w:val="0"/>
          <w:kern w:val="0"/>
          <w:szCs w:val="21"/>
          <w:highlight w:val="none"/>
        </w:rPr>
        <w:t xml:space="preserve">2. </w:t>
      </w:r>
    </w:p>
    <w:p>
      <w:pPr>
        <w:autoSpaceDE w:val="0"/>
        <w:autoSpaceDN w:val="0"/>
        <w:adjustRightInd w:val="0"/>
        <w:snapToGrid w:val="0"/>
        <w:spacing w:line="360" w:lineRule="auto"/>
        <w:jc w:val="left"/>
        <w:rPr>
          <w:rFonts w:ascii="宋体" w:hAnsi="宋体"/>
          <w:snapToGrid w:val="0"/>
          <w:kern w:val="0"/>
          <w:sz w:val="20"/>
          <w:szCs w:val="20"/>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p>
    <w:p>
      <w:pPr>
        <w:autoSpaceDE w:val="0"/>
        <w:autoSpaceDN w:val="0"/>
        <w:adjustRightInd w:val="0"/>
        <w:snapToGrid w:val="0"/>
        <w:spacing w:line="360" w:lineRule="auto"/>
        <w:jc w:val="left"/>
        <w:rPr>
          <w:rFonts w:ascii="宋体" w:hAnsi="宋体"/>
          <w:snapToGrid w:val="0"/>
          <w:kern w:val="0"/>
          <w:sz w:val="22"/>
          <w:szCs w:val="22"/>
          <w:highlight w:val="none"/>
        </w:rPr>
      </w:pPr>
    </w:p>
    <w:p>
      <w:pPr>
        <w:autoSpaceDE w:val="0"/>
        <w:autoSpaceDN w:val="0"/>
        <w:adjustRightInd w:val="0"/>
        <w:snapToGrid w:val="0"/>
        <w:spacing w:line="360" w:lineRule="auto"/>
        <w:jc w:val="left"/>
        <w:rPr>
          <w:rFonts w:ascii="宋体" w:hAnsi="宋体"/>
          <w:snapToGrid w:val="0"/>
          <w:kern w:val="0"/>
          <w:szCs w:val="21"/>
          <w:highlight w:val="none"/>
        </w:rPr>
      </w:pPr>
      <w:r>
        <w:rPr>
          <w:rFonts w:ascii="宋体" w:hAnsi="宋体"/>
          <w:snapToGrid w:val="0"/>
          <w:kern w:val="0"/>
          <w:szCs w:val="21"/>
          <w:highlight w:val="none"/>
        </w:rPr>
        <w:t>.....</w:t>
      </w:r>
    </w:p>
    <w:p>
      <w:pPr>
        <w:autoSpaceDE w:val="0"/>
        <w:autoSpaceDN w:val="0"/>
        <w:adjustRightInd w:val="0"/>
        <w:snapToGrid w:val="0"/>
        <w:spacing w:line="360" w:lineRule="auto"/>
        <w:jc w:val="left"/>
        <w:rPr>
          <w:rFonts w:ascii="宋体" w:hAnsi="宋体"/>
          <w:snapToGrid w:val="0"/>
          <w:kern w:val="0"/>
          <w:sz w:val="18"/>
          <w:szCs w:val="18"/>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p>
    <w:p>
      <w:pPr>
        <w:tabs>
          <w:tab w:val="left" w:pos="7035"/>
        </w:tabs>
        <w:autoSpaceDE w:val="0"/>
        <w:autoSpaceDN w:val="0"/>
        <w:adjustRightInd w:val="0"/>
        <w:snapToGrid w:val="0"/>
        <w:spacing w:line="480" w:lineRule="auto"/>
        <w:ind w:firstLine="2551" w:firstLineChars="1215"/>
        <w:jc w:val="right"/>
        <w:rPr>
          <w:rFonts w:ascii="宋体" w:hAnsi="宋体"/>
          <w:snapToGrid w:val="0"/>
          <w:kern w:val="0"/>
          <w:szCs w:val="21"/>
          <w:highlight w:val="none"/>
        </w:rPr>
      </w:pPr>
      <w:r>
        <w:rPr>
          <w:rFonts w:ascii="宋体" w:hAnsi="宋体"/>
          <w:snapToGrid w:val="0"/>
          <w:kern w:val="0"/>
          <w:szCs w:val="21"/>
          <w:highlight w:val="none"/>
        </w:rPr>
        <w:t>投标人：</w:t>
      </w:r>
      <w:r>
        <w:rPr>
          <w:rFonts w:ascii="宋体" w:hAnsi="宋体"/>
          <w:snapToGrid w:val="0"/>
          <w:w w:val="200"/>
          <w:kern w:val="0"/>
          <w:szCs w:val="21"/>
          <w:highlight w:val="none"/>
          <w:u w:val="single"/>
        </w:rPr>
        <w:t xml:space="preserve"> </w:t>
      </w:r>
      <w:r>
        <w:rPr>
          <w:rFonts w:hint="eastAsia" w:ascii="宋体" w:hAnsi="宋体"/>
          <w:snapToGrid w:val="0"/>
          <w:w w:val="200"/>
          <w:kern w:val="0"/>
          <w:szCs w:val="21"/>
          <w:highlight w:val="none"/>
          <w:u w:val="single"/>
        </w:rPr>
        <w:t xml:space="preserve">          </w:t>
      </w:r>
      <w:r>
        <w:rPr>
          <w:rFonts w:ascii="宋体" w:hAnsi="宋体"/>
          <w:snapToGrid w:val="0"/>
          <w:kern w:val="0"/>
          <w:szCs w:val="21"/>
          <w:highlight w:val="none"/>
        </w:rPr>
        <w:t xml:space="preserve">（盖单位法人章） </w:t>
      </w:r>
    </w:p>
    <w:p>
      <w:pPr>
        <w:tabs>
          <w:tab w:val="left" w:pos="6620"/>
          <w:tab w:val="left" w:pos="7040"/>
        </w:tabs>
        <w:autoSpaceDE w:val="0"/>
        <w:autoSpaceDN w:val="0"/>
        <w:adjustRightInd w:val="0"/>
        <w:snapToGrid w:val="0"/>
        <w:spacing w:line="480" w:lineRule="auto"/>
        <w:ind w:firstLine="2551" w:firstLineChars="1215"/>
        <w:jc w:val="right"/>
        <w:rPr>
          <w:rFonts w:ascii="宋体" w:hAnsi="宋体"/>
          <w:snapToGrid w:val="0"/>
          <w:kern w:val="0"/>
          <w:szCs w:val="21"/>
          <w:highlight w:val="none"/>
        </w:rPr>
      </w:pPr>
      <w:r>
        <w:rPr>
          <w:rFonts w:ascii="宋体" w:hAnsi="宋体"/>
          <w:snapToGrid w:val="0"/>
          <w:kern w:val="0"/>
          <w:szCs w:val="21"/>
          <w:highlight w:val="none"/>
        </w:rPr>
        <w:t>法定代表人或其委托代理人：</w:t>
      </w:r>
      <w:r>
        <w:rPr>
          <w:rFonts w:ascii="宋体" w:hAnsi="宋体"/>
          <w:snapToGrid w:val="0"/>
          <w:w w:val="200"/>
          <w:kern w:val="0"/>
          <w:szCs w:val="21"/>
          <w:highlight w:val="none"/>
          <w:u w:val="single"/>
        </w:rPr>
        <w:t xml:space="preserve"> </w:t>
      </w:r>
      <w:r>
        <w:rPr>
          <w:rFonts w:hint="eastAsia" w:ascii="宋体" w:hAnsi="宋体"/>
          <w:snapToGrid w:val="0"/>
          <w:w w:val="200"/>
          <w:kern w:val="0"/>
          <w:szCs w:val="21"/>
          <w:highlight w:val="none"/>
          <w:u w:val="single"/>
        </w:rPr>
        <w:t xml:space="preserve">        </w:t>
      </w:r>
      <w:r>
        <w:rPr>
          <w:rFonts w:ascii="宋体" w:hAnsi="宋体"/>
          <w:snapToGrid w:val="0"/>
          <w:kern w:val="0"/>
          <w:szCs w:val="21"/>
          <w:highlight w:val="none"/>
          <w:u w:val="single"/>
        </w:rPr>
        <w:tab/>
      </w:r>
      <w:r>
        <w:rPr>
          <w:rFonts w:ascii="宋体" w:hAnsi="宋体"/>
          <w:snapToGrid w:val="0"/>
          <w:kern w:val="0"/>
          <w:szCs w:val="21"/>
          <w:highlight w:val="none"/>
          <w:u w:val="single"/>
        </w:rPr>
        <w:tab/>
      </w:r>
      <w:r>
        <w:rPr>
          <w:rFonts w:ascii="宋体" w:hAnsi="宋体"/>
          <w:snapToGrid w:val="0"/>
          <w:kern w:val="0"/>
          <w:szCs w:val="21"/>
          <w:highlight w:val="none"/>
        </w:rPr>
        <w:t>（签名或盖章）</w:t>
      </w:r>
    </w:p>
    <w:p>
      <w:pPr>
        <w:autoSpaceDE w:val="0"/>
        <w:autoSpaceDN w:val="0"/>
        <w:adjustRightInd w:val="0"/>
        <w:snapToGrid w:val="0"/>
        <w:spacing w:line="360" w:lineRule="auto"/>
        <w:jc w:val="right"/>
        <w:rPr>
          <w:rFonts w:ascii="宋体" w:hAnsi="宋体"/>
          <w:snapToGrid w:val="0"/>
          <w:kern w:val="0"/>
          <w:sz w:val="20"/>
          <w:szCs w:val="20"/>
          <w:highlight w:val="none"/>
        </w:rPr>
      </w:pPr>
    </w:p>
    <w:p>
      <w:pPr>
        <w:wordWrap w:val="0"/>
        <w:autoSpaceDE w:val="0"/>
        <w:autoSpaceDN w:val="0"/>
        <w:adjustRightInd w:val="0"/>
        <w:snapToGrid w:val="0"/>
        <w:spacing w:line="360" w:lineRule="auto"/>
        <w:ind w:firstLine="315" w:firstLineChars="150"/>
        <w:jc w:val="right"/>
        <w:rPr>
          <w:rFonts w:ascii="宋体" w:hAnsi="宋体"/>
          <w:snapToGrid w:val="0"/>
          <w:kern w:val="0"/>
          <w:szCs w:val="21"/>
          <w:highlight w:val="none"/>
        </w:rPr>
      </w:pPr>
      <w:r>
        <w:rPr>
          <w:rFonts w:ascii="宋体" w:hAnsi="宋体"/>
          <w:snapToGrid w:val="0"/>
          <w:kern w:val="0"/>
          <w:szCs w:val="21"/>
          <w:highlight w:val="none"/>
        </w:rPr>
        <w:t xml:space="preserve">                                          </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年</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月</w:t>
      </w:r>
      <w:r>
        <w:rPr>
          <w:rFonts w:ascii="宋体" w:hAnsi="宋体"/>
          <w:snapToGrid w:val="0"/>
          <w:w w:val="200"/>
          <w:kern w:val="0"/>
          <w:szCs w:val="21"/>
          <w:highlight w:val="none"/>
          <w:u w:val="single"/>
        </w:rPr>
        <w:t xml:space="preserve"> </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日</w:t>
      </w:r>
      <w:r>
        <w:rPr>
          <w:rFonts w:hint="eastAsia" w:ascii="宋体" w:hAnsi="宋体"/>
          <w:snapToGrid w:val="0"/>
          <w:kern w:val="0"/>
          <w:szCs w:val="21"/>
          <w:highlight w:val="none"/>
        </w:rPr>
        <w:t xml:space="preserve"> </w:t>
      </w:r>
    </w:p>
    <w:p>
      <w:pPr>
        <w:autoSpaceDE w:val="0"/>
        <w:autoSpaceDN w:val="0"/>
        <w:adjustRightInd w:val="0"/>
        <w:snapToGrid w:val="0"/>
        <w:spacing w:line="360" w:lineRule="auto"/>
        <w:jc w:val="left"/>
        <w:rPr>
          <w:rFonts w:ascii="宋体" w:hAnsi="宋体"/>
          <w:b/>
          <w:snapToGrid w:val="0"/>
          <w:kern w:val="0"/>
          <w:sz w:val="24"/>
          <w:highlight w:val="none"/>
        </w:rPr>
      </w:pPr>
    </w:p>
    <w:p>
      <w:pPr>
        <w:autoSpaceDE w:val="0"/>
        <w:autoSpaceDN w:val="0"/>
        <w:adjustRightInd w:val="0"/>
        <w:snapToGrid w:val="0"/>
        <w:spacing w:line="360" w:lineRule="auto"/>
        <w:jc w:val="left"/>
        <w:rPr>
          <w:rFonts w:ascii="宋体" w:hAnsi="宋体"/>
          <w:snapToGrid w:val="0"/>
          <w:kern w:val="0"/>
          <w:sz w:val="20"/>
          <w:szCs w:val="20"/>
          <w:highlight w:val="none"/>
        </w:rPr>
      </w:pPr>
      <w:r>
        <w:rPr>
          <w:rFonts w:ascii="宋体" w:hAnsi="宋体"/>
          <w:b/>
          <w:snapToGrid w:val="0"/>
          <w:kern w:val="0"/>
          <w:highlight w:val="none"/>
        </w:rPr>
        <w:t>附表</w:t>
      </w:r>
      <w:r>
        <w:rPr>
          <w:rFonts w:hint="eastAsia" w:ascii="宋体" w:hAnsi="宋体"/>
          <w:b/>
          <w:snapToGrid w:val="0"/>
          <w:kern w:val="0"/>
          <w:highlight w:val="none"/>
        </w:rPr>
        <w:t>五</w:t>
      </w:r>
      <w:r>
        <w:rPr>
          <w:rFonts w:ascii="宋体" w:hAnsi="宋体"/>
          <w:b/>
          <w:snapToGrid w:val="0"/>
          <w:kern w:val="0"/>
          <w:highlight w:val="none"/>
        </w:rPr>
        <w:t>：中标通知书</w:t>
      </w:r>
    </w:p>
    <w:p>
      <w:pPr>
        <w:autoSpaceDE w:val="0"/>
        <w:autoSpaceDN w:val="0"/>
        <w:adjustRightInd w:val="0"/>
        <w:spacing w:line="360" w:lineRule="auto"/>
        <w:jc w:val="left"/>
        <w:rPr>
          <w:rFonts w:ascii="宋体" w:hAnsi="宋体"/>
          <w:snapToGrid w:val="0"/>
          <w:kern w:val="0"/>
          <w:sz w:val="20"/>
          <w:szCs w:val="20"/>
          <w:highlight w:val="none"/>
        </w:rPr>
      </w:pPr>
    </w:p>
    <w:p>
      <w:pPr>
        <w:autoSpaceDE w:val="0"/>
        <w:autoSpaceDN w:val="0"/>
        <w:adjustRightInd w:val="0"/>
        <w:spacing w:line="360" w:lineRule="auto"/>
        <w:jc w:val="left"/>
        <w:rPr>
          <w:rFonts w:ascii="宋体" w:hAnsi="宋体"/>
          <w:snapToGrid w:val="0"/>
          <w:kern w:val="0"/>
          <w:sz w:val="20"/>
          <w:szCs w:val="20"/>
          <w:highlight w:val="none"/>
        </w:rPr>
      </w:pPr>
    </w:p>
    <w:p>
      <w:pPr>
        <w:autoSpaceDE w:val="0"/>
        <w:autoSpaceDN w:val="0"/>
        <w:adjustRightInd w:val="0"/>
        <w:spacing w:line="360" w:lineRule="auto"/>
        <w:jc w:val="left"/>
        <w:rPr>
          <w:rFonts w:ascii="宋体" w:hAnsi="宋体"/>
          <w:snapToGrid w:val="0"/>
          <w:kern w:val="0"/>
          <w:sz w:val="20"/>
          <w:szCs w:val="20"/>
          <w:highlight w:val="none"/>
        </w:rPr>
      </w:pPr>
    </w:p>
    <w:p>
      <w:pPr>
        <w:autoSpaceDE w:val="0"/>
        <w:autoSpaceDN w:val="0"/>
        <w:adjustRightInd w:val="0"/>
        <w:snapToGrid w:val="0"/>
        <w:spacing w:line="360" w:lineRule="auto"/>
        <w:jc w:val="center"/>
        <w:rPr>
          <w:rFonts w:ascii="宋体" w:hAnsi="宋体"/>
          <w:b/>
          <w:snapToGrid w:val="0"/>
          <w:w w:val="99"/>
          <w:kern w:val="0"/>
          <w:sz w:val="32"/>
          <w:szCs w:val="32"/>
          <w:highlight w:val="none"/>
        </w:rPr>
      </w:pPr>
      <w:r>
        <w:rPr>
          <w:rFonts w:hint="eastAsia" w:ascii="宋体" w:hAnsi="宋体"/>
          <w:b/>
          <w:snapToGrid w:val="0"/>
          <w:w w:val="99"/>
          <w:kern w:val="0"/>
          <w:sz w:val="32"/>
          <w:szCs w:val="32"/>
          <w:highlight w:val="none"/>
        </w:rPr>
        <w:t>重庆市建设工程勘察中标通知书</w:t>
      </w:r>
    </w:p>
    <w:p>
      <w:pPr>
        <w:spacing w:line="360" w:lineRule="auto"/>
        <w:rPr>
          <w:rFonts w:ascii="宋体" w:hAnsi="宋体"/>
          <w:bCs/>
          <w:kern w:val="0"/>
          <w:szCs w:val="21"/>
          <w:highlight w:val="none"/>
          <w:u w:val="single"/>
        </w:rPr>
      </w:pPr>
      <w:r>
        <w:rPr>
          <w:rFonts w:ascii="宋体" w:hAnsi="宋体"/>
          <w:bCs/>
          <w:kern w:val="0"/>
          <w:szCs w:val="21"/>
          <w:highlight w:val="none"/>
          <w:u w:val="single"/>
        </w:rPr>
        <w:t xml:space="preserve">       </w:t>
      </w:r>
      <w:r>
        <w:rPr>
          <w:rFonts w:ascii="宋体" w:hAnsi="宋体"/>
          <w:kern w:val="0"/>
          <w:szCs w:val="21"/>
          <w:highlight w:val="none"/>
          <w:u w:val="single"/>
        </w:rPr>
        <w:t>中标单位</w:t>
      </w:r>
      <w:r>
        <w:rPr>
          <w:rFonts w:ascii="宋体" w:hAnsi="宋体"/>
          <w:bCs/>
          <w:kern w:val="0"/>
          <w:szCs w:val="21"/>
          <w:highlight w:val="none"/>
          <w:u w:val="single"/>
        </w:rPr>
        <w:t xml:space="preserve">               </w:t>
      </w:r>
      <w:r>
        <w:rPr>
          <w:rFonts w:ascii="宋体" w:hAnsi="宋体"/>
          <w:bCs/>
          <w:kern w:val="0"/>
          <w:szCs w:val="21"/>
          <w:highlight w:val="none"/>
        </w:rPr>
        <w:t>：</w:t>
      </w:r>
    </w:p>
    <w:p>
      <w:pPr>
        <w:spacing w:line="360" w:lineRule="auto"/>
        <w:ind w:firstLine="420" w:firstLineChars="200"/>
        <w:rPr>
          <w:rFonts w:ascii="宋体" w:hAnsi="宋体"/>
          <w:kern w:val="0"/>
          <w:szCs w:val="21"/>
          <w:highlight w:val="none"/>
        </w:rPr>
      </w:pPr>
      <w:r>
        <w:rPr>
          <w:rFonts w:ascii="宋体" w:hAnsi="宋体"/>
          <w:kern w:val="0"/>
          <w:szCs w:val="21"/>
          <w:highlight w:val="none"/>
        </w:rPr>
        <w:t xml:space="preserve">我单位拟建的 </w:t>
      </w:r>
      <w:r>
        <w:rPr>
          <w:rFonts w:ascii="宋体" w:hAnsi="宋体"/>
          <w:bCs/>
          <w:kern w:val="0"/>
          <w:szCs w:val="21"/>
          <w:highlight w:val="none"/>
          <w:u w:val="single"/>
        </w:rPr>
        <w:t xml:space="preserve">   </w:t>
      </w:r>
      <w:r>
        <w:rPr>
          <w:rFonts w:hint="eastAsia" w:ascii="宋体" w:hAnsi="宋体"/>
          <w:bCs/>
          <w:kern w:val="0"/>
          <w:szCs w:val="21"/>
          <w:highlight w:val="none"/>
          <w:u w:val="single"/>
        </w:rPr>
        <w:t>（项目名称）</w:t>
      </w:r>
      <w:r>
        <w:rPr>
          <w:rFonts w:ascii="宋体" w:hAnsi="宋体"/>
          <w:bCs/>
          <w:kern w:val="0"/>
          <w:szCs w:val="21"/>
          <w:highlight w:val="none"/>
          <w:u w:val="single"/>
        </w:rPr>
        <w:t xml:space="preserve">    </w:t>
      </w:r>
      <w:r>
        <w:rPr>
          <w:rFonts w:ascii="宋体" w:hAnsi="宋体"/>
          <w:kern w:val="0"/>
          <w:szCs w:val="21"/>
          <w:highlight w:val="none"/>
        </w:rPr>
        <w:t>于</w:t>
      </w:r>
      <w:r>
        <w:rPr>
          <w:rFonts w:ascii="宋体" w:hAnsi="宋体"/>
          <w:bCs/>
          <w:kern w:val="0"/>
          <w:szCs w:val="21"/>
          <w:highlight w:val="none"/>
          <w:u w:val="single"/>
        </w:rPr>
        <w:t xml:space="preserve">    </w:t>
      </w:r>
      <w:r>
        <w:rPr>
          <w:rFonts w:ascii="宋体" w:hAnsi="宋体"/>
          <w:kern w:val="0"/>
          <w:szCs w:val="21"/>
          <w:highlight w:val="none"/>
        </w:rPr>
        <w:t>年</w:t>
      </w:r>
      <w:r>
        <w:rPr>
          <w:rFonts w:hint="eastAsia" w:ascii="宋体" w:hAnsi="宋体"/>
          <w:bCs/>
          <w:kern w:val="0"/>
          <w:szCs w:val="21"/>
          <w:highlight w:val="none"/>
          <w:u w:val="single"/>
        </w:rPr>
        <w:t xml:space="preserve">    </w:t>
      </w:r>
      <w:r>
        <w:rPr>
          <w:rFonts w:ascii="宋体" w:hAnsi="宋体"/>
          <w:kern w:val="0"/>
          <w:szCs w:val="21"/>
          <w:highlight w:val="none"/>
        </w:rPr>
        <w:t>月</w:t>
      </w:r>
      <w:r>
        <w:rPr>
          <w:rFonts w:hint="eastAsia" w:ascii="宋体" w:hAnsi="宋体"/>
          <w:bCs/>
          <w:kern w:val="0"/>
          <w:szCs w:val="21"/>
          <w:highlight w:val="none"/>
          <w:u w:val="single"/>
        </w:rPr>
        <w:t xml:space="preserve">    </w:t>
      </w:r>
      <w:r>
        <w:rPr>
          <w:rFonts w:ascii="宋体" w:hAnsi="宋体"/>
          <w:kern w:val="0"/>
          <w:szCs w:val="21"/>
          <w:highlight w:val="none"/>
        </w:rPr>
        <w:t>日开标，经评标委员会评定，确定你单位为中标人，</w:t>
      </w:r>
      <w:r>
        <w:rPr>
          <w:rFonts w:hint="eastAsia" w:ascii="宋体" w:hAnsi="宋体"/>
          <w:kern w:val="0"/>
          <w:szCs w:val="21"/>
          <w:highlight w:val="none"/>
        </w:rPr>
        <w:t>投标总报价</w:t>
      </w:r>
      <w:r>
        <w:rPr>
          <w:rFonts w:ascii="宋体" w:hAnsi="宋体"/>
          <w:kern w:val="0"/>
          <w:szCs w:val="21"/>
          <w:highlight w:val="none"/>
        </w:rPr>
        <w:t>为</w:t>
      </w:r>
      <w:r>
        <w:rPr>
          <w:rFonts w:hint="eastAsia" w:ascii="宋体" w:hAnsi="宋体"/>
          <w:kern w:val="0"/>
          <w:szCs w:val="21"/>
          <w:highlight w:val="none"/>
        </w:rPr>
        <w:t>（大写）</w:t>
      </w:r>
      <w:r>
        <w:rPr>
          <w:rFonts w:hint="eastAsia" w:ascii="宋体" w:hAnsi="宋体"/>
          <w:kern w:val="0"/>
          <w:szCs w:val="21"/>
          <w:highlight w:val="none"/>
          <w:u w:val="single"/>
        </w:rPr>
        <w:t xml:space="preserve">           </w:t>
      </w:r>
      <w:r>
        <w:rPr>
          <w:rFonts w:hint="eastAsia" w:ascii="宋体" w:hAnsi="宋体"/>
          <w:kern w:val="0"/>
          <w:szCs w:val="21"/>
          <w:highlight w:val="none"/>
        </w:rPr>
        <w:t>，</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ascii="宋体" w:hAnsi="宋体"/>
          <w:kern w:val="0"/>
          <w:szCs w:val="21"/>
          <w:highlight w:val="none"/>
        </w:rPr>
        <w:t>（</w:t>
      </w:r>
      <w:r>
        <w:rPr>
          <w:rFonts w:hint="eastAsia" w:ascii="宋体" w:hAnsi="宋体" w:cs="宋体"/>
          <w:kern w:val="0"/>
          <w:highlight w:val="none"/>
        </w:rPr>
        <w:t>□勘察固定</w:t>
      </w:r>
      <w:r>
        <w:rPr>
          <w:rFonts w:ascii="宋体" w:hAnsi="宋体"/>
          <w:kern w:val="0"/>
          <w:szCs w:val="21"/>
          <w:highlight w:val="none"/>
        </w:rPr>
        <w:t>单价</w:t>
      </w:r>
      <w:r>
        <w:rPr>
          <w:rFonts w:hint="eastAsia" w:ascii="宋体" w:hAnsi="宋体"/>
          <w:kern w:val="0"/>
          <w:szCs w:val="21"/>
          <w:highlight w:val="none"/>
        </w:rPr>
        <w:t>/</w:t>
      </w:r>
      <w:r>
        <w:rPr>
          <w:rFonts w:hint="eastAsia" w:ascii="宋体" w:hAnsi="宋体" w:cs="宋体"/>
          <w:kern w:val="0"/>
          <w:highlight w:val="none"/>
        </w:rPr>
        <w:t>□勘察固定</w:t>
      </w:r>
      <w:r>
        <w:rPr>
          <w:rFonts w:hint="eastAsia" w:ascii="宋体" w:hAnsi="宋体"/>
          <w:kern w:val="0"/>
          <w:szCs w:val="21"/>
          <w:highlight w:val="none"/>
        </w:rPr>
        <w:t>费率</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ascii="宋体" w:hAnsi="宋体"/>
          <w:kern w:val="0"/>
          <w:szCs w:val="21"/>
          <w:highlight w:val="none"/>
        </w:rPr>
        <w:t>）。中标工程勘察范围：</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ascii="宋体" w:hAnsi="宋体"/>
          <w:kern w:val="0"/>
          <w:szCs w:val="21"/>
          <w:highlight w:val="none"/>
        </w:rPr>
        <w:t>，工程投资估算金额为</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ascii="宋体" w:hAnsi="宋体"/>
          <w:kern w:val="0"/>
          <w:szCs w:val="21"/>
          <w:highlight w:val="none"/>
        </w:rPr>
        <w:t xml:space="preserve">，工程规模为 </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ascii="宋体" w:hAnsi="宋体"/>
          <w:kern w:val="0"/>
          <w:szCs w:val="21"/>
          <w:highlight w:val="none"/>
        </w:rPr>
        <w:t>，</w:t>
      </w:r>
      <w:r>
        <w:rPr>
          <w:rFonts w:hint="eastAsia" w:ascii="宋体" w:hAnsi="宋体"/>
          <w:kern w:val="0"/>
          <w:szCs w:val="21"/>
          <w:highlight w:val="none"/>
        </w:rPr>
        <w:t>勘察</w:t>
      </w:r>
      <w:r>
        <w:rPr>
          <w:rFonts w:ascii="宋体" w:hAnsi="宋体"/>
          <w:kern w:val="0"/>
          <w:szCs w:val="21"/>
          <w:highlight w:val="none"/>
        </w:rPr>
        <w:t>服务期为</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rPr>
        <w:t>，勘察质量达到国家</w:t>
      </w:r>
      <w:r>
        <w:rPr>
          <w:rFonts w:hint="eastAsia" w:ascii="宋体" w:hAnsi="宋体"/>
          <w:kern w:val="0"/>
          <w:szCs w:val="21"/>
          <w:highlight w:val="none"/>
        </w:rPr>
        <w:t>勘察</w:t>
      </w:r>
      <w:r>
        <w:rPr>
          <w:rFonts w:ascii="宋体" w:hAnsi="宋体"/>
          <w:kern w:val="0"/>
          <w:szCs w:val="21"/>
          <w:highlight w:val="none"/>
        </w:rPr>
        <w:t>设计验收规范标</w:t>
      </w:r>
      <w:r>
        <w:rPr>
          <w:rFonts w:ascii="宋体" w:hAnsi="宋体"/>
          <w:kern w:val="0"/>
          <w:szCs w:val="21"/>
          <w:highlight w:val="none"/>
          <w:u w:val="none"/>
        </w:rPr>
        <w:t>准</w:t>
      </w:r>
      <w:r>
        <w:rPr>
          <w:rFonts w:ascii="宋体" w:hAnsi="宋体"/>
          <w:kern w:val="0"/>
          <w:szCs w:val="21"/>
          <w:highlight w:val="none"/>
        </w:rPr>
        <w:t>。 项目</w:t>
      </w:r>
      <w:r>
        <w:rPr>
          <w:rFonts w:hint="eastAsia" w:ascii="宋体" w:hAnsi="宋体"/>
          <w:kern w:val="0"/>
          <w:szCs w:val="21"/>
          <w:highlight w:val="none"/>
        </w:rPr>
        <w:t>负责人</w:t>
      </w:r>
      <w:r>
        <w:rPr>
          <w:rFonts w:ascii="宋体" w:hAnsi="宋体"/>
          <w:kern w:val="0"/>
          <w:szCs w:val="21"/>
          <w:highlight w:val="none"/>
        </w:rPr>
        <w:t>由</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ascii="宋体" w:hAnsi="宋体"/>
          <w:kern w:val="0"/>
          <w:szCs w:val="21"/>
          <w:highlight w:val="none"/>
        </w:rPr>
        <w:t>担任。</w:t>
      </w:r>
    </w:p>
    <w:p>
      <w:pPr>
        <w:spacing w:line="360" w:lineRule="auto"/>
        <w:ind w:firstLine="420" w:firstLineChars="200"/>
        <w:rPr>
          <w:rFonts w:ascii="宋体" w:hAnsi="宋体"/>
          <w:kern w:val="0"/>
          <w:szCs w:val="21"/>
          <w:highlight w:val="none"/>
        </w:rPr>
      </w:pPr>
      <w:r>
        <w:rPr>
          <w:rFonts w:ascii="宋体" w:hAnsi="宋体"/>
          <w:kern w:val="0"/>
          <w:szCs w:val="21"/>
          <w:highlight w:val="none"/>
        </w:rPr>
        <w:t xml:space="preserve">你单位收到中标通知书后，在 </w:t>
      </w:r>
      <w:r>
        <w:rPr>
          <w:rFonts w:ascii="宋体" w:hAnsi="宋体"/>
          <w:bCs/>
          <w:kern w:val="0"/>
          <w:szCs w:val="21"/>
          <w:highlight w:val="none"/>
          <w:u w:val="single"/>
        </w:rPr>
        <w:t xml:space="preserve"> </w:t>
      </w:r>
      <w:r>
        <w:rPr>
          <w:rFonts w:hint="eastAsia" w:ascii="宋体" w:hAnsi="宋体"/>
          <w:bCs/>
          <w:kern w:val="0"/>
          <w:szCs w:val="21"/>
          <w:highlight w:val="none"/>
          <w:u w:val="single"/>
        </w:rPr>
        <w:t xml:space="preserve">      </w:t>
      </w:r>
      <w:r>
        <w:rPr>
          <w:rFonts w:ascii="宋体" w:hAnsi="宋体"/>
          <w:bCs/>
          <w:kern w:val="0"/>
          <w:szCs w:val="21"/>
          <w:highlight w:val="none"/>
          <w:u w:val="single"/>
        </w:rPr>
        <w:t xml:space="preserve">   </w:t>
      </w:r>
      <w:r>
        <w:rPr>
          <w:rFonts w:ascii="宋体" w:hAnsi="宋体"/>
          <w:kern w:val="0"/>
          <w:szCs w:val="21"/>
          <w:highlight w:val="none"/>
        </w:rPr>
        <w:t>日内到我单位签订勘察承发包合同。</w:t>
      </w:r>
      <w:r>
        <w:rPr>
          <w:szCs w:val="21"/>
          <w:highlight w:val="none"/>
        </w:rPr>
        <w:t>在此之前按招标文件第二章</w:t>
      </w:r>
      <w:r>
        <w:rPr>
          <w:rFonts w:hint="eastAsia"/>
          <w:szCs w:val="21"/>
          <w:highlight w:val="none"/>
        </w:rPr>
        <w:t>“</w:t>
      </w:r>
      <w:r>
        <w:rPr>
          <w:szCs w:val="21"/>
          <w:highlight w:val="none"/>
        </w:rPr>
        <w:t>投标人须知</w:t>
      </w:r>
      <w:r>
        <w:rPr>
          <w:rFonts w:hint="eastAsia"/>
          <w:szCs w:val="21"/>
          <w:highlight w:val="none"/>
        </w:rPr>
        <w:t>”</w:t>
      </w:r>
      <w:r>
        <w:rPr>
          <w:szCs w:val="21"/>
          <w:highlight w:val="none"/>
        </w:rPr>
        <w:t>第7.</w:t>
      </w:r>
      <w:r>
        <w:rPr>
          <w:rFonts w:hint="eastAsia"/>
          <w:szCs w:val="21"/>
          <w:highlight w:val="none"/>
        </w:rPr>
        <w:t>6.1</w:t>
      </w:r>
      <w:r>
        <w:rPr>
          <w:szCs w:val="21"/>
          <w:highlight w:val="none"/>
        </w:rPr>
        <w:t>款规定向我方提交履约</w:t>
      </w:r>
      <w:r>
        <w:rPr>
          <w:rFonts w:hint="eastAsia"/>
          <w:szCs w:val="21"/>
          <w:highlight w:val="none"/>
        </w:rPr>
        <w:t>保证金</w:t>
      </w:r>
      <w:r>
        <w:rPr>
          <w:szCs w:val="21"/>
          <w:highlight w:val="none"/>
        </w:rPr>
        <w:t>。</w:t>
      </w:r>
    </w:p>
    <w:p>
      <w:pPr>
        <w:spacing w:line="360" w:lineRule="auto"/>
        <w:ind w:firstLine="420" w:firstLineChars="200"/>
        <w:rPr>
          <w:rFonts w:ascii="宋体" w:hAnsi="宋体"/>
          <w:kern w:val="0"/>
          <w:szCs w:val="21"/>
          <w:highlight w:val="none"/>
        </w:rPr>
      </w:pPr>
      <w:r>
        <w:rPr>
          <w:rFonts w:ascii="宋体" w:hAnsi="宋体"/>
          <w:kern w:val="0"/>
          <w:szCs w:val="21"/>
          <w:highlight w:val="none"/>
        </w:rPr>
        <w:t>特此通知。</w:t>
      </w:r>
    </w:p>
    <w:p>
      <w:pPr>
        <w:spacing w:line="480" w:lineRule="auto"/>
        <w:rPr>
          <w:rFonts w:ascii="宋体" w:hAnsi="宋体"/>
          <w:kern w:val="0"/>
          <w:sz w:val="24"/>
          <w:highlight w:val="none"/>
        </w:rPr>
      </w:pPr>
    </w:p>
    <w:p>
      <w:pPr>
        <w:spacing w:line="480" w:lineRule="auto"/>
        <w:rPr>
          <w:rFonts w:ascii="宋体" w:hAnsi="宋体"/>
          <w:kern w:val="0"/>
          <w:sz w:val="24"/>
          <w:highlight w:val="none"/>
        </w:rPr>
      </w:pPr>
    </w:p>
    <w:p>
      <w:pPr>
        <w:spacing w:line="480" w:lineRule="auto"/>
        <w:rPr>
          <w:rFonts w:ascii="宋体" w:hAnsi="宋体"/>
          <w:kern w:val="0"/>
          <w:sz w:val="24"/>
          <w:highlight w:val="none"/>
        </w:rPr>
      </w:pPr>
    </w:p>
    <w:p>
      <w:pPr>
        <w:spacing w:line="480" w:lineRule="auto"/>
        <w:jc w:val="left"/>
        <w:rPr>
          <w:rFonts w:ascii="宋体" w:hAnsi="宋体"/>
          <w:kern w:val="0"/>
          <w:szCs w:val="21"/>
          <w:highlight w:val="none"/>
        </w:rPr>
      </w:pPr>
      <w:r>
        <w:rPr>
          <w:rFonts w:ascii="宋体" w:hAnsi="宋体"/>
          <w:kern w:val="0"/>
          <w:sz w:val="24"/>
          <w:highlight w:val="none"/>
        </w:rPr>
        <w:t xml:space="preserve">                                </w:t>
      </w:r>
      <w:r>
        <w:rPr>
          <w:rFonts w:ascii="宋体" w:hAnsi="宋体"/>
          <w:kern w:val="0"/>
          <w:szCs w:val="21"/>
          <w:highlight w:val="none"/>
        </w:rPr>
        <w:t>招标人</w:t>
      </w:r>
      <w:r>
        <w:rPr>
          <w:rFonts w:ascii="宋体" w:hAnsi="宋体"/>
          <w:snapToGrid w:val="0"/>
          <w:kern w:val="0"/>
          <w:szCs w:val="21"/>
          <w:highlight w:val="none"/>
        </w:rPr>
        <w:t>：</w:t>
      </w:r>
      <w:r>
        <w:rPr>
          <w:rFonts w:ascii="宋体" w:hAnsi="宋体"/>
          <w:kern w:val="0"/>
          <w:szCs w:val="21"/>
          <w:highlight w:val="none"/>
          <w:u w:val="single"/>
        </w:rPr>
        <w:t xml:space="preserve">                          </w:t>
      </w:r>
      <w:r>
        <w:rPr>
          <w:rFonts w:ascii="宋体" w:hAnsi="宋体"/>
          <w:kern w:val="0"/>
          <w:szCs w:val="21"/>
          <w:highlight w:val="none"/>
        </w:rPr>
        <w:t>（</w:t>
      </w:r>
      <w:r>
        <w:rPr>
          <w:rFonts w:ascii="宋体" w:hAnsi="宋体"/>
          <w:snapToGrid w:val="0"/>
          <w:kern w:val="0"/>
          <w:szCs w:val="21"/>
          <w:highlight w:val="none"/>
        </w:rPr>
        <w:t>盖单位法人章</w:t>
      </w:r>
      <w:r>
        <w:rPr>
          <w:rFonts w:ascii="宋体" w:hAnsi="宋体"/>
          <w:kern w:val="0"/>
          <w:szCs w:val="21"/>
          <w:highlight w:val="none"/>
        </w:rPr>
        <w:t>）</w:t>
      </w:r>
    </w:p>
    <w:p>
      <w:pPr>
        <w:spacing w:line="480" w:lineRule="auto"/>
        <w:jc w:val="left"/>
        <w:rPr>
          <w:rFonts w:ascii="宋体" w:hAnsi="宋体"/>
          <w:kern w:val="0"/>
          <w:szCs w:val="21"/>
          <w:highlight w:val="none"/>
        </w:rPr>
      </w:pPr>
      <w:r>
        <w:rPr>
          <w:rFonts w:ascii="宋体" w:hAnsi="宋体"/>
          <w:kern w:val="0"/>
          <w:szCs w:val="21"/>
          <w:highlight w:val="none"/>
        </w:rPr>
        <w:t xml:space="preserve">                                 </w:t>
      </w:r>
      <w:r>
        <w:rPr>
          <w:rFonts w:hint="eastAsia" w:ascii="宋体" w:hAnsi="宋体"/>
          <w:kern w:val="0"/>
          <w:szCs w:val="21"/>
          <w:highlight w:val="none"/>
        </w:rPr>
        <w:t xml:space="preserve">    </w:t>
      </w:r>
      <w:r>
        <w:rPr>
          <w:rFonts w:ascii="宋体" w:hAnsi="宋体"/>
          <w:kern w:val="0"/>
          <w:szCs w:val="21"/>
          <w:highlight w:val="none"/>
        </w:rPr>
        <w:t>法定代表人</w:t>
      </w:r>
      <w:r>
        <w:rPr>
          <w:rFonts w:ascii="宋体" w:hAnsi="宋体"/>
          <w:snapToGrid w:val="0"/>
          <w:kern w:val="0"/>
          <w:szCs w:val="21"/>
          <w:highlight w:val="none"/>
        </w:rPr>
        <w:t>：</w:t>
      </w:r>
      <w:r>
        <w:rPr>
          <w:rFonts w:ascii="宋体" w:hAnsi="宋体"/>
          <w:kern w:val="0"/>
          <w:szCs w:val="21"/>
          <w:highlight w:val="none"/>
          <w:u w:val="single"/>
        </w:rPr>
        <w:t xml:space="preserve">                      </w:t>
      </w:r>
      <w:r>
        <w:rPr>
          <w:rFonts w:ascii="宋体" w:hAnsi="宋体"/>
          <w:kern w:val="0"/>
          <w:szCs w:val="21"/>
          <w:highlight w:val="none"/>
        </w:rPr>
        <w:t>（签名或盖章）</w:t>
      </w:r>
    </w:p>
    <w:p>
      <w:pPr>
        <w:spacing w:line="480" w:lineRule="auto"/>
        <w:jc w:val="left"/>
        <w:rPr>
          <w:rFonts w:ascii="宋体" w:hAnsi="宋体"/>
          <w:kern w:val="0"/>
          <w:szCs w:val="21"/>
          <w:highlight w:val="none"/>
          <w:u w:val="single"/>
        </w:rPr>
      </w:pPr>
      <w:r>
        <w:rPr>
          <w:rFonts w:ascii="宋体" w:hAnsi="宋体"/>
          <w:kern w:val="0"/>
          <w:szCs w:val="21"/>
          <w:highlight w:val="none"/>
        </w:rPr>
        <w:t xml:space="preserve">                                 </w:t>
      </w:r>
      <w:r>
        <w:rPr>
          <w:rFonts w:hint="eastAsia" w:ascii="宋体" w:hAnsi="宋体"/>
          <w:kern w:val="0"/>
          <w:szCs w:val="21"/>
          <w:highlight w:val="none"/>
        </w:rPr>
        <w:t xml:space="preserve">    </w:t>
      </w:r>
      <w:r>
        <w:rPr>
          <w:rFonts w:ascii="宋体" w:hAnsi="宋体"/>
          <w:kern w:val="0"/>
          <w:szCs w:val="21"/>
          <w:highlight w:val="none"/>
        </w:rPr>
        <w:t>联系人</w:t>
      </w:r>
      <w:r>
        <w:rPr>
          <w:rFonts w:ascii="宋体" w:hAnsi="宋体"/>
          <w:snapToGrid w:val="0"/>
          <w:kern w:val="0"/>
          <w:szCs w:val="21"/>
          <w:highlight w:val="none"/>
        </w:rPr>
        <w:t>：</w:t>
      </w:r>
      <w:r>
        <w:rPr>
          <w:rFonts w:ascii="宋体" w:hAnsi="宋体"/>
          <w:kern w:val="0"/>
          <w:szCs w:val="21"/>
          <w:highlight w:val="none"/>
          <w:u w:val="single"/>
        </w:rPr>
        <w:t xml:space="preserve">                          </w:t>
      </w:r>
    </w:p>
    <w:p>
      <w:pPr>
        <w:spacing w:line="480" w:lineRule="auto"/>
        <w:jc w:val="left"/>
        <w:rPr>
          <w:rFonts w:ascii="宋体" w:hAnsi="宋体"/>
          <w:kern w:val="0"/>
          <w:szCs w:val="21"/>
          <w:highlight w:val="none"/>
        </w:rPr>
      </w:pPr>
      <w:r>
        <w:rPr>
          <w:rFonts w:ascii="宋体" w:hAnsi="宋体"/>
          <w:kern w:val="0"/>
          <w:szCs w:val="21"/>
          <w:highlight w:val="none"/>
        </w:rPr>
        <w:t xml:space="preserve">                                 </w:t>
      </w:r>
      <w:r>
        <w:rPr>
          <w:rFonts w:hint="eastAsia" w:ascii="宋体" w:hAnsi="宋体"/>
          <w:kern w:val="0"/>
          <w:szCs w:val="21"/>
          <w:highlight w:val="none"/>
        </w:rPr>
        <w:t xml:space="preserve">    </w:t>
      </w:r>
      <w:r>
        <w:rPr>
          <w:rFonts w:ascii="宋体" w:hAnsi="宋体"/>
          <w:kern w:val="0"/>
          <w:szCs w:val="21"/>
          <w:highlight w:val="none"/>
        </w:rPr>
        <w:t>联系电话</w:t>
      </w:r>
      <w:r>
        <w:rPr>
          <w:rFonts w:ascii="宋体" w:hAnsi="宋体"/>
          <w:snapToGrid w:val="0"/>
          <w:kern w:val="0"/>
          <w:szCs w:val="21"/>
          <w:highlight w:val="none"/>
        </w:rPr>
        <w:t>：</w:t>
      </w:r>
      <w:r>
        <w:rPr>
          <w:rFonts w:ascii="宋体" w:hAnsi="宋体"/>
          <w:kern w:val="0"/>
          <w:szCs w:val="21"/>
          <w:highlight w:val="none"/>
          <w:u w:val="single"/>
        </w:rPr>
        <w:t xml:space="preserve">                        </w:t>
      </w:r>
    </w:p>
    <w:p>
      <w:pPr>
        <w:spacing w:line="480" w:lineRule="auto"/>
        <w:ind w:right="1260"/>
        <w:jc w:val="both"/>
        <w:rPr>
          <w:rFonts w:ascii="宋体" w:hAnsi="宋体"/>
          <w:kern w:val="0"/>
          <w:sz w:val="24"/>
          <w:highlight w:val="none"/>
        </w:rPr>
      </w:pPr>
      <w:r>
        <w:rPr>
          <w:rFonts w:hint="eastAsia" w:ascii="宋体" w:hAnsi="宋体"/>
          <w:kern w:val="0"/>
          <w:szCs w:val="21"/>
          <w:highlight w:val="none"/>
        </w:rPr>
        <w:t xml:space="preserve">                                     </w:t>
      </w:r>
      <w:r>
        <w:rPr>
          <w:rFonts w:ascii="宋体" w:hAnsi="宋体"/>
          <w:kern w:val="0"/>
          <w:szCs w:val="21"/>
          <w:highlight w:val="none"/>
        </w:rPr>
        <w:t>签发日期</w:t>
      </w:r>
      <w:r>
        <w:rPr>
          <w:rFonts w:ascii="宋体" w:hAnsi="宋体"/>
          <w:snapToGrid w:val="0"/>
          <w:kern w:val="0"/>
          <w:szCs w:val="21"/>
          <w:highlight w:val="none"/>
        </w:rPr>
        <w:t>：</w:t>
      </w:r>
      <w:r>
        <w:rPr>
          <w:rFonts w:ascii="宋体" w:hAnsi="宋体"/>
          <w:kern w:val="0"/>
          <w:szCs w:val="21"/>
          <w:highlight w:val="none"/>
          <w:u w:val="single"/>
        </w:rPr>
        <w:t xml:space="preserve">        </w:t>
      </w:r>
      <w:r>
        <w:rPr>
          <w:rFonts w:ascii="宋体" w:hAnsi="宋体"/>
          <w:kern w:val="0"/>
          <w:szCs w:val="21"/>
          <w:highlight w:val="none"/>
        </w:rPr>
        <w:t>年</w:t>
      </w:r>
      <w:r>
        <w:rPr>
          <w:rFonts w:ascii="宋体" w:hAnsi="宋体"/>
          <w:kern w:val="0"/>
          <w:szCs w:val="21"/>
          <w:highlight w:val="none"/>
          <w:u w:val="single"/>
        </w:rPr>
        <w:t xml:space="preserve">     </w:t>
      </w:r>
      <w:r>
        <w:rPr>
          <w:rFonts w:ascii="宋体" w:hAnsi="宋体"/>
          <w:kern w:val="0"/>
          <w:szCs w:val="21"/>
          <w:highlight w:val="none"/>
        </w:rPr>
        <w:t>月</w:t>
      </w:r>
      <w:r>
        <w:rPr>
          <w:rFonts w:ascii="宋体" w:hAnsi="宋体"/>
          <w:kern w:val="0"/>
          <w:szCs w:val="21"/>
          <w:highlight w:val="none"/>
          <w:u w:val="single"/>
        </w:rPr>
        <w:t xml:space="preserve">     </w:t>
      </w:r>
      <w:r>
        <w:rPr>
          <w:rFonts w:ascii="宋体" w:hAnsi="宋体"/>
          <w:kern w:val="0"/>
          <w:szCs w:val="21"/>
          <w:highlight w:val="none"/>
        </w:rPr>
        <w:t>日</w:t>
      </w:r>
    </w:p>
    <w:p>
      <w:pPr>
        <w:spacing w:line="480" w:lineRule="auto"/>
        <w:jc w:val="center"/>
        <w:rPr>
          <w:rFonts w:ascii="宋体" w:hAnsi="宋体"/>
          <w:kern w:val="0"/>
          <w:highlight w:val="none"/>
        </w:rPr>
      </w:pPr>
      <w:r>
        <w:rPr>
          <w:rFonts w:ascii="宋体" w:hAnsi="宋体"/>
          <w:kern w:val="0"/>
          <w:sz w:val="24"/>
          <w:highlight w:val="none"/>
        </w:rPr>
        <w:br w:type="page"/>
      </w:r>
      <w:bookmarkStart w:id="999" w:name="招标文件03章02评标办法综合评估法"/>
      <w:bookmarkEnd w:id="999"/>
      <w:bookmarkStart w:id="1000" w:name="招标文件03章02评标办法综合评估法00"/>
      <w:bookmarkEnd w:id="1000"/>
      <w:bookmarkStart w:id="1001" w:name="_Toc287620751"/>
      <w:bookmarkStart w:id="1002" w:name="_Toc224103384"/>
      <w:bookmarkStart w:id="1003" w:name="_Toc200513198"/>
      <w:bookmarkStart w:id="1004" w:name="_Toc287607812"/>
      <w:bookmarkStart w:id="1005" w:name="_Toc430530500"/>
      <w:bookmarkStart w:id="1006" w:name="_Toc277082618"/>
    </w:p>
    <w:bookmarkEnd w:id="1001"/>
    <w:bookmarkEnd w:id="1002"/>
    <w:bookmarkEnd w:id="1003"/>
    <w:bookmarkEnd w:id="1004"/>
    <w:bookmarkEnd w:id="1005"/>
    <w:bookmarkEnd w:id="1006"/>
    <w:p>
      <w:pPr>
        <w:keepNext/>
        <w:keepLines/>
        <w:spacing w:before="340" w:after="330" w:line="576" w:lineRule="auto"/>
        <w:jc w:val="center"/>
        <w:outlineLvl w:val="0"/>
        <w:rPr>
          <w:b/>
          <w:color w:val="000000"/>
          <w:kern w:val="44"/>
          <w:sz w:val="44"/>
          <w:szCs w:val="20"/>
          <w:highlight w:val="none"/>
        </w:rPr>
      </w:pPr>
      <w:bookmarkStart w:id="1007" w:name="_Toc32497"/>
      <w:bookmarkStart w:id="1008" w:name="_Toc32134"/>
      <w:bookmarkStart w:id="1009" w:name="_Toc24937"/>
      <w:bookmarkStart w:id="1010" w:name="_Toc492300821"/>
      <w:bookmarkStart w:id="1011" w:name="_Toc75857046"/>
      <w:bookmarkStart w:id="1012" w:name="_Toc19756"/>
      <w:bookmarkStart w:id="1013" w:name="_Toc31050"/>
      <w:bookmarkStart w:id="1014" w:name="_Toc509218785"/>
      <w:bookmarkStart w:id="1015" w:name="_Toc430530509"/>
      <w:r>
        <w:rPr>
          <w:rFonts w:hint="eastAsia"/>
          <w:b/>
          <w:color w:val="000000"/>
          <w:kern w:val="44"/>
          <w:sz w:val="44"/>
          <w:szCs w:val="20"/>
          <w:highlight w:val="none"/>
        </w:rPr>
        <w:t>第三章评标办法</w:t>
      </w:r>
      <w:r>
        <w:rPr>
          <w:rFonts w:hint="eastAsia"/>
          <w:b/>
          <w:kern w:val="44"/>
          <w:sz w:val="44"/>
          <w:szCs w:val="20"/>
          <w:highlight w:val="none"/>
        </w:rPr>
        <w:t>（综合评估法）</w:t>
      </w:r>
      <w:bookmarkEnd w:id="1007"/>
      <w:bookmarkEnd w:id="1008"/>
      <w:bookmarkEnd w:id="1009"/>
      <w:bookmarkEnd w:id="1010"/>
      <w:bookmarkEnd w:id="1011"/>
      <w:bookmarkEnd w:id="1012"/>
      <w:bookmarkEnd w:id="1013"/>
    </w:p>
    <w:p>
      <w:pPr>
        <w:keepNext/>
        <w:keepLines/>
        <w:spacing w:before="260" w:after="260" w:line="412" w:lineRule="auto"/>
        <w:jc w:val="center"/>
        <w:outlineLvl w:val="1"/>
        <w:rPr>
          <w:rFonts w:eastAsia="黑体"/>
          <w:b/>
          <w:color w:val="000000"/>
          <w:sz w:val="32"/>
          <w:szCs w:val="20"/>
          <w:highlight w:val="none"/>
        </w:rPr>
      </w:pPr>
      <w:bookmarkStart w:id="1016" w:name="_Toc75857047"/>
      <w:bookmarkStart w:id="1017" w:name="_Toc3627"/>
      <w:bookmarkStart w:id="1018" w:name="_Toc25384"/>
      <w:bookmarkStart w:id="1019" w:name="_Toc25026"/>
      <w:bookmarkStart w:id="1020" w:name="_Toc4239"/>
      <w:bookmarkStart w:id="1021" w:name="_Toc492300822"/>
      <w:bookmarkStart w:id="1022" w:name="_Toc3504"/>
      <w:r>
        <w:rPr>
          <w:rFonts w:hint="eastAsia" w:eastAsia="黑体"/>
          <w:b/>
          <w:color w:val="000000"/>
          <w:sz w:val="32"/>
          <w:szCs w:val="20"/>
          <w:highlight w:val="none"/>
        </w:rPr>
        <w:t>评标办法前附表</w:t>
      </w:r>
      <w:bookmarkEnd w:id="1016"/>
      <w:bookmarkEnd w:id="1017"/>
      <w:bookmarkEnd w:id="1018"/>
      <w:bookmarkEnd w:id="1019"/>
      <w:bookmarkEnd w:id="1020"/>
      <w:bookmarkEnd w:id="1021"/>
      <w:bookmarkEnd w:id="1022"/>
    </w:p>
    <w:p>
      <w:pPr>
        <w:spacing w:line="440" w:lineRule="exact"/>
        <w:ind w:firstLine="436" w:firstLineChars="200"/>
        <w:jc w:val="left"/>
        <w:rPr>
          <w:rFonts w:ascii="宋体" w:hAnsi="宋体"/>
          <w:kern w:val="0"/>
          <w:highlight w:val="none"/>
        </w:rPr>
      </w:pPr>
      <w:r>
        <w:rPr>
          <w:rFonts w:hint="eastAsia" w:ascii="宋体" w:hAnsi="宋体"/>
          <w:spacing w:val="4"/>
          <w:kern w:val="0"/>
          <w:szCs w:val="21"/>
          <w:highlight w:val="none"/>
        </w:rPr>
        <w:t>评标办法中的评审内容必须和投标人须知中的对应内容一致，若投标人须知中未作要求的内容，不得列入评标办法作为评定依据。</w:t>
      </w:r>
    </w:p>
    <w:tbl>
      <w:tblPr>
        <w:tblStyle w:val="55"/>
        <w:tblW w:w="992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801"/>
        <w:gridCol w:w="1418"/>
        <w:gridCol w:w="68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1701" w:type="dxa"/>
            <w:gridSpan w:val="2"/>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条款号</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评审因素</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w:t>
            </w:r>
          </w:p>
        </w:tc>
        <w:tc>
          <w:tcPr>
            <w:tcW w:w="8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评标方法</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中标候选人排序方法</w:t>
            </w:r>
          </w:p>
        </w:tc>
        <w:tc>
          <w:tcPr>
            <w:tcW w:w="680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suppressLineNumbers w:val="0"/>
              <w:suppressAutoHyphens w:val="0"/>
              <w:kinsoku/>
              <w:wordWrap/>
              <w:overflowPunct/>
              <w:topLinePunct w:val="0"/>
              <w:bidi w:val="0"/>
              <w:spacing w:line="400" w:lineRule="exact"/>
              <w:ind w:firstLine="420" w:firstLineChars="200"/>
              <w:jc w:val="left"/>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本次评标采用综合评估法。评标委员会按照本章第 2.2 款规定的评分标准进行</w:t>
            </w:r>
            <w:r>
              <w:rPr>
                <w:rFonts w:hint="eastAsia" w:asciiTheme="minorEastAsia" w:hAnsiTheme="minorEastAsia" w:eastAsiaTheme="minorEastAsia" w:cstheme="minorEastAsia"/>
                <w:kern w:val="0"/>
                <w:sz w:val="21"/>
                <w:szCs w:val="21"/>
                <w:highlight w:val="none"/>
                <w:lang w:eastAsia="zh-CN"/>
              </w:rPr>
              <w:t>评分</w:t>
            </w:r>
            <w:r>
              <w:rPr>
                <w:rFonts w:hint="eastAsia" w:asciiTheme="minorEastAsia" w:hAnsiTheme="minorEastAsia" w:eastAsiaTheme="minorEastAsia" w:cstheme="minorEastAsia"/>
                <w:kern w:val="0"/>
                <w:sz w:val="21"/>
                <w:szCs w:val="21"/>
                <w:highlight w:val="none"/>
              </w:rPr>
              <w:t>，按得分由高到低顺序推荐中标候选人，或根据招标人授权直接确定中标人。综合评分相等时，以“投标人在红名单中优先”的原则排序</w:t>
            </w:r>
            <w:r>
              <w:rPr>
                <w:rFonts w:hint="eastAsia" w:asciiTheme="minorEastAsia" w:hAnsiTheme="minorEastAsia" w:eastAsiaTheme="minorEastAsia" w:cstheme="minorEastAsia"/>
                <w:iCs/>
                <w:spacing w:val="4"/>
                <w:kern w:val="0"/>
                <w:sz w:val="21"/>
                <w:szCs w:val="21"/>
                <w:highlight w:val="none"/>
              </w:rPr>
              <w:t>（联合体投标的，须联合体牵头人在红名单中），投标人是否属于红名单，以开标环节信用状况查询结果为准；</w:t>
            </w:r>
            <w:r>
              <w:rPr>
                <w:rFonts w:hint="eastAsia" w:asciiTheme="minorEastAsia" w:hAnsiTheme="minorEastAsia" w:eastAsiaTheme="minorEastAsia" w:cstheme="minorEastAsia"/>
                <w:kern w:val="0"/>
                <w:sz w:val="21"/>
                <w:szCs w:val="21"/>
                <w:highlight w:val="none"/>
              </w:rPr>
              <w:t>投标人均在红名单中或均不在红名单中的，以技术部分</w:t>
            </w:r>
            <w:r>
              <w:rPr>
                <w:rFonts w:hint="eastAsia" w:asciiTheme="minorEastAsia" w:hAnsiTheme="minorEastAsia" w:eastAsiaTheme="minorEastAsia" w:cstheme="minorEastAsia"/>
                <w:kern w:val="0"/>
                <w:sz w:val="21"/>
                <w:szCs w:val="21"/>
                <w:highlight w:val="none"/>
                <w:u w:val="none"/>
              </w:rPr>
              <w:t>得分高的优先</w:t>
            </w:r>
            <w:r>
              <w:rPr>
                <w:rFonts w:hint="eastAsia" w:asciiTheme="minorEastAsia" w:hAnsiTheme="minorEastAsia" w:eastAsiaTheme="minorEastAsia" w:cstheme="minorEastAsia"/>
                <w:kern w:val="0"/>
                <w:sz w:val="21"/>
                <w:szCs w:val="21"/>
                <w:highlight w:val="none"/>
              </w:rPr>
              <w:t>；技术部分</w:t>
            </w:r>
            <w:r>
              <w:rPr>
                <w:rFonts w:hint="eastAsia" w:asciiTheme="minorEastAsia" w:hAnsiTheme="minorEastAsia" w:eastAsiaTheme="minorEastAsia" w:cstheme="minorEastAsia"/>
                <w:kern w:val="0"/>
                <w:sz w:val="21"/>
                <w:szCs w:val="21"/>
                <w:highlight w:val="none"/>
                <w:u w:val="none"/>
              </w:rPr>
              <w:t>得分</w:t>
            </w:r>
            <w:r>
              <w:rPr>
                <w:rFonts w:hint="eastAsia" w:asciiTheme="minorEastAsia" w:hAnsiTheme="minorEastAsia" w:eastAsiaTheme="minorEastAsia" w:cstheme="minorEastAsia"/>
                <w:kern w:val="0"/>
                <w:sz w:val="21"/>
                <w:szCs w:val="21"/>
                <w:highlight w:val="none"/>
              </w:rPr>
              <w:t>相等的，以商务部分得分高的优先；商务部分得分相等的，以“投标人不良行为信息量化记分”低的优先；“投标人不良行为信息量化记分”相等的，由评标委员会按照</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原则排序。</w:t>
            </w:r>
            <w:r>
              <w:rPr>
                <w:rFonts w:hint="eastAsia" w:asciiTheme="minorEastAsia" w:hAnsiTheme="minorEastAsia" w:eastAsiaTheme="minorEastAsia" w:cstheme="minorEastAsia"/>
                <w:i/>
                <w:kern w:val="0"/>
                <w:sz w:val="21"/>
                <w:szCs w:val="21"/>
                <w:highlight w:val="none"/>
              </w:rPr>
              <w:t>[提示：由招标人事先在招标文件中按照有利于合同履行的原则确定</w:t>
            </w:r>
            <w:r>
              <w:rPr>
                <w:rFonts w:hint="eastAsia" w:asciiTheme="minorEastAsia" w:hAnsiTheme="minorEastAsia" w:eastAsiaTheme="minorEastAsia" w:cstheme="minorEastAsia"/>
                <w:i/>
                <w:spacing w:val="4"/>
                <w:kern w:val="0"/>
                <w:sz w:val="21"/>
                <w:szCs w:val="21"/>
                <w:highlight w:val="none"/>
              </w:rPr>
              <w:t>，但不得采用抽签、摇号方式直接确定中标候选人</w:t>
            </w:r>
            <w:r>
              <w:rPr>
                <w:rFonts w:hint="eastAsia" w:asciiTheme="minorEastAsia" w:hAnsiTheme="minorEastAsia" w:eastAsiaTheme="minorEastAsia" w:cstheme="minorEastAsia"/>
                <w:i/>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restart"/>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2.1.1</w:t>
            </w:r>
          </w:p>
        </w:tc>
        <w:tc>
          <w:tcPr>
            <w:tcW w:w="801" w:type="dxa"/>
            <w:vMerge w:val="restart"/>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资格评审标准</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营业执照</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资质要求</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color w:val="000000"/>
                <w:sz w:val="21"/>
                <w:szCs w:val="21"/>
                <w:highlight w:val="none"/>
              </w:rPr>
              <w:t>财务要求</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color w:val="000000"/>
                <w:sz w:val="21"/>
                <w:szCs w:val="21"/>
                <w:highlight w:val="none"/>
              </w:rPr>
              <w:t>业绩要求</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uppressAutoHyphens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投标截止日投标资格情况</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项目负责人</w:t>
            </w:r>
            <w:r>
              <w:rPr>
                <w:rFonts w:hint="eastAsia" w:asciiTheme="minorEastAsia" w:hAnsiTheme="minorEastAsia" w:eastAsiaTheme="minorEastAsia" w:cstheme="minorEastAsia"/>
                <w:sz w:val="21"/>
                <w:szCs w:val="21"/>
                <w:highlight w:val="none"/>
              </w:rPr>
              <w:t>资格要求</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其他要求</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□联合体投标人</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符合第二章“投标人须知”第1.4.2项规定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不存在禁止投标的情形</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不存在第二章“投标人须知”第1.4.3项规定的任何一种情形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restart"/>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2.1.2</w:t>
            </w:r>
          </w:p>
        </w:tc>
        <w:tc>
          <w:tcPr>
            <w:tcW w:w="80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形式评审标准</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投标人名称</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与营业执照、资质证书一致，</w:t>
            </w:r>
            <w:r>
              <w:rPr>
                <w:rFonts w:hint="eastAsia" w:asciiTheme="minorEastAsia" w:hAnsiTheme="minorEastAsia" w:eastAsiaTheme="minorEastAsia" w:cstheme="minorEastAsia"/>
                <w:sz w:val="21"/>
                <w:szCs w:val="21"/>
                <w:highlight w:val="none"/>
              </w:rPr>
              <w:t>依法变更名称的应提交相应证明材料。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投标文件格式</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投标文件格式符合第二章“投标人须知”第3.7款的要求（不含投标函部分）。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color w:val="000000"/>
                <w:sz w:val="21"/>
                <w:szCs w:val="21"/>
                <w:highlight w:val="none"/>
              </w:rPr>
              <w:t>联合体投标人</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提交联合体协议书，并明确联合体牵头人。在联合体协议书第5条联合体各成员单位内部的职责分工中填写的联合体所有成员单位名称应与其营业执照、资质证书一致，依法变更名称的应提交相应证明材料。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投标文件的签署</w:t>
            </w:r>
          </w:p>
        </w:tc>
        <w:tc>
          <w:tcPr>
            <w:tcW w:w="680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第六章 投标文件格式（不含投标函部分）要求法定代表人或其委托代理人签名（或盖章）的须齐全</w:t>
            </w:r>
            <w:r>
              <w:rPr>
                <w:rFonts w:hint="eastAsia" w:asciiTheme="minorEastAsia" w:hAnsiTheme="minorEastAsia" w:eastAsiaTheme="minorEastAsia" w:cstheme="minorEastAsia"/>
                <w:kern w:val="0"/>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val="en-US" w:eastAsia="zh-CN"/>
              </w:rPr>
              <w:t>要求签名的，</w:t>
            </w:r>
            <w:r>
              <w:rPr>
                <w:rFonts w:hint="eastAsia" w:asciiTheme="minorEastAsia" w:hAnsiTheme="minorEastAsia" w:eastAsiaTheme="minorEastAsia" w:cstheme="minorEastAsia"/>
                <w:color w:val="auto"/>
                <w:sz w:val="21"/>
                <w:szCs w:val="21"/>
                <w:highlight w:val="none"/>
              </w:rPr>
              <w:t>签名采用手写签名</w:t>
            </w:r>
            <w:r>
              <w:rPr>
                <w:rFonts w:hint="eastAsia" w:asciiTheme="minorEastAsia" w:hAnsiTheme="minorEastAsia" w:eastAsiaTheme="minorEastAsia" w:cstheme="minorEastAsia"/>
                <w:color w:val="auto"/>
                <w:sz w:val="21"/>
                <w:szCs w:val="21"/>
                <w:highlight w:val="none"/>
                <w:lang w:val="en-US" w:eastAsia="zh-CN"/>
              </w:rPr>
              <w:t>或签章</w:t>
            </w:r>
            <w:r>
              <w:rPr>
                <w:rFonts w:hint="eastAsia" w:asciiTheme="minorEastAsia" w:hAnsiTheme="minorEastAsia" w:eastAsiaTheme="minorEastAsia" w:cstheme="minorEastAsia"/>
                <w:color w:val="auto"/>
                <w:sz w:val="21"/>
                <w:szCs w:val="21"/>
                <w:highlight w:val="none"/>
              </w:rPr>
              <w:t>或加盖CA数字证书均可</w:t>
            </w:r>
            <w:r>
              <w:rPr>
                <w:rFonts w:hint="eastAsia" w:asciiTheme="minorEastAsia" w:hAnsiTheme="minorEastAsia" w:eastAsiaTheme="minorEastAsia" w:cstheme="minorEastAsia"/>
                <w:color w:val="auto"/>
                <w:kern w:val="0"/>
                <w:sz w:val="21"/>
                <w:szCs w:val="21"/>
                <w:highlight w:val="none"/>
              </w:rPr>
              <w:t>。</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napToGrid w:val="0"/>
                <w:kern w:val="0"/>
                <w:sz w:val="21"/>
                <w:szCs w:val="21"/>
                <w:highlight w:val="none"/>
              </w:rPr>
              <w:t>若投标单位为联合体，则联合体协议书各联合体成员单位签名（或盖章）须齐全，联合体协议书以外的</w:t>
            </w:r>
            <w:r>
              <w:rPr>
                <w:rFonts w:hint="eastAsia" w:asciiTheme="minorEastAsia" w:hAnsiTheme="minorEastAsia" w:eastAsiaTheme="minorEastAsia" w:cstheme="minorEastAsia"/>
                <w:kern w:val="0"/>
                <w:sz w:val="21"/>
                <w:szCs w:val="21"/>
                <w:highlight w:val="none"/>
              </w:rPr>
              <w:t>投标文件格式中，要求法定代表人或其委托代理人签名（或盖章）的均由联合体牵头人法定代表人或其委托代理人签名（或盖章）。</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第六章 投标文件格式（不含投标函部分）要求加盖单位法人章的，应使用 CA 数字证书加盖投标人的单位电子印章。</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color w:val="000000"/>
                <w:sz w:val="21"/>
                <w:szCs w:val="21"/>
                <w:highlight w:val="none"/>
              </w:rPr>
              <w:t>委托代理人</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投标人法定代表人的委托代理人有法定代表人签署的授权委托书和投标人为其缴纳的养老保险证明材料。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备选投标方案</w:t>
            </w:r>
          </w:p>
        </w:tc>
        <w:tc>
          <w:tcPr>
            <w:tcW w:w="6804"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除招标文件明确允许提交备选投标方案外，投标人不得提交备选投标方案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restart"/>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2.1.3</w:t>
            </w:r>
          </w:p>
        </w:tc>
        <w:tc>
          <w:tcPr>
            <w:tcW w:w="801" w:type="dxa"/>
            <w:vMerge w:val="restar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响应性评审标准</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投标内容</w:t>
            </w:r>
          </w:p>
        </w:tc>
        <w:tc>
          <w:tcPr>
            <w:tcW w:w="6804"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符合第二章“投标人须知”第1.3.1项规定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投标保证金</w:t>
            </w:r>
          </w:p>
        </w:tc>
        <w:tc>
          <w:tcPr>
            <w:tcW w:w="6804"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符合第二章“投标人须知”第3.4.1项规定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权利义务</w:t>
            </w:r>
          </w:p>
        </w:tc>
        <w:tc>
          <w:tcPr>
            <w:tcW w:w="6804"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符合第二章“投标人须知”第1.12.1项规定和第四章“合同条款及格式”中的</w:t>
            </w:r>
            <w:r>
              <w:rPr>
                <w:rFonts w:hint="eastAsia" w:asciiTheme="minorEastAsia" w:hAnsiTheme="minorEastAsia" w:eastAsiaTheme="minorEastAsia" w:cstheme="minorEastAsia"/>
                <w:color w:val="000000"/>
                <w:sz w:val="21"/>
                <w:szCs w:val="21"/>
                <w:highlight w:val="none"/>
              </w:rPr>
              <w:t>实质性要求和条件</w:t>
            </w:r>
            <w:r>
              <w:rPr>
                <w:rFonts w:hint="eastAsia" w:asciiTheme="minorEastAsia" w:hAnsiTheme="minorEastAsia" w:eastAsiaTheme="minorEastAsia" w:cstheme="minorEastAsia"/>
                <w:sz w:val="21"/>
                <w:szCs w:val="21"/>
                <w:highlight w:val="none"/>
              </w:rPr>
              <w:t>，投标文件不应附有招标人不能接受的条件。（由投标人承诺，承诺书格式详见第六章投标文件格式。）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801"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实质性要求</w:t>
            </w:r>
          </w:p>
        </w:tc>
        <w:tc>
          <w:tcPr>
            <w:tcW w:w="6804"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符合第五章“发包人要求”中的实质性要求和条件（由投标人承诺，承诺书格式详见第六章投标文件格式。）</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本次投标不得有串通投标、弄虚作假等其他违反招投标相关法律、法规行为。</w:t>
            </w:r>
          </w:p>
          <w:p>
            <w:pPr>
              <w:keepNext w:val="0"/>
              <w:keepLines w:val="0"/>
              <w:pageBreakBefore w:val="0"/>
              <w:widowControl w:val="0"/>
              <w:suppressLineNumbers w:val="0"/>
              <w:suppressAutoHyphens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按评标委员会要求澄清、说明或补正。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1701" w:type="dxa"/>
            <w:gridSpan w:val="2"/>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条款号</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条款内容</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1701" w:type="dxa"/>
            <w:gridSpan w:val="2"/>
            <w:tcBorders>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2.2.1</w:t>
            </w:r>
          </w:p>
        </w:tc>
        <w:tc>
          <w:tcPr>
            <w:tcW w:w="141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分值构成</w:t>
            </w:r>
          </w:p>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(总分100分)</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□1.技术部分</w:t>
            </w:r>
            <w:r>
              <w:rPr>
                <w:rFonts w:hint="eastAsia" w:asciiTheme="minorEastAsia" w:hAnsiTheme="minorEastAsia" w:eastAsiaTheme="minorEastAsia" w:cstheme="minorEastAsia"/>
                <w:color w:val="000000"/>
                <w:sz w:val="21"/>
                <w:szCs w:val="21"/>
                <w:highlight w:val="none"/>
                <w:u w:val="single"/>
              </w:rPr>
              <w:t>　  　</w:t>
            </w:r>
            <w:r>
              <w:rPr>
                <w:rFonts w:hint="eastAsia" w:asciiTheme="minorEastAsia" w:hAnsiTheme="minorEastAsia" w:eastAsiaTheme="minorEastAsia" w:cstheme="minorEastAsia"/>
                <w:color w:val="000000"/>
                <w:sz w:val="21"/>
                <w:szCs w:val="21"/>
                <w:highlight w:val="none"/>
              </w:rPr>
              <w:t>分</w:t>
            </w:r>
            <w:r>
              <w:rPr>
                <w:rFonts w:hint="eastAsia" w:asciiTheme="minorEastAsia" w:hAnsiTheme="minorEastAsia" w:eastAsiaTheme="minorEastAsia" w:cstheme="minorEastAsia"/>
                <w:i/>
                <w:color w:val="000000"/>
                <w:sz w:val="21"/>
                <w:szCs w:val="21"/>
                <w:highlight w:val="none"/>
              </w:rPr>
              <w:t>[提示：不高于30分]</w:t>
            </w:r>
            <w:r>
              <w:rPr>
                <w:rFonts w:hint="eastAsia" w:asciiTheme="minorEastAsia" w:hAnsiTheme="minorEastAsia" w:eastAsiaTheme="minorEastAsia" w:cstheme="minorEastAsia"/>
                <w:color w:val="000000"/>
                <w:sz w:val="21"/>
                <w:szCs w:val="21"/>
                <w:highlight w:val="none"/>
              </w:rPr>
              <w:t>；</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□勘察纲要</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color w:val="000000"/>
                <w:sz w:val="21"/>
                <w:szCs w:val="21"/>
                <w:highlight w:val="none"/>
              </w:rPr>
              <w:t>分；</w:t>
            </w:r>
          </w:p>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□2.商务部分</w:t>
            </w:r>
            <w:r>
              <w:rPr>
                <w:rFonts w:hint="eastAsia" w:asciiTheme="minorEastAsia" w:hAnsiTheme="minorEastAsia" w:eastAsiaTheme="minorEastAsia" w:cstheme="minorEastAsia"/>
                <w:color w:val="000000"/>
                <w:sz w:val="21"/>
                <w:szCs w:val="21"/>
                <w:highlight w:val="none"/>
                <w:u w:val="single"/>
              </w:rPr>
              <w:t>　  　</w:t>
            </w:r>
            <w:r>
              <w:rPr>
                <w:rFonts w:hint="eastAsia" w:asciiTheme="minorEastAsia" w:hAnsiTheme="minorEastAsia" w:eastAsiaTheme="minorEastAsia" w:cstheme="minorEastAsia"/>
                <w:color w:val="000000"/>
                <w:sz w:val="21"/>
                <w:szCs w:val="21"/>
                <w:highlight w:val="none"/>
              </w:rPr>
              <w:t>分</w:t>
            </w:r>
            <w:r>
              <w:rPr>
                <w:rFonts w:hint="eastAsia" w:asciiTheme="minorEastAsia" w:hAnsiTheme="minorEastAsia" w:eastAsiaTheme="minorEastAsia" w:cstheme="minorEastAsia"/>
                <w:i/>
                <w:color w:val="000000"/>
                <w:sz w:val="21"/>
                <w:szCs w:val="21"/>
                <w:highlight w:val="none"/>
              </w:rPr>
              <w:t>[提示：不高于40分]</w:t>
            </w:r>
            <w:r>
              <w:rPr>
                <w:rFonts w:hint="eastAsia" w:asciiTheme="minorEastAsia" w:hAnsiTheme="minorEastAsia" w:eastAsiaTheme="minorEastAsia" w:cstheme="minorEastAsia"/>
                <w:color w:val="000000"/>
                <w:sz w:val="21"/>
                <w:szCs w:val="21"/>
                <w:highlight w:val="none"/>
              </w:rPr>
              <w:t>；</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□投标人</w:t>
            </w:r>
            <w:r>
              <w:rPr>
                <w:rFonts w:hint="eastAsia" w:asciiTheme="minorEastAsia" w:hAnsiTheme="minorEastAsia" w:eastAsiaTheme="minorEastAsia" w:cstheme="minorEastAsia"/>
                <w:color w:val="000000"/>
                <w:sz w:val="21"/>
                <w:szCs w:val="21"/>
                <w:highlight w:val="none"/>
                <w:lang w:val="en-US" w:eastAsia="zh-CN"/>
              </w:rPr>
              <w:t>业绩</w:t>
            </w:r>
            <w:r>
              <w:rPr>
                <w:rFonts w:hint="eastAsia" w:asciiTheme="minorEastAsia" w:hAnsiTheme="minorEastAsia" w:eastAsiaTheme="minorEastAsia" w:cstheme="minorEastAsia"/>
                <w:color w:val="000000"/>
                <w:sz w:val="21"/>
                <w:szCs w:val="21"/>
                <w:highlight w:val="none"/>
                <w:u w:val="single"/>
              </w:rPr>
              <w:t>　  　</w:t>
            </w:r>
            <w:r>
              <w:rPr>
                <w:rFonts w:hint="eastAsia" w:asciiTheme="minorEastAsia" w:hAnsiTheme="minorEastAsia" w:eastAsiaTheme="minorEastAsia" w:cstheme="minorEastAsia"/>
                <w:color w:val="000000"/>
                <w:sz w:val="21"/>
                <w:szCs w:val="21"/>
                <w:highlight w:val="none"/>
              </w:rPr>
              <w:t>分；</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□拟派项目负责人资历</w:t>
            </w:r>
            <w:r>
              <w:rPr>
                <w:rFonts w:hint="eastAsia" w:asciiTheme="minorEastAsia" w:hAnsiTheme="minorEastAsia" w:eastAsiaTheme="minorEastAsia" w:cstheme="minorEastAsia"/>
                <w:color w:val="000000"/>
                <w:sz w:val="21"/>
                <w:szCs w:val="21"/>
                <w:highlight w:val="none"/>
                <w:u w:val="single"/>
              </w:rPr>
              <w:t>　  　</w:t>
            </w:r>
            <w:r>
              <w:rPr>
                <w:rFonts w:hint="eastAsia" w:asciiTheme="minorEastAsia" w:hAnsiTheme="minorEastAsia" w:eastAsiaTheme="minorEastAsia" w:cstheme="minorEastAsia"/>
                <w:color w:val="000000"/>
                <w:sz w:val="21"/>
                <w:szCs w:val="21"/>
                <w:highlight w:val="none"/>
              </w:rPr>
              <w:t>分；</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color w:val="000000"/>
                <w:sz w:val="21"/>
                <w:szCs w:val="21"/>
                <w:highlight w:val="none"/>
                <w:lang w:val="en-US" w:eastAsia="zh-CN"/>
              </w:rPr>
              <w:t>拟派勘察团队</w:t>
            </w:r>
            <w:r>
              <w:rPr>
                <w:rFonts w:hint="eastAsia" w:asciiTheme="minorEastAsia" w:hAnsiTheme="minorEastAsia" w:eastAsiaTheme="minorEastAsia" w:cstheme="minorEastAsia"/>
                <w:color w:val="000000"/>
                <w:sz w:val="21"/>
                <w:szCs w:val="21"/>
                <w:highlight w:val="none"/>
              </w:rPr>
              <w:t>其他主要人员的资历</w:t>
            </w:r>
            <w:r>
              <w:rPr>
                <w:rFonts w:hint="eastAsia" w:asciiTheme="minorEastAsia" w:hAnsiTheme="minorEastAsia" w:eastAsiaTheme="minorEastAsia" w:cstheme="minorEastAsia"/>
                <w:color w:val="000000"/>
                <w:sz w:val="21"/>
                <w:szCs w:val="21"/>
                <w:highlight w:val="none"/>
                <w:u w:val="single"/>
              </w:rPr>
              <w:t>　  　</w:t>
            </w:r>
            <w:r>
              <w:rPr>
                <w:rFonts w:hint="eastAsia" w:asciiTheme="minorEastAsia" w:hAnsiTheme="minorEastAsia" w:eastAsiaTheme="minorEastAsia" w:cstheme="minorEastAsia"/>
                <w:color w:val="000000"/>
                <w:sz w:val="21"/>
                <w:szCs w:val="21"/>
                <w:highlight w:val="none"/>
              </w:rPr>
              <w:t>分；</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□获奖情况</w:t>
            </w:r>
            <w:r>
              <w:rPr>
                <w:rFonts w:hint="eastAsia" w:asciiTheme="minorEastAsia" w:hAnsiTheme="minorEastAsia" w:eastAsiaTheme="minorEastAsia" w:cstheme="minorEastAsia"/>
                <w:color w:val="000000"/>
                <w:sz w:val="21"/>
                <w:szCs w:val="21"/>
                <w:highlight w:val="none"/>
                <w:u w:val="single"/>
              </w:rPr>
              <w:t>　  　</w:t>
            </w:r>
            <w:r>
              <w:rPr>
                <w:rFonts w:hint="eastAsia" w:asciiTheme="minorEastAsia" w:hAnsiTheme="minorEastAsia" w:eastAsiaTheme="minorEastAsia" w:cstheme="minorEastAsia"/>
                <w:color w:val="000000"/>
                <w:sz w:val="21"/>
                <w:szCs w:val="21"/>
                <w:highlight w:val="none"/>
              </w:rPr>
              <w:t>分</w:t>
            </w:r>
            <w:r>
              <w:rPr>
                <w:rFonts w:hint="eastAsia" w:asciiTheme="minorEastAsia" w:hAnsiTheme="minorEastAsia" w:eastAsiaTheme="minorEastAsia" w:cstheme="minorEastAsia"/>
                <w:i/>
                <w:color w:val="000000"/>
                <w:sz w:val="21"/>
                <w:szCs w:val="21"/>
                <w:highlight w:val="none"/>
              </w:rPr>
              <w:t>[提示：不高于</w:t>
            </w:r>
            <w:r>
              <w:rPr>
                <w:rFonts w:hint="eastAsia" w:asciiTheme="minorEastAsia" w:hAnsiTheme="minorEastAsia" w:eastAsiaTheme="minorEastAsia" w:cstheme="minorEastAsia"/>
                <w:i/>
                <w:color w:val="000000"/>
                <w:sz w:val="21"/>
                <w:szCs w:val="21"/>
                <w:highlight w:val="none"/>
                <w:lang w:val="en-US" w:eastAsia="zh-CN"/>
              </w:rPr>
              <w:t>2</w:t>
            </w:r>
            <w:r>
              <w:rPr>
                <w:rFonts w:hint="eastAsia" w:asciiTheme="minorEastAsia" w:hAnsiTheme="minorEastAsia" w:eastAsiaTheme="minorEastAsia" w:cstheme="minorEastAsia"/>
                <w:i/>
                <w:color w:val="000000"/>
                <w:sz w:val="21"/>
                <w:szCs w:val="21"/>
                <w:highlight w:val="none"/>
              </w:rPr>
              <w:t>分]</w:t>
            </w:r>
            <w:r>
              <w:rPr>
                <w:rFonts w:hint="eastAsia" w:asciiTheme="minorEastAsia" w:hAnsiTheme="minorEastAsia" w:eastAsiaTheme="minorEastAsia" w:cstheme="minorEastAsia"/>
                <w:color w:val="000000"/>
                <w:sz w:val="21"/>
                <w:szCs w:val="21"/>
                <w:highlight w:val="none"/>
              </w:rPr>
              <w:t>；</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□拟投入的勘察设备</w:t>
            </w:r>
            <w:r>
              <w:rPr>
                <w:rFonts w:hint="eastAsia" w:asciiTheme="minorEastAsia" w:hAnsiTheme="minorEastAsia" w:eastAsiaTheme="minorEastAsia" w:cstheme="minorEastAsia"/>
                <w:color w:val="000000"/>
                <w:sz w:val="21"/>
                <w:szCs w:val="21"/>
                <w:highlight w:val="none"/>
                <w:u w:val="single"/>
              </w:rPr>
              <w:t>　  　</w:t>
            </w:r>
            <w:r>
              <w:rPr>
                <w:rFonts w:hint="eastAsia" w:asciiTheme="minorEastAsia" w:hAnsiTheme="minorEastAsia" w:eastAsiaTheme="minorEastAsia" w:cstheme="minorEastAsia"/>
                <w:color w:val="000000"/>
                <w:sz w:val="21"/>
                <w:szCs w:val="21"/>
                <w:highlight w:val="none"/>
              </w:rPr>
              <w:t>分</w:t>
            </w:r>
            <w:r>
              <w:rPr>
                <w:rFonts w:hint="eastAsia" w:asciiTheme="minorEastAsia" w:hAnsiTheme="minorEastAsia" w:eastAsiaTheme="minorEastAsia" w:cstheme="minorEastAsia"/>
                <w:i/>
                <w:color w:val="000000"/>
                <w:sz w:val="21"/>
                <w:szCs w:val="21"/>
                <w:highlight w:val="none"/>
              </w:rPr>
              <w:t>[提示：不高于</w:t>
            </w:r>
            <w:r>
              <w:rPr>
                <w:rFonts w:hint="eastAsia" w:asciiTheme="minorEastAsia" w:hAnsiTheme="minorEastAsia" w:eastAsiaTheme="minorEastAsia" w:cstheme="minorEastAsia"/>
                <w:i/>
                <w:color w:val="000000"/>
                <w:sz w:val="21"/>
                <w:szCs w:val="21"/>
                <w:highlight w:val="none"/>
                <w:lang w:val="en-US" w:eastAsia="zh-CN"/>
              </w:rPr>
              <w:t>3</w:t>
            </w:r>
            <w:r>
              <w:rPr>
                <w:rFonts w:hint="eastAsia" w:asciiTheme="minorEastAsia" w:hAnsiTheme="minorEastAsia" w:eastAsiaTheme="minorEastAsia" w:cstheme="minorEastAsia"/>
                <w:i/>
                <w:color w:val="000000"/>
                <w:sz w:val="21"/>
                <w:szCs w:val="21"/>
                <w:highlight w:val="none"/>
              </w:rPr>
              <w:t>分]</w:t>
            </w:r>
            <w:r>
              <w:rPr>
                <w:rFonts w:hint="eastAsia" w:asciiTheme="minorEastAsia" w:hAnsiTheme="minorEastAsia" w:eastAsiaTheme="minorEastAsia" w:cstheme="minorEastAsia"/>
                <w:color w:val="000000"/>
                <w:sz w:val="21"/>
                <w:szCs w:val="21"/>
                <w:highlight w:val="none"/>
              </w:rPr>
              <w:t>；</w:t>
            </w:r>
          </w:p>
          <w:p>
            <w:pPr>
              <w:keepNext w:val="0"/>
              <w:keepLines w:val="0"/>
              <w:pageBreakBefore w:val="0"/>
              <w:widowControl w:val="0"/>
              <w:kinsoku/>
              <w:wordWrap/>
              <w:overflowPunct/>
              <w:topLinePunct w:val="0"/>
              <w:bidi w:val="0"/>
              <w:spacing w:line="400" w:lineRule="exact"/>
              <w:ind w:firstLine="0" w:firstLineChars="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3.投标报价</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color w:val="000000"/>
                <w:sz w:val="21"/>
                <w:szCs w:val="21"/>
                <w:highlight w:val="none"/>
              </w:rPr>
              <w:t>分</w:t>
            </w:r>
            <w:r>
              <w:rPr>
                <w:rFonts w:hint="eastAsia" w:asciiTheme="minorEastAsia" w:hAnsiTheme="minorEastAsia" w:eastAsiaTheme="minorEastAsia" w:cstheme="minorEastAsia"/>
                <w:i/>
                <w:color w:val="000000"/>
                <w:sz w:val="21"/>
                <w:szCs w:val="21"/>
                <w:highlight w:val="none"/>
              </w:rPr>
              <w:t>[提示：不低于30分]</w:t>
            </w:r>
            <w:r>
              <w:rPr>
                <w:rFonts w:hint="eastAsia" w:asciiTheme="minorEastAsia" w:hAnsiTheme="minorEastAsia" w:eastAsiaTheme="minorEastAsia" w:cstheme="minorEastAsia"/>
                <w:color w:val="000000"/>
                <w:sz w:val="21"/>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1701" w:type="dxa"/>
            <w:gridSpan w:val="2"/>
            <w:tcBorders>
              <w:top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2.2.2</w:t>
            </w:r>
          </w:p>
        </w:tc>
        <w:tc>
          <w:tcPr>
            <w:tcW w:w="1418"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评标基准价计算方法</w:t>
            </w:r>
          </w:p>
        </w:tc>
        <w:tc>
          <w:tcPr>
            <w:tcW w:w="68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400" w:lineRule="exact"/>
              <w:ind w:firstLine="422" w:firstLineChars="200"/>
              <w:jc w:val="left"/>
              <w:textAlignment w:val="auto"/>
              <w:rPr>
                <w:rFonts w:hint="eastAsia" w:asciiTheme="minorEastAsia" w:hAnsiTheme="minorEastAsia" w:eastAsiaTheme="minorEastAsia" w:cstheme="minorEastAsia"/>
                <w:b/>
                <w:bCs/>
                <w:color w:val="auto"/>
                <w:kern w:val="0"/>
                <w:sz w:val="21"/>
                <w:szCs w:val="21"/>
                <w:highlight w:val="none"/>
                <w:lang w:val="en-US" w:eastAsia="zh-CN"/>
              </w:rPr>
            </w:pPr>
            <w:r>
              <w:rPr>
                <w:rFonts w:hint="eastAsia" w:asciiTheme="minorEastAsia" w:hAnsiTheme="minorEastAsia" w:eastAsiaTheme="minorEastAsia" w:cstheme="minorEastAsia"/>
                <w:b/>
                <w:bCs/>
                <w:color w:val="auto"/>
                <w:kern w:val="0"/>
                <w:sz w:val="21"/>
                <w:szCs w:val="21"/>
                <w:highlight w:val="none"/>
              </w:rPr>
              <w:t>□</w:t>
            </w:r>
            <w:r>
              <w:rPr>
                <w:rFonts w:hint="eastAsia" w:asciiTheme="minorEastAsia" w:hAnsiTheme="minorEastAsia" w:eastAsiaTheme="minorEastAsia" w:cstheme="minorEastAsia"/>
                <w:b/>
                <w:bCs/>
                <w:color w:val="auto"/>
                <w:kern w:val="0"/>
                <w:sz w:val="21"/>
                <w:szCs w:val="21"/>
                <w:highlight w:val="none"/>
                <w:lang w:val="en-US" w:eastAsia="zh-CN"/>
              </w:rPr>
              <w:t>方式一</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所有通过初步评审和本章第2.2.</w:t>
            </w: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（3）目评审合格的投标人</w:t>
            </w:r>
            <w:r>
              <w:rPr>
                <w:rFonts w:hint="eastAsia" w:asciiTheme="minorEastAsia" w:hAnsiTheme="minorEastAsia" w:eastAsiaTheme="minorEastAsia" w:cstheme="minorEastAsia"/>
                <w:color w:val="auto"/>
                <w:sz w:val="21"/>
                <w:szCs w:val="21"/>
                <w:highlight w:val="none"/>
              </w:rPr>
              <w:t>的投标总报</w:t>
            </w:r>
            <w:r>
              <w:rPr>
                <w:rFonts w:hint="eastAsia" w:asciiTheme="minorEastAsia" w:hAnsiTheme="minorEastAsia" w:eastAsiaTheme="minorEastAsia" w:cstheme="minorEastAsia"/>
                <w:color w:val="auto"/>
                <w:kern w:val="0"/>
                <w:sz w:val="21"/>
                <w:szCs w:val="21"/>
                <w:highlight w:val="none"/>
              </w:rPr>
              <w:t>价中去掉六分之一（不能整除的按小数点前整数取整，不足六家报价则不去掉）的最低价和相同家数的最高价后的算术平均值，即为本项目投标总报价的评标基准价。</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jc w:val="left"/>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评标基准价计算的最终结果</w:t>
            </w:r>
            <w:r>
              <w:rPr>
                <w:rFonts w:hint="eastAsia"/>
              </w:rPr>
              <w:t>保留两位小数</w:t>
            </w:r>
            <w:r>
              <w:t>，</w:t>
            </w:r>
            <w:r>
              <w:rPr>
                <w:rFonts w:hint="eastAsia"/>
                <w:lang w:val="en-US" w:eastAsia="zh-CN"/>
              </w:rPr>
              <w:t>小数点后</w:t>
            </w:r>
            <w:r>
              <w:rPr>
                <w:rFonts w:hint="eastAsia" w:asciiTheme="minorEastAsia" w:hAnsiTheme="minorEastAsia" w:eastAsiaTheme="minorEastAsia" w:cstheme="minorEastAsia"/>
                <w:color w:val="auto"/>
                <w:kern w:val="0"/>
                <w:sz w:val="21"/>
                <w:szCs w:val="21"/>
                <w:highlight w:val="none"/>
              </w:rPr>
              <w:t>第三位四舍五入。在评标基准价计算完成后（除计算错误外），在后续的评审中不得再对其做出调整</w:t>
            </w:r>
            <w:r>
              <w:rPr>
                <w:rFonts w:hint="eastAsia" w:asciiTheme="minorEastAsia" w:hAnsiTheme="minorEastAsia" w:eastAsiaTheme="minorEastAsia" w:cstheme="minorEastAsia"/>
                <w:color w:val="auto"/>
                <w:kern w:val="0"/>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00" w:lineRule="exact"/>
              <w:ind w:firstLine="422" w:firstLineChars="200"/>
              <w:textAlignment w:val="auto"/>
              <w:rPr>
                <w:rFonts w:hint="eastAsia" w:asciiTheme="minorEastAsia" w:hAnsiTheme="minorEastAsia" w:eastAsiaTheme="minorEastAsia" w:cstheme="minorEastAsia"/>
                <w:b/>
                <w:bCs/>
                <w:color w:val="auto"/>
                <w:kern w:val="0"/>
                <w:sz w:val="21"/>
                <w:szCs w:val="21"/>
                <w:highlight w:val="none"/>
                <w:lang w:val="en-US" w:eastAsia="zh-CN"/>
              </w:rPr>
            </w:pPr>
            <w:r>
              <w:rPr>
                <w:rFonts w:hint="eastAsia" w:asciiTheme="minorEastAsia" w:hAnsiTheme="minorEastAsia" w:eastAsiaTheme="minorEastAsia" w:cstheme="minorEastAsia"/>
                <w:b/>
                <w:bCs/>
                <w:color w:val="auto"/>
                <w:kern w:val="0"/>
                <w:sz w:val="21"/>
                <w:szCs w:val="21"/>
                <w:highlight w:val="none"/>
              </w:rPr>
              <w:t>□</w:t>
            </w:r>
            <w:r>
              <w:rPr>
                <w:rFonts w:hint="eastAsia" w:asciiTheme="minorEastAsia" w:hAnsiTheme="minorEastAsia" w:eastAsiaTheme="minorEastAsia" w:cstheme="minorEastAsia"/>
                <w:b/>
                <w:bCs/>
                <w:color w:val="auto"/>
                <w:kern w:val="0"/>
                <w:sz w:val="21"/>
                <w:szCs w:val="21"/>
                <w:highlight w:val="none"/>
                <w:lang w:val="en-US" w:eastAsia="zh-CN"/>
              </w:rPr>
              <w:t>方式二</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所有通过初步评审和本章第2.2.</w:t>
            </w: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（3）目评审合格的投标人</w:t>
            </w:r>
            <w:r>
              <w:rPr>
                <w:rFonts w:hint="eastAsia" w:asciiTheme="minorEastAsia" w:hAnsiTheme="minorEastAsia" w:eastAsiaTheme="minorEastAsia" w:cstheme="minorEastAsia"/>
                <w:color w:val="auto"/>
                <w:sz w:val="21"/>
                <w:szCs w:val="21"/>
                <w:highlight w:val="none"/>
              </w:rPr>
              <w:t>的投标总报</w:t>
            </w:r>
            <w:r>
              <w:rPr>
                <w:rFonts w:hint="eastAsia" w:asciiTheme="minorEastAsia" w:hAnsiTheme="minorEastAsia" w:eastAsiaTheme="minorEastAsia" w:cstheme="minorEastAsia"/>
                <w:color w:val="auto"/>
                <w:kern w:val="0"/>
                <w:sz w:val="21"/>
                <w:szCs w:val="21"/>
                <w:highlight w:val="none"/>
              </w:rPr>
              <w:t>价中去掉六分之一（不能整除的按小数点前整数取整，不足六家报价则不去掉）的最低价和相同家数的最高价后的算术平均值乘以（1-本项目评标基准价浮动值N），即为本项目的投标总报价的评标基准价。（评标基准价浮动值N为1%～5%</w:t>
            </w:r>
            <w:r>
              <w:rPr>
                <w:rFonts w:hint="eastAsia" w:asciiTheme="minorEastAsia" w:hAnsiTheme="minorEastAsia" w:eastAsiaTheme="minorEastAsia" w:cstheme="minorEastAsia"/>
                <w:color w:val="auto"/>
                <w:kern w:val="0"/>
                <w:sz w:val="21"/>
                <w:szCs w:val="21"/>
                <w:highlight w:val="none"/>
                <w:lang w:val="en-US" w:eastAsia="zh-CN"/>
              </w:rPr>
              <w:t>范围内百分数取整</w:t>
            </w:r>
            <w:r>
              <w:rPr>
                <w:rFonts w:hint="eastAsia" w:asciiTheme="minorEastAsia" w:hAnsiTheme="minorEastAsia" w:eastAsiaTheme="minorEastAsia" w:cstheme="minorEastAsia"/>
                <w:color w:val="auto"/>
                <w:kern w:val="0"/>
                <w:sz w:val="21"/>
                <w:szCs w:val="21"/>
                <w:highlight w:val="none"/>
              </w:rPr>
              <w:t>，□在开标现场随机抽取决定</w:t>
            </w:r>
            <w:r>
              <w:rPr>
                <w:rFonts w:hint="eastAsia" w:asciiTheme="minorEastAsia" w:hAnsiTheme="minorEastAsia" w:eastAsiaTheme="minorEastAsia" w:cstheme="minorEastAsia"/>
                <w:color w:val="auto"/>
                <w:kern w:val="0"/>
                <w:sz w:val="21"/>
                <w:szCs w:val="21"/>
                <w:highlight w:val="none"/>
                <w:lang w:val="en-US" w:eastAsia="zh-CN"/>
              </w:rPr>
              <w:t>/</w:t>
            </w:r>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kern w:val="0"/>
                <w:sz w:val="21"/>
                <w:szCs w:val="21"/>
                <w:lang w:val="en-US" w:eastAsia="zh-CN"/>
              </w:rPr>
              <w:t>由招标人直接确定为</w:t>
            </w:r>
            <w:r>
              <w:rPr>
                <w:rFonts w:hint="eastAsia" w:asciiTheme="minorEastAsia" w:hAnsiTheme="minorEastAsia" w:eastAsiaTheme="minorEastAsia" w:cstheme="minorEastAsia"/>
                <w:kern w:val="0"/>
                <w:sz w:val="21"/>
                <w:szCs w:val="21"/>
                <w:u w:val="single"/>
                <w:lang w:val="en-US" w:eastAsia="zh-CN"/>
              </w:rPr>
              <w:t xml:space="preserve">    </w:t>
            </w:r>
            <w:r>
              <w:rPr>
                <w:rFonts w:hint="eastAsia" w:asciiTheme="minorEastAsia" w:hAnsiTheme="minorEastAsia" w:eastAsiaTheme="minorEastAsia" w:cstheme="minorEastAsia"/>
                <w:kern w:val="0"/>
                <w:sz w:val="21"/>
                <w:szCs w:val="21"/>
                <w:u w:val="none"/>
                <w:lang w:val="en-US" w:eastAsia="zh-CN"/>
              </w:rPr>
              <w:t>%</w:t>
            </w:r>
            <w:r>
              <w:rPr>
                <w:rFonts w:hint="eastAsia" w:asciiTheme="minorEastAsia" w:hAnsiTheme="minorEastAsia" w:eastAsiaTheme="minorEastAsia" w:cstheme="minorEastAsia"/>
                <w:color w:val="auto"/>
                <w:kern w:val="0"/>
                <w:sz w:val="21"/>
                <w:szCs w:val="21"/>
                <w:highlight w:val="none"/>
                <w:lang w:eastAsia="zh-CN"/>
              </w:rPr>
              <w:t>。</w:t>
            </w:r>
            <w:r>
              <w:rPr>
                <w:rFonts w:hint="eastAsia" w:asciiTheme="minorEastAsia" w:hAnsiTheme="minorEastAsia" w:eastAsiaTheme="minorEastAsia" w:cstheme="minorEastAsia"/>
                <w:color w:val="auto"/>
                <w:kern w:val="0"/>
                <w:sz w:val="21"/>
                <w:szCs w:val="21"/>
                <w:highlight w:val="none"/>
              </w:rPr>
              <w:t>）</w:t>
            </w:r>
          </w:p>
          <w:p>
            <w:pPr>
              <w:keepNext w:val="0"/>
              <w:keepLines w:val="0"/>
              <w:pageBreakBefore w:val="0"/>
              <w:widowControl w:val="0"/>
              <w:suppressLineNumbers w:val="0"/>
              <w:suppressAutoHyphens/>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评标基准价计算的最终结果</w:t>
            </w:r>
            <w:r>
              <w:rPr>
                <w:rFonts w:hint="eastAsia"/>
              </w:rPr>
              <w:t>保留两位小数</w:t>
            </w:r>
            <w:r>
              <w:t>，</w:t>
            </w:r>
            <w:r>
              <w:rPr>
                <w:rFonts w:hint="eastAsia"/>
                <w:lang w:val="en-US" w:eastAsia="zh-CN"/>
              </w:rPr>
              <w:t>小数点后</w:t>
            </w:r>
            <w:r>
              <w:rPr>
                <w:rFonts w:hint="eastAsia" w:asciiTheme="minorEastAsia" w:hAnsiTheme="minorEastAsia" w:eastAsiaTheme="minorEastAsia" w:cstheme="minorEastAsia"/>
                <w:color w:val="auto"/>
                <w:kern w:val="0"/>
                <w:sz w:val="21"/>
                <w:szCs w:val="21"/>
                <w:highlight w:val="none"/>
              </w:rPr>
              <w:t>第三位四舍五入。在评标基准价计算完成后（除计算错误外），在后续的评审中不得再对其做出调整。</w:t>
            </w:r>
          </w:p>
          <w:p>
            <w:pPr>
              <w:keepNext w:val="0"/>
              <w:keepLines w:val="0"/>
              <w:pageBreakBefore w:val="0"/>
              <w:widowControl w:val="0"/>
              <w:kinsoku/>
              <w:wordWrap/>
              <w:overflowPunct/>
              <w:topLinePunct w:val="0"/>
              <w:autoSpaceDE/>
              <w:autoSpaceDN/>
              <w:bidi w:val="0"/>
              <w:adjustRightInd/>
              <w:snapToGrid w:val="0"/>
              <w:spacing w:line="400" w:lineRule="exact"/>
              <w:ind w:firstLine="422" w:firstLineChars="200"/>
              <w:jc w:val="left"/>
              <w:textAlignment w:val="auto"/>
              <w:rPr>
                <w:rFonts w:hint="eastAsia" w:asciiTheme="minorEastAsia" w:hAnsiTheme="minorEastAsia" w:eastAsiaTheme="minorEastAsia" w:cstheme="minorEastAsia"/>
                <w:b/>
                <w:bCs/>
                <w:color w:val="auto"/>
                <w:kern w:val="0"/>
                <w:sz w:val="21"/>
                <w:szCs w:val="21"/>
                <w:highlight w:val="none"/>
                <w:lang w:val="en-US" w:eastAsia="zh-CN"/>
              </w:rPr>
            </w:pPr>
            <w:r>
              <w:rPr>
                <w:rFonts w:hint="eastAsia" w:asciiTheme="minorEastAsia" w:hAnsiTheme="minorEastAsia" w:eastAsiaTheme="minorEastAsia" w:cstheme="minorEastAsia"/>
                <w:b/>
                <w:bCs/>
                <w:color w:val="auto"/>
                <w:kern w:val="0"/>
                <w:sz w:val="21"/>
                <w:szCs w:val="21"/>
                <w:highlight w:val="none"/>
              </w:rPr>
              <w:t>□</w:t>
            </w:r>
            <w:r>
              <w:rPr>
                <w:rFonts w:hint="eastAsia" w:asciiTheme="minorEastAsia" w:hAnsiTheme="minorEastAsia" w:eastAsiaTheme="minorEastAsia" w:cstheme="minorEastAsia"/>
                <w:b/>
                <w:bCs/>
                <w:color w:val="auto"/>
                <w:kern w:val="0"/>
                <w:sz w:val="21"/>
                <w:szCs w:val="21"/>
                <w:highlight w:val="none"/>
                <w:lang w:val="en-US" w:eastAsia="zh-CN"/>
              </w:rPr>
              <w:t>方式三</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所有通过初步评审和本章第2.2.</w:t>
            </w: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（3）目评审合格的投标人</w:t>
            </w:r>
            <w:r>
              <w:rPr>
                <w:rFonts w:hint="eastAsia" w:asciiTheme="minorEastAsia" w:hAnsiTheme="minorEastAsia" w:eastAsiaTheme="minorEastAsia" w:cstheme="minorEastAsia"/>
                <w:color w:val="auto"/>
                <w:sz w:val="21"/>
                <w:szCs w:val="21"/>
                <w:highlight w:val="none"/>
              </w:rPr>
              <w:t>的投标总报</w:t>
            </w:r>
            <w:r>
              <w:rPr>
                <w:rFonts w:hint="eastAsia" w:asciiTheme="minorEastAsia" w:hAnsiTheme="minorEastAsia" w:eastAsiaTheme="minorEastAsia" w:cstheme="minorEastAsia"/>
                <w:color w:val="auto"/>
                <w:kern w:val="0"/>
                <w:sz w:val="21"/>
                <w:szCs w:val="21"/>
                <w:highlight w:val="none"/>
              </w:rPr>
              <w:t>价中去掉六分之一（不能整除的按小数点前整数取整，不足六家报价则不去掉）的最低价和相同家数的最高价后的算术平均值与本项目最高限价再取平均值，即为本项目投标总报价的评标基准价。</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color w:val="auto"/>
                <w:kern w:val="0"/>
                <w:sz w:val="21"/>
                <w:szCs w:val="21"/>
                <w:highlight w:val="none"/>
                <w:lang w:eastAsia="zh-CN"/>
              </w:rPr>
            </w:pPr>
            <w:r>
              <w:rPr>
                <w:rFonts w:hint="eastAsia" w:asciiTheme="minorEastAsia" w:hAnsiTheme="minorEastAsia" w:eastAsiaTheme="minorEastAsia" w:cstheme="minorEastAsia"/>
                <w:color w:val="auto"/>
                <w:kern w:val="0"/>
                <w:sz w:val="21"/>
                <w:szCs w:val="21"/>
                <w:highlight w:val="none"/>
              </w:rPr>
              <w:t>评标基准价计算的最终结果</w:t>
            </w:r>
            <w:r>
              <w:rPr>
                <w:rFonts w:hint="eastAsia"/>
              </w:rPr>
              <w:t>保留两位小数</w:t>
            </w:r>
            <w:r>
              <w:t>，</w:t>
            </w:r>
            <w:r>
              <w:rPr>
                <w:rFonts w:hint="eastAsia"/>
                <w:lang w:val="en-US" w:eastAsia="zh-CN"/>
              </w:rPr>
              <w:t>小数点后</w:t>
            </w:r>
            <w:r>
              <w:rPr>
                <w:rFonts w:hint="eastAsia" w:asciiTheme="minorEastAsia" w:hAnsiTheme="minorEastAsia" w:eastAsiaTheme="minorEastAsia" w:cstheme="minorEastAsia"/>
                <w:color w:val="auto"/>
                <w:kern w:val="0"/>
                <w:sz w:val="21"/>
                <w:szCs w:val="21"/>
                <w:highlight w:val="none"/>
              </w:rPr>
              <w:t>第三位四舍五入。在评标基准价计算完成后（除计算错误外），在后续的评审中不得再对其做出调整</w:t>
            </w:r>
            <w:r>
              <w:rPr>
                <w:rFonts w:hint="eastAsia" w:asciiTheme="minorEastAsia" w:hAnsiTheme="minorEastAsia" w:eastAsiaTheme="minorEastAsia" w:cstheme="minorEastAsia"/>
                <w:color w:val="auto"/>
                <w:kern w:val="0"/>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400" w:lineRule="exact"/>
              <w:ind w:firstLine="422" w:firstLineChars="200"/>
              <w:jc w:val="left"/>
              <w:textAlignment w:val="auto"/>
              <w:rPr>
                <w:rFonts w:hint="eastAsia" w:asciiTheme="minorEastAsia" w:hAnsiTheme="minorEastAsia" w:eastAsiaTheme="minorEastAsia" w:cstheme="minorEastAsia"/>
                <w:b/>
                <w:bCs/>
                <w:color w:val="auto"/>
                <w:kern w:val="0"/>
                <w:sz w:val="21"/>
                <w:szCs w:val="21"/>
                <w:highlight w:val="none"/>
                <w:lang w:val="en-US" w:eastAsia="zh-CN"/>
              </w:rPr>
            </w:pPr>
            <w:r>
              <w:rPr>
                <w:rFonts w:hint="eastAsia" w:asciiTheme="minorEastAsia" w:hAnsiTheme="minorEastAsia" w:eastAsiaTheme="minorEastAsia" w:cstheme="minorEastAsia"/>
                <w:b/>
                <w:bCs/>
                <w:color w:val="auto"/>
                <w:kern w:val="0"/>
                <w:sz w:val="21"/>
                <w:szCs w:val="21"/>
                <w:highlight w:val="none"/>
              </w:rPr>
              <w:t>□</w:t>
            </w:r>
            <w:r>
              <w:rPr>
                <w:rFonts w:hint="eastAsia" w:asciiTheme="minorEastAsia" w:hAnsiTheme="minorEastAsia" w:eastAsiaTheme="minorEastAsia" w:cstheme="minorEastAsia"/>
                <w:b/>
                <w:bCs/>
                <w:color w:val="auto"/>
                <w:kern w:val="0"/>
                <w:sz w:val="21"/>
                <w:szCs w:val="21"/>
                <w:highlight w:val="none"/>
                <w:lang w:val="en-US" w:eastAsia="zh-CN"/>
              </w:rPr>
              <w:t>方式四</w:t>
            </w:r>
          </w:p>
          <w:p>
            <w:pPr>
              <w:keepNext w:val="0"/>
              <w:keepLines w:val="0"/>
              <w:pageBreakBefore w:val="0"/>
              <w:widowControl w:val="0"/>
              <w:suppressLineNumbers w:val="0"/>
              <w:suppressAutoHyphens/>
              <w:kinsoku/>
              <w:wordWrap/>
              <w:overflowPunct/>
              <w:topLinePunct w:val="0"/>
              <w:autoSpaceDE/>
              <w:autoSpaceDN/>
              <w:bidi w:val="0"/>
              <w:adjustRightInd/>
              <w:spacing w:line="4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所有通过初步评审和本章第2.2.</w:t>
            </w: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（3）目评审合格的投标人</w:t>
            </w:r>
            <w:r>
              <w:rPr>
                <w:rFonts w:hint="eastAsia" w:asciiTheme="minorEastAsia" w:hAnsiTheme="minorEastAsia" w:eastAsiaTheme="minorEastAsia" w:cstheme="minorEastAsia"/>
                <w:color w:val="auto"/>
                <w:sz w:val="21"/>
                <w:szCs w:val="21"/>
                <w:highlight w:val="none"/>
              </w:rPr>
              <w:t>的投标总报</w:t>
            </w:r>
            <w:r>
              <w:rPr>
                <w:rFonts w:hint="eastAsia" w:asciiTheme="minorEastAsia" w:hAnsiTheme="minorEastAsia" w:eastAsiaTheme="minorEastAsia" w:cstheme="minorEastAsia"/>
                <w:color w:val="auto"/>
                <w:kern w:val="0"/>
                <w:sz w:val="21"/>
                <w:szCs w:val="21"/>
                <w:highlight w:val="none"/>
              </w:rPr>
              <w:t>价中去掉六分之一（不能整除的按小数点前整数取整，不足六家报价则不去掉）的最低价和相同家数的最高价后的算术平均值与本项目最高限价再取平均值</w:t>
            </w:r>
            <w:r>
              <w:rPr>
                <w:rFonts w:hint="eastAsia" w:asciiTheme="minorEastAsia" w:hAnsiTheme="minorEastAsia" w:eastAsiaTheme="minorEastAsia" w:cstheme="minorEastAsia"/>
                <w:color w:val="auto"/>
                <w:kern w:val="0"/>
                <w:sz w:val="21"/>
                <w:szCs w:val="21"/>
                <w:highlight w:val="none"/>
                <w:lang w:val="en-US" w:eastAsia="zh-CN"/>
              </w:rPr>
              <w:t>后</w:t>
            </w:r>
            <w:r>
              <w:rPr>
                <w:rFonts w:hint="eastAsia" w:asciiTheme="minorEastAsia" w:hAnsiTheme="minorEastAsia" w:eastAsiaTheme="minorEastAsia" w:cstheme="minorEastAsia"/>
                <w:color w:val="auto"/>
                <w:kern w:val="0"/>
                <w:sz w:val="21"/>
                <w:szCs w:val="21"/>
                <w:highlight w:val="none"/>
              </w:rPr>
              <w:t>乘以（1-本项目评标基准价浮动值N），即为本项目的投标总报价的评标基准价。（评标基准价浮动值N为1%～5%</w:t>
            </w:r>
            <w:r>
              <w:rPr>
                <w:rFonts w:hint="eastAsia" w:asciiTheme="minorEastAsia" w:hAnsiTheme="minorEastAsia" w:eastAsiaTheme="minorEastAsia" w:cstheme="minorEastAsia"/>
                <w:color w:val="auto"/>
                <w:kern w:val="0"/>
                <w:sz w:val="21"/>
                <w:szCs w:val="21"/>
                <w:highlight w:val="none"/>
                <w:lang w:val="en-US" w:eastAsia="zh-CN"/>
              </w:rPr>
              <w:t>范围内百分数取整</w:t>
            </w:r>
            <w:r>
              <w:rPr>
                <w:rFonts w:hint="eastAsia" w:asciiTheme="minorEastAsia" w:hAnsiTheme="minorEastAsia" w:eastAsiaTheme="minorEastAsia" w:cstheme="minorEastAsia"/>
                <w:color w:val="auto"/>
                <w:kern w:val="0"/>
                <w:sz w:val="21"/>
                <w:szCs w:val="21"/>
                <w:highlight w:val="none"/>
              </w:rPr>
              <w:t>，□在开标现场随机抽取决定</w:t>
            </w:r>
            <w:r>
              <w:rPr>
                <w:rFonts w:hint="eastAsia" w:asciiTheme="minorEastAsia" w:hAnsiTheme="minorEastAsia" w:eastAsiaTheme="minorEastAsia" w:cstheme="minorEastAsia"/>
                <w:color w:val="auto"/>
                <w:kern w:val="0"/>
                <w:sz w:val="21"/>
                <w:szCs w:val="21"/>
                <w:highlight w:val="none"/>
                <w:lang w:val="en-US" w:eastAsia="zh-CN"/>
              </w:rPr>
              <w:t>/</w:t>
            </w:r>
            <w:r>
              <w:rPr>
                <w:rFonts w:hint="eastAsia" w:asciiTheme="minorEastAsia" w:hAnsiTheme="minorEastAsia" w:eastAsiaTheme="minorEastAsia" w:cstheme="minorEastAsia"/>
                <w:color w:val="auto"/>
                <w:kern w:val="0"/>
                <w:sz w:val="21"/>
                <w:szCs w:val="21"/>
                <w:highlight w:val="none"/>
              </w:rPr>
              <w:t>□</w:t>
            </w:r>
            <w:r>
              <w:rPr>
                <w:rFonts w:hint="eastAsia" w:asciiTheme="minorEastAsia" w:hAnsiTheme="minorEastAsia" w:eastAsiaTheme="minorEastAsia" w:cstheme="minorEastAsia"/>
                <w:kern w:val="0"/>
                <w:sz w:val="21"/>
                <w:szCs w:val="21"/>
                <w:lang w:val="en-US" w:eastAsia="zh-CN"/>
              </w:rPr>
              <w:t>由招标人直接确定为</w:t>
            </w:r>
            <w:r>
              <w:rPr>
                <w:rFonts w:hint="eastAsia" w:asciiTheme="minorEastAsia" w:hAnsiTheme="minorEastAsia" w:eastAsiaTheme="minorEastAsia" w:cstheme="minorEastAsia"/>
                <w:kern w:val="0"/>
                <w:sz w:val="21"/>
                <w:szCs w:val="21"/>
                <w:u w:val="single"/>
                <w:lang w:val="en-US" w:eastAsia="zh-CN"/>
              </w:rPr>
              <w:t xml:space="preserve">    </w:t>
            </w:r>
            <w:r>
              <w:rPr>
                <w:rFonts w:hint="eastAsia" w:asciiTheme="minorEastAsia" w:hAnsiTheme="minorEastAsia" w:eastAsiaTheme="minorEastAsia" w:cstheme="minorEastAsia"/>
                <w:kern w:val="0"/>
                <w:sz w:val="21"/>
                <w:szCs w:val="21"/>
                <w:u w:val="none"/>
                <w:lang w:val="en-US" w:eastAsia="zh-CN"/>
              </w:rPr>
              <w:t>%</w:t>
            </w:r>
            <w:r>
              <w:rPr>
                <w:rFonts w:hint="eastAsia" w:asciiTheme="minorEastAsia" w:hAnsiTheme="minorEastAsia" w:eastAsiaTheme="minorEastAsia" w:cstheme="minorEastAsia"/>
                <w:kern w:val="0"/>
                <w:sz w:val="21"/>
                <w:szCs w:val="21"/>
                <w:lang w:eastAsia="zh-CN"/>
              </w:rPr>
              <w:t>。</w:t>
            </w:r>
            <w:r>
              <w:rPr>
                <w:rFonts w:hint="eastAsia" w:asciiTheme="minorEastAsia" w:hAnsiTheme="minorEastAsia" w:eastAsiaTheme="minorEastAsia" w:cstheme="minorEastAsia"/>
                <w:color w:val="auto"/>
                <w:kern w:val="0"/>
                <w:sz w:val="21"/>
                <w:szCs w:val="21"/>
                <w:highlight w:val="none"/>
              </w:rPr>
              <w:t>）评标基准价计算的最终结果</w:t>
            </w:r>
            <w:r>
              <w:rPr>
                <w:rFonts w:hint="eastAsia"/>
              </w:rPr>
              <w:t>保留两位小数</w:t>
            </w:r>
            <w:r>
              <w:t>，</w:t>
            </w:r>
            <w:r>
              <w:rPr>
                <w:rFonts w:hint="eastAsia"/>
                <w:lang w:val="en-US" w:eastAsia="zh-CN"/>
              </w:rPr>
              <w:t>小数点后</w:t>
            </w:r>
            <w:r>
              <w:rPr>
                <w:rFonts w:hint="eastAsia" w:asciiTheme="minorEastAsia" w:hAnsiTheme="minorEastAsia" w:eastAsiaTheme="minorEastAsia" w:cstheme="minorEastAsia"/>
                <w:color w:val="auto"/>
                <w:kern w:val="0"/>
                <w:sz w:val="21"/>
                <w:szCs w:val="21"/>
                <w:highlight w:val="none"/>
              </w:rPr>
              <w:t>第三位四舍五入。在评标基准价计算完成后（除计算错误外），在后续的评审中不得再对其做出调整。</w:t>
            </w:r>
          </w:p>
          <w:p>
            <w:pPr>
              <w:keepNext w:val="0"/>
              <w:keepLines w:val="0"/>
              <w:pageBreakBefore w:val="0"/>
              <w:widowControl w:val="0"/>
              <w:kinsoku/>
              <w:wordWrap/>
              <w:overflowPunct/>
              <w:topLinePunct w:val="0"/>
              <w:autoSpaceDE/>
              <w:autoSpaceDN/>
              <w:bidi w:val="0"/>
              <w:adjustRightInd/>
              <w:snapToGrid w:val="0"/>
              <w:spacing w:line="400" w:lineRule="exact"/>
              <w:ind w:firstLine="422" w:firstLineChars="200"/>
              <w:jc w:val="left"/>
              <w:textAlignment w:val="auto"/>
              <w:rPr>
                <w:rFonts w:hint="eastAsia" w:asciiTheme="minorEastAsia" w:hAnsiTheme="minorEastAsia" w:eastAsiaTheme="minorEastAsia" w:cstheme="minorEastAsia"/>
                <w:b/>
                <w:bCs/>
                <w:color w:val="auto"/>
                <w:kern w:val="0"/>
                <w:sz w:val="21"/>
                <w:szCs w:val="21"/>
                <w:highlight w:val="none"/>
                <w:lang w:val="en-US" w:eastAsia="zh-CN"/>
              </w:rPr>
            </w:pPr>
            <w:r>
              <w:rPr>
                <w:rFonts w:hint="eastAsia" w:asciiTheme="minorEastAsia" w:hAnsiTheme="minorEastAsia" w:eastAsiaTheme="minorEastAsia" w:cstheme="minorEastAsia"/>
                <w:b/>
                <w:bCs/>
                <w:color w:val="auto"/>
                <w:kern w:val="0"/>
                <w:sz w:val="21"/>
                <w:szCs w:val="21"/>
                <w:highlight w:val="none"/>
              </w:rPr>
              <w:t>□</w:t>
            </w:r>
            <w:r>
              <w:rPr>
                <w:rFonts w:hint="eastAsia" w:asciiTheme="minorEastAsia" w:hAnsiTheme="minorEastAsia" w:eastAsiaTheme="minorEastAsia" w:cstheme="minorEastAsia"/>
                <w:b/>
                <w:bCs/>
                <w:color w:val="auto"/>
                <w:kern w:val="0"/>
                <w:sz w:val="21"/>
                <w:szCs w:val="21"/>
                <w:highlight w:val="none"/>
                <w:lang w:val="en-US" w:eastAsia="zh-CN"/>
              </w:rPr>
              <w:t>方式五</w:t>
            </w:r>
            <w:r>
              <w:rPr>
                <w:rFonts w:hint="eastAsia" w:asciiTheme="minorEastAsia" w:hAnsiTheme="minorEastAsia" w:eastAsiaTheme="minorEastAsia" w:cstheme="minorEastAsia"/>
                <w:i/>
                <w:iCs/>
                <w:color w:val="auto"/>
                <w:kern w:val="0"/>
                <w:sz w:val="21"/>
                <w:szCs w:val="21"/>
                <w:highlight w:val="none"/>
                <w:lang w:val="en-US" w:eastAsia="zh-CN"/>
              </w:rPr>
              <w:t>[提示：适用于第2.2.4（4）目“投标总报价得分”选择方式三的。]</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jc w:val="left"/>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所有通过初步评审和本章第2.2.</w:t>
            </w:r>
            <w:r>
              <w:rPr>
                <w:rFonts w:hint="eastAsia" w:asciiTheme="minorEastAsia" w:hAnsiTheme="minorEastAsia" w:eastAsiaTheme="minorEastAsia" w:cstheme="minorEastAsia"/>
                <w:color w:val="auto"/>
                <w:kern w:val="0"/>
                <w:sz w:val="21"/>
                <w:szCs w:val="21"/>
                <w:highlight w:val="none"/>
                <w:lang w:val="en-US" w:eastAsia="zh-CN"/>
              </w:rPr>
              <w:t>4</w:t>
            </w:r>
            <w:r>
              <w:rPr>
                <w:rFonts w:hint="eastAsia" w:asciiTheme="minorEastAsia" w:hAnsiTheme="minorEastAsia" w:eastAsiaTheme="minorEastAsia" w:cstheme="minorEastAsia"/>
                <w:color w:val="auto"/>
                <w:kern w:val="0"/>
                <w:sz w:val="21"/>
                <w:szCs w:val="21"/>
                <w:highlight w:val="none"/>
              </w:rPr>
              <w:t>（3）目评审合格的投标人</w:t>
            </w:r>
            <w:r>
              <w:rPr>
                <w:rFonts w:hint="eastAsia" w:asciiTheme="minorEastAsia" w:hAnsiTheme="minorEastAsia" w:eastAsiaTheme="minorEastAsia" w:cstheme="minorEastAsia"/>
                <w:color w:val="auto"/>
                <w:sz w:val="21"/>
                <w:szCs w:val="21"/>
                <w:highlight w:val="none"/>
              </w:rPr>
              <w:t>的投标总报</w:t>
            </w:r>
            <w:r>
              <w:rPr>
                <w:rFonts w:hint="eastAsia" w:asciiTheme="minorEastAsia" w:hAnsiTheme="minorEastAsia" w:eastAsiaTheme="minorEastAsia" w:cstheme="minorEastAsia"/>
                <w:color w:val="auto"/>
                <w:kern w:val="0"/>
                <w:sz w:val="21"/>
                <w:szCs w:val="21"/>
                <w:highlight w:val="none"/>
              </w:rPr>
              <w:t>价中最低价，即为本项目投标总报价的评标基准价。</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评标基准价计算的最终结果</w:t>
            </w:r>
            <w:r>
              <w:rPr>
                <w:rFonts w:hint="eastAsia"/>
              </w:rPr>
              <w:t>保留两位小数</w:t>
            </w:r>
            <w:r>
              <w:t>，</w:t>
            </w:r>
            <w:r>
              <w:rPr>
                <w:rFonts w:hint="eastAsia"/>
                <w:lang w:val="en-US" w:eastAsia="zh-CN"/>
              </w:rPr>
              <w:t>小数点后</w:t>
            </w:r>
            <w:r>
              <w:rPr>
                <w:rFonts w:hint="eastAsia" w:asciiTheme="minorEastAsia" w:hAnsiTheme="minorEastAsia" w:eastAsiaTheme="minorEastAsia" w:cstheme="minorEastAsia"/>
                <w:color w:val="auto"/>
                <w:kern w:val="0"/>
                <w:sz w:val="21"/>
                <w:szCs w:val="21"/>
                <w:highlight w:val="none"/>
              </w:rPr>
              <w:t>第三位四舍五入。在评标基准价计算完成后（除计算错误外），在后续的评审中不得再对其做出调整。</w:t>
            </w:r>
          </w:p>
          <w:p>
            <w:pPr>
              <w:keepNext w:val="0"/>
              <w:keepLines w:val="0"/>
              <w:pageBreakBefore w:val="0"/>
              <w:widowControl w:val="0"/>
              <w:kinsoku/>
              <w:wordWrap/>
              <w:overflowPunct/>
              <w:topLinePunct w:val="0"/>
              <w:autoSpaceDE/>
              <w:autoSpaceDN/>
              <w:bidi w:val="0"/>
              <w:adjustRightInd/>
              <w:snapToGrid w:val="0"/>
              <w:spacing w:line="400" w:lineRule="exact"/>
              <w:ind w:firstLine="422" w:firstLineChars="200"/>
              <w:textAlignment w:val="auto"/>
              <w:rPr>
                <w:rFonts w:hint="eastAsia" w:asciiTheme="minorEastAsia" w:hAnsiTheme="minorEastAsia" w:eastAsiaTheme="minorEastAsia" w:cstheme="minorEastAsia"/>
                <w:i/>
                <w:iCs/>
                <w:color w:val="auto"/>
                <w:kern w:val="0"/>
                <w:sz w:val="21"/>
                <w:szCs w:val="21"/>
                <w:highlight w:val="none"/>
                <w:lang w:val="en-US" w:eastAsia="zh-CN"/>
              </w:rPr>
            </w:pPr>
            <w:r>
              <w:rPr>
                <w:rFonts w:hint="eastAsia" w:asciiTheme="minorEastAsia" w:hAnsiTheme="minorEastAsia" w:eastAsiaTheme="minorEastAsia" w:cstheme="minorEastAsia"/>
                <w:b/>
                <w:bCs/>
                <w:color w:val="auto"/>
                <w:kern w:val="0"/>
                <w:sz w:val="21"/>
                <w:szCs w:val="21"/>
                <w:highlight w:val="none"/>
              </w:rPr>
              <w:t>□</w:t>
            </w:r>
            <w:r>
              <w:rPr>
                <w:rFonts w:hint="eastAsia" w:asciiTheme="minorEastAsia" w:hAnsiTheme="minorEastAsia" w:eastAsiaTheme="minorEastAsia" w:cstheme="minorEastAsia"/>
                <w:b/>
                <w:bCs/>
                <w:color w:val="auto"/>
                <w:kern w:val="0"/>
                <w:sz w:val="21"/>
                <w:szCs w:val="21"/>
                <w:highlight w:val="none"/>
                <w:lang w:val="en-US" w:eastAsia="zh-CN"/>
              </w:rPr>
              <w:t>方式六</w:t>
            </w:r>
            <w:r>
              <w:rPr>
                <w:rFonts w:hint="eastAsia" w:asciiTheme="minorEastAsia" w:hAnsiTheme="minorEastAsia" w:eastAsiaTheme="minorEastAsia" w:cstheme="minorEastAsia"/>
                <w:i/>
                <w:iCs/>
                <w:color w:val="auto"/>
                <w:kern w:val="0"/>
                <w:sz w:val="21"/>
                <w:szCs w:val="21"/>
                <w:highlight w:val="none"/>
                <w:lang w:val="en-US" w:eastAsia="zh-CN"/>
              </w:rPr>
              <w:t>[提示：适用于第2.2.4（4）目“投标总报价得分”选择方式四的。]</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u w:val="single"/>
                <w:lang w:eastAsia="zh-CN"/>
              </w:rPr>
              <w:t>……</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i/>
                <w:iCs/>
                <w:color w:val="auto"/>
                <w:kern w:val="0"/>
                <w:sz w:val="21"/>
                <w:szCs w:val="21"/>
                <w:highlight w:val="none"/>
                <w:lang w:val="en-US" w:eastAsia="zh-CN"/>
              </w:rPr>
              <w:t>[提示：</w:t>
            </w:r>
            <w:r>
              <w:rPr>
                <w:rFonts w:hint="eastAsia" w:asciiTheme="minorEastAsia" w:hAnsiTheme="minorEastAsia" w:eastAsiaTheme="minorEastAsia" w:cstheme="minorEastAsia"/>
                <w:i/>
                <w:color w:val="auto"/>
                <w:sz w:val="21"/>
                <w:szCs w:val="21"/>
                <w:highlight w:val="none"/>
              </w:rPr>
              <w:t>招标人在编制招标文件时，可根据实际情况</w:t>
            </w:r>
            <w:r>
              <w:rPr>
                <w:rFonts w:hint="eastAsia" w:asciiTheme="minorEastAsia" w:hAnsiTheme="minorEastAsia" w:eastAsiaTheme="minorEastAsia" w:cstheme="minorEastAsia"/>
                <w:i/>
                <w:iCs/>
                <w:color w:val="auto"/>
                <w:kern w:val="0"/>
                <w:sz w:val="21"/>
                <w:szCs w:val="21"/>
                <w:highlight w:val="none"/>
                <w:lang w:val="en-US" w:eastAsia="zh-CN"/>
              </w:rPr>
              <w:t>填写本项目评标基准价的计算方法</w:t>
            </w:r>
            <w:r>
              <w:rPr>
                <w:rFonts w:hint="eastAsia" w:asciiTheme="minorEastAsia" w:hAnsiTheme="minorEastAsia" w:eastAsiaTheme="minorEastAsia" w:cstheme="minorEastAsia"/>
                <w:i/>
                <w:color w:val="auto"/>
                <w:sz w:val="21"/>
                <w:szCs w:val="21"/>
                <w:highlight w:val="none"/>
                <w:lang w:val="en-US" w:eastAsia="zh-CN"/>
              </w:rPr>
              <w:t>，填写</w:t>
            </w:r>
            <w:r>
              <w:rPr>
                <w:rFonts w:hint="eastAsia" w:asciiTheme="minorEastAsia" w:hAnsiTheme="minorEastAsia" w:eastAsiaTheme="minorEastAsia" w:cstheme="minorEastAsia"/>
                <w:i/>
                <w:color w:val="auto"/>
                <w:sz w:val="21"/>
                <w:szCs w:val="21"/>
                <w:highlight w:val="none"/>
              </w:rPr>
              <w:t>的内容不得违背法律、法规及规范性文件的规定</w:t>
            </w:r>
            <w:r>
              <w:rPr>
                <w:rFonts w:hint="eastAsia" w:asciiTheme="minorEastAsia" w:hAnsiTheme="minorEastAsia" w:eastAsiaTheme="minorEastAsia" w:cstheme="minorEastAsia"/>
                <w:i/>
                <w:iCs/>
                <w:color w:val="auto"/>
                <w:kern w:val="0"/>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1701" w:type="dxa"/>
            <w:gridSpan w:val="2"/>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2.2.3</w:t>
            </w:r>
          </w:p>
        </w:tc>
        <w:tc>
          <w:tcPr>
            <w:tcW w:w="1418"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jc w:val="center"/>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投标报价的偏差率计算公式</w:t>
            </w:r>
          </w:p>
        </w:tc>
        <w:tc>
          <w:tcPr>
            <w:tcW w:w="6804"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bidi w:val="0"/>
              <w:spacing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投标总报价的偏差率计算公式</w:t>
            </w:r>
          </w:p>
          <w:p>
            <w:pPr>
              <w:keepNext w:val="0"/>
              <w:keepLines w:val="0"/>
              <w:pageBreakBefore w:val="0"/>
              <w:widowControl w:val="0"/>
              <w:kinsoku/>
              <w:wordWrap/>
              <w:overflowPunct/>
              <w:topLinePunct w:val="0"/>
              <w:bidi w:val="0"/>
              <w:spacing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偏差率=100％×（投标人总报价一评标基准价）／评标基准价</w:t>
            </w:r>
          </w:p>
          <w:p>
            <w:pPr>
              <w:keepNext w:val="0"/>
              <w:keepLines w:val="0"/>
              <w:pageBreakBefore w:val="0"/>
              <w:widowControl w:val="0"/>
              <w:kinsoku/>
              <w:wordWrap/>
              <w:overflowPunct/>
              <w:topLinePunct w:val="0"/>
              <w:bidi w:val="0"/>
              <w:spacing w:line="400" w:lineRule="exact"/>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kern w:val="0"/>
                <w:sz w:val="21"/>
                <w:szCs w:val="21"/>
                <w:highlight w:val="none"/>
              </w:rPr>
              <w:t xml:space="preserve">   偏差率计算的最终结果</w:t>
            </w:r>
            <w:r>
              <w:rPr>
                <w:rFonts w:hint="eastAsia" w:asciiTheme="minorEastAsia" w:hAnsiTheme="minorEastAsia" w:eastAsiaTheme="minorEastAsia" w:cstheme="minorEastAsia"/>
                <w:kern w:val="0"/>
                <w:sz w:val="21"/>
                <w:szCs w:val="21"/>
                <w:highlight w:val="none"/>
                <w:lang w:val="en-US" w:eastAsia="zh-CN"/>
              </w:rPr>
              <w:t>保留两位小数</w:t>
            </w:r>
            <w:r>
              <w:rPr>
                <w:rFonts w:hint="eastAsia" w:asciiTheme="minorEastAsia" w:hAnsiTheme="minorEastAsia" w:eastAsiaTheme="minorEastAsia" w:cstheme="minorEastAsia"/>
                <w:kern w:val="0"/>
                <w:sz w:val="21"/>
                <w:szCs w:val="21"/>
                <w:highlight w:val="none"/>
              </w:rPr>
              <w:t>，小数点后第三位“四舍五入”。</w:t>
            </w:r>
          </w:p>
        </w:tc>
      </w:tr>
    </w:tbl>
    <w:p>
      <w:pPr>
        <w:pStyle w:val="2"/>
        <w:rPr>
          <w:highlight w:val="none"/>
        </w:rPr>
      </w:pPr>
    </w:p>
    <w:p>
      <w:pPr>
        <w:widowControl/>
        <w:jc w:val="left"/>
        <w:rPr>
          <w:highlight w:val="none"/>
        </w:rPr>
      </w:pPr>
      <w:r>
        <w:rPr>
          <w:highlight w:val="none"/>
        </w:rPr>
        <w:br w:type="page"/>
      </w:r>
    </w:p>
    <w:p>
      <w:pPr>
        <w:pStyle w:val="2"/>
        <w:rPr>
          <w:highlight w:val="none"/>
        </w:rPr>
      </w:pPr>
    </w:p>
    <w:tbl>
      <w:tblPr>
        <w:tblStyle w:val="55"/>
        <w:tblW w:w="978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134"/>
        <w:gridCol w:w="661"/>
        <w:gridCol w:w="1058"/>
        <w:gridCol w:w="62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43" w:type="dxa"/>
            <w:gridSpan w:val="2"/>
            <w:tcBorders>
              <w:top w:val="single" w:color="auto" w:sz="4" w:space="0"/>
              <w:bottom w:val="single" w:color="auto" w:sz="4" w:space="0"/>
              <w:right w:val="single" w:color="auto" w:sz="4" w:space="0"/>
            </w:tcBorders>
            <w:vAlign w:val="center"/>
          </w:tcPr>
          <w:p>
            <w:pPr>
              <w:spacing w:line="440" w:lineRule="exact"/>
              <w:jc w:val="center"/>
              <w:rPr>
                <w:b/>
                <w:szCs w:val="22"/>
                <w:highlight w:val="none"/>
              </w:rPr>
            </w:pPr>
            <w:r>
              <w:rPr>
                <w:b/>
                <w:szCs w:val="22"/>
                <w:highlight w:val="none"/>
              </w:rPr>
              <w:t>条款号</w:t>
            </w: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b/>
                <w:szCs w:val="22"/>
                <w:highlight w:val="none"/>
              </w:rPr>
            </w:pPr>
            <w:r>
              <w:rPr>
                <w:b/>
                <w:szCs w:val="22"/>
                <w:highlight w:val="none"/>
              </w:rPr>
              <w:t>评分因素</w:t>
            </w:r>
          </w:p>
        </w:tc>
        <w:tc>
          <w:tcPr>
            <w:tcW w:w="621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b/>
                <w:szCs w:val="22"/>
                <w:highlight w:val="none"/>
              </w:rPr>
            </w:pPr>
            <w:r>
              <w:rPr>
                <w:b/>
                <w:szCs w:val="22"/>
                <w:highlight w:val="none"/>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restart"/>
            <w:tcBorders>
              <w:top w:val="single" w:color="auto" w:sz="4" w:space="0"/>
              <w:right w:val="single" w:color="auto" w:sz="4" w:space="0"/>
            </w:tcBorders>
            <w:vAlign w:val="center"/>
          </w:tcPr>
          <w:p>
            <w:pPr>
              <w:spacing w:line="440" w:lineRule="exact"/>
              <w:jc w:val="both"/>
              <w:rPr>
                <w:szCs w:val="22"/>
                <w:highlight w:val="none"/>
              </w:rPr>
            </w:pPr>
            <w:r>
              <w:rPr>
                <w:szCs w:val="22"/>
                <w:highlight w:val="none"/>
              </w:rPr>
              <w:t>2.2.4（</w:t>
            </w:r>
            <w:r>
              <w:rPr>
                <w:rFonts w:hint="eastAsia"/>
                <w:szCs w:val="22"/>
                <w:highlight w:val="none"/>
              </w:rPr>
              <w:t>1</w:t>
            </w:r>
            <w:r>
              <w:rPr>
                <w:szCs w:val="22"/>
                <w:highlight w:val="none"/>
              </w:rPr>
              <w:t>）</w:t>
            </w:r>
          </w:p>
        </w:tc>
        <w:tc>
          <w:tcPr>
            <w:tcW w:w="1134" w:type="dxa"/>
            <w:vMerge w:val="restart"/>
            <w:tcBorders>
              <w:top w:val="single" w:color="auto" w:sz="4" w:space="0"/>
              <w:right w:val="single" w:color="auto" w:sz="4" w:space="0"/>
            </w:tcBorders>
            <w:vAlign w:val="center"/>
          </w:tcPr>
          <w:p>
            <w:pPr>
              <w:spacing w:line="440" w:lineRule="exact"/>
              <w:jc w:val="both"/>
              <w:rPr>
                <w:szCs w:val="22"/>
                <w:highlight w:val="none"/>
              </w:rPr>
            </w:pPr>
            <w:r>
              <w:rPr>
                <w:rFonts w:hint="eastAsia"/>
                <w:szCs w:val="22"/>
                <w:highlight w:val="none"/>
              </w:rPr>
              <w:t>□</w:t>
            </w:r>
            <w:r>
              <w:rPr>
                <w:szCs w:val="22"/>
                <w:highlight w:val="none"/>
              </w:rPr>
              <w:t>技术部分评分</w:t>
            </w:r>
            <w:r>
              <w:rPr>
                <w:rFonts w:hint="eastAsia" w:asciiTheme="minorEastAsia" w:hAnsiTheme="minorEastAsia" w:eastAsiaTheme="minorEastAsia" w:cstheme="minorEastAsia"/>
                <w:szCs w:val="22"/>
                <w:highlight w:val="none"/>
                <w:lang w:eastAsia="zh-CN"/>
              </w:rPr>
              <w:t>（</w:t>
            </w:r>
            <w:r>
              <w:rPr>
                <w:rFonts w:hint="eastAsia" w:asciiTheme="minorEastAsia" w:hAnsiTheme="minorEastAsia" w:eastAsiaTheme="minorEastAsia" w:cstheme="minorEastAsia"/>
                <w:szCs w:val="22"/>
                <w:highlight w:val="none"/>
                <w:lang w:val="en-US" w:eastAsia="zh-CN"/>
              </w:rPr>
              <w:t>A</w:t>
            </w:r>
            <w:r>
              <w:rPr>
                <w:rFonts w:hint="eastAsia" w:asciiTheme="minorEastAsia" w:hAnsiTheme="minorEastAsia" w:eastAsiaTheme="minorEastAsia" w:cstheme="minorEastAsia"/>
                <w:szCs w:val="22"/>
                <w:highlight w:val="none"/>
                <w:lang w:eastAsia="zh-CN"/>
              </w:rPr>
              <w:t>）</w:t>
            </w:r>
            <w:r>
              <w:rPr>
                <w:szCs w:val="22"/>
                <w:highlight w:val="none"/>
              </w:rPr>
              <w:t>标准</w:t>
            </w:r>
          </w:p>
        </w:tc>
        <w:tc>
          <w:tcPr>
            <w:tcW w:w="661" w:type="dxa"/>
            <w:vMerge w:val="restart"/>
            <w:tcBorders>
              <w:top w:val="single" w:color="auto" w:sz="4" w:space="0"/>
              <w:left w:val="single" w:color="auto" w:sz="4" w:space="0"/>
              <w:right w:val="single" w:color="auto" w:sz="4" w:space="0"/>
            </w:tcBorders>
            <w:vAlign w:val="center"/>
          </w:tcPr>
          <w:p>
            <w:pPr>
              <w:spacing w:before="100" w:beforeAutospacing="1" w:after="100" w:afterAutospacing="1"/>
              <w:jc w:val="both"/>
              <w:rPr>
                <w:rFonts w:hint="default"/>
                <w:szCs w:val="22"/>
                <w:highlight w:val="none"/>
                <w:lang w:val="en-US"/>
              </w:rPr>
            </w:pPr>
          </w:p>
          <w:p>
            <w:pPr>
              <w:spacing w:before="100" w:beforeAutospacing="1" w:after="100" w:afterAutospacing="1"/>
              <w:jc w:val="both"/>
              <w:rPr>
                <w:rFonts w:ascii="宋体" w:hAnsi="宋体" w:cs="Times New Roman"/>
                <w:color w:val="000000"/>
                <w:szCs w:val="21"/>
                <w:highlight w:val="none"/>
              </w:rPr>
            </w:pPr>
            <w:r>
              <w:rPr>
                <w:rFonts w:hint="eastAsia"/>
                <w:color w:val="000000"/>
                <w:szCs w:val="22"/>
                <w:highlight w:val="none"/>
              </w:rPr>
              <w:t>□</w:t>
            </w:r>
            <w:r>
              <w:rPr>
                <w:rFonts w:hint="eastAsia"/>
                <w:highlight w:val="none"/>
                <w:lang w:val="en-US" w:eastAsia="zh-CN"/>
              </w:rPr>
              <w:t>勘察纲要</w:t>
            </w:r>
          </w:p>
        </w:tc>
        <w:tc>
          <w:tcPr>
            <w:tcW w:w="1058"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jc w:val="both"/>
              <w:rPr>
                <w:rFonts w:hint="default"/>
                <w:szCs w:val="22"/>
                <w:highlight w:val="none"/>
                <w:lang w:val="en-US"/>
              </w:rPr>
            </w:pPr>
            <w:r>
              <w:rPr>
                <w:rFonts w:hint="eastAsia"/>
                <w:szCs w:val="22"/>
                <w:highlight w:val="none"/>
                <w:lang w:val="en-US" w:eastAsia="zh-CN"/>
              </w:rPr>
              <w:t>勘察纲要</w:t>
            </w:r>
            <w:r>
              <w:rPr>
                <w:rFonts w:hint="eastAsia"/>
                <w:szCs w:val="22"/>
                <w:highlight w:val="none"/>
              </w:rPr>
              <w:t>总体评审标准</w:t>
            </w:r>
          </w:p>
        </w:tc>
        <w:tc>
          <w:tcPr>
            <w:tcW w:w="6219" w:type="dxa"/>
            <w:tcBorders>
              <w:top w:val="single" w:color="auto" w:sz="4" w:space="0"/>
              <w:left w:val="single" w:color="auto" w:sz="4" w:space="0"/>
              <w:bottom w:val="single" w:color="auto" w:sz="4" w:space="0"/>
              <w:right w:val="single" w:color="auto" w:sz="4" w:space="0"/>
            </w:tcBorders>
          </w:tcPr>
          <w:p>
            <w:pPr>
              <w:suppressLineNumbers w:val="0"/>
              <w:suppressAutoHyphens/>
              <w:spacing w:line="360" w:lineRule="auto"/>
              <w:ind w:firstLine="420" w:firstLineChars="200"/>
              <w:rPr>
                <w:rFonts w:ascii="宋体" w:hAnsi="宋体"/>
                <w:szCs w:val="21"/>
                <w:highlight w:val="none"/>
              </w:rPr>
            </w:pPr>
            <w:r>
              <w:rPr>
                <w:rFonts w:hint="eastAsia" w:ascii="宋体" w:hAnsi="宋体"/>
                <w:szCs w:val="21"/>
                <w:highlight w:val="none"/>
                <w:lang w:val="en-US" w:eastAsia="zh-CN"/>
              </w:rPr>
              <w:t>采用暗标评审的</w:t>
            </w:r>
            <w:r>
              <w:rPr>
                <w:rFonts w:hint="eastAsia" w:ascii="宋体" w:hAnsi="宋体"/>
                <w:szCs w:val="21"/>
                <w:highlight w:val="none"/>
              </w:rPr>
              <w:t>，</w:t>
            </w:r>
            <w:r>
              <w:rPr>
                <w:rFonts w:hint="eastAsia" w:ascii="宋体" w:hAnsi="宋体"/>
                <w:szCs w:val="21"/>
                <w:highlight w:val="none"/>
                <w:lang w:eastAsia="zh-CN"/>
              </w:rPr>
              <w:t>勘察纲要</w:t>
            </w:r>
            <w:r>
              <w:rPr>
                <w:rFonts w:hint="eastAsia" w:ascii="宋体" w:hAnsi="宋体"/>
                <w:szCs w:val="21"/>
                <w:highlight w:val="none"/>
              </w:rPr>
              <w:t>不符合第二章投标人须知前附表第3.7.5项（3）技术部分要求的，</w:t>
            </w:r>
            <w:r>
              <w:rPr>
                <w:rFonts w:hint="eastAsia" w:ascii="宋体" w:hAnsi="宋体"/>
                <w:szCs w:val="21"/>
                <w:highlight w:val="none"/>
                <w:lang w:val="en-US" w:eastAsia="zh-CN"/>
              </w:rPr>
              <w:t>勘察纲要</w:t>
            </w:r>
            <w:r>
              <w:rPr>
                <w:rFonts w:hint="eastAsia" w:ascii="宋体" w:hAnsi="宋体"/>
                <w:szCs w:val="21"/>
                <w:highlight w:val="none"/>
              </w:rPr>
              <w:t>部分得0分。</w:t>
            </w:r>
          </w:p>
          <w:p>
            <w:pPr>
              <w:spacing w:line="360" w:lineRule="auto"/>
              <w:ind w:firstLine="420" w:firstLineChars="200"/>
              <w:rPr>
                <w:rFonts w:hint="eastAsia" w:ascii="宋体" w:hAnsi="宋体"/>
                <w:snapToGrid w:val="0"/>
                <w:color w:val="auto"/>
                <w:kern w:val="0"/>
                <w:szCs w:val="21"/>
                <w:highlight w:val="none"/>
              </w:rPr>
            </w:pPr>
            <w:r>
              <w:rPr>
                <w:rFonts w:hint="eastAsia" w:ascii="宋体" w:hAnsi="宋体"/>
                <w:snapToGrid w:val="0"/>
                <w:color w:val="auto"/>
                <w:kern w:val="0"/>
                <w:szCs w:val="21"/>
                <w:highlight w:val="none"/>
              </w:rPr>
              <w:t>评标委员会按照优、良、一般、差四个档次进行评分，</w:t>
            </w:r>
            <w:r>
              <w:rPr>
                <w:rFonts w:hint="eastAsia" w:ascii="宋体" w:hAnsi="宋体"/>
                <w:snapToGrid w:val="0"/>
                <w:color w:val="auto"/>
                <w:kern w:val="0"/>
                <w:szCs w:val="21"/>
                <w:highlight w:val="none"/>
                <w:lang w:val="en-US" w:eastAsia="zh-CN"/>
              </w:rPr>
              <w:t>若评委</w:t>
            </w:r>
            <w:r>
              <w:rPr>
                <w:rFonts w:hint="eastAsia" w:ascii="宋体" w:hAnsi="宋体"/>
                <w:snapToGrid w:val="0"/>
                <w:color w:val="auto"/>
                <w:kern w:val="0"/>
                <w:szCs w:val="21"/>
                <w:highlight w:val="none"/>
              </w:rPr>
              <w:t>对投标人</w:t>
            </w:r>
            <w:r>
              <w:rPr>
                <w:rFonts w:hint="eastAsia" w:ascii="宋体" w:hAnsi="宋体"/>
                <w:snapToGrid w:val="0"/>
                <w:color w:val="auto"/>
                <w:kern w:val="0"/>
                <w:szCs w:val="21"/>
                <w:highlight w:val="none"/>
                <w:lang w:val="en-US" w:eastAsia="zh-CN"/>
              </w:rPr>
              <w:t>勘察纲要</w:t>
            </w:r>
            <w:r>
              <w:rPr>
                <w:rFonts w:hint="eastAsia" w:asciiTheme="minorEastAsia" w:hAnsiTheme="minorEastAsia" w:eastAsiaTheme="minorEastAsia" w:cstheme="minorEastAsia"/>
                <w:snapToGrid w:val="0"/>
                <w:color w:val="auto"/>
                <w:kern w:val="0"/>
                <w:szCs w:val="21"/>
                <w:highlight w:val="none"/>
                <w:lang w:val="en-US" w:eastAsia="zh-CN"/>
              </w:rPr>
              <w:t>部分汇总评分低于</w:t>
            </w:r>
            <w:r>
              <w:rPr>
                <w:rFonts w:hint="eastAsia" w:ascii="宋体" w:hAnsi="宋体"/>
                <w:snapToGrid w:val="0"/>
                <w:color w:val="auto"/>
                <w:kern w:val="0"/>
                <w:szCs w:val="21"/>
                <w:highlight w:val="none"/>
                <w:lang w:val="en-US" w:eastAsia="zh-CN"/>
              </w:rPr>
              <w:t>勘察纲要</w:t>
            </w:r>
            <w:r>
              <w:rPr>
                <w:rFonts w:hint="eastAsia" w:asciiTheme="minorEastAsia" w:hAnsiTheme="minorEastAsia" w:eastAsiaTheme="minorEastAsia" w:cstheme="minorEastAsia"/>
                <w:snapToGrid w:val="0"/>
                <w:color w:val="auto"/>
                <w:kern w:val="0"/>
                <w:szCs w:val="21"/>
                <w:highlight w:val="none"/>
                <w:lang w:val="en-US" w:eastAsia="zh-CN"/>
              </w:rPr>
              <w:t>部分总分的60%的</w:t>
            </w:r>
            <w:r>
              <w:rPr>
                <w:rFonts w:hint="eastAsia" w:ascii="宋体" w:hAnsi="宋体"/>
                <w:snapToGrid w:val="0"/>
                <w:color w:val="auto"/>
                <w:kern w:val="0"/>
                <w:szCs w:val="21"/>
                <w:highlight w:val="none"/>
                <w:lang w:val="en-US" w:eastAsia="zh-CN"/>
              </w:rPr>
              <w:t>或对个别投标人勘察纲要汇总评分</w:t>
            </w:r>
            <w:r>
              <w:rPr>
                <w:rFonts w:hint="eastAsia" w:ascii="宋体" w:hAnsi="宋体"/>
                <w:snapToGrid w:val="0"/>
                <w:color w:val="auto"/>
                <w:kern w:val="0"/>
                <w:szCs w:val="21"/>
                <w:highlight w:val="none"/>
              </w:rPr>
              <w:t>畸高（即该</w:t>
            </w:r>
            <w:r>
              <w:rPr>
                <w:rFonts w:hint="eastAsia" w:ascii="宋体" w:hAnsi="宋体"/>
                <w:snapToGrid w:val="0"/>
                <w:color w:val="auto"/>
                <w:kern w:val="0"/>
                <w:szCs w:val="21"/>
                <w:highlight w:val="none"/>
                <w:lang w:val="en-US" w:eastAsia="zh-CN"/>
              </w:rPr>
              <w:t>评委对勘察纲要汇总评分</w:t>
            </w:r>
            <w:r>
              <w:rPr>
                <w:rFonts w:hint="eastAsia" w:ascii="宋体" w:hAnsi="宋体"/>
                <w:snapToGrid w:val="0"/>
                <w:color w:val="auto"/>
                <w:kern w:val="0"/>
                <w:szCs w:val="21"/>
                <w:highlight w:val="none"/>
              </w:rPr>
              <w:t>的最高分与次高分差额超过</w:t>
            </w:r>
            <w:r>
              <w:rPr>
                <w:rFonts w:hint="eastAsia" w:ascii="宋体" w:hAnsi="宋体"/>
                <w:snapToGrid w:val="0"/>
                <w:color w:val="auto"/>
                <w:kern w:val="0"/>
                <w:szCs w:val="21"/>
                <w:highlight w:val="none"/>
                <w:lang w:val="en-US" w:eastAsia="zh-CN"/>
              </w:rPr>
              <w:t>勘察纲要</w:t>
            </w:r>
            <w:r>
              <w:rPr>
                <w:rFonts w:hint="eastAsia" w:ascii="宋体" w:hAnsi="宋体"/>
                <w:snapToGrid w:val="0"/>
                <w:color w:val="auto"/>
                <w:kern w:val="0"/>
                <w:szCs w:val="21"/>
                <w:highlight w:val="none"/>
              </w:rPr>
              <w:t>总分的</w:t>
            </w:r>
            <w:r>
              <w:rPr>
                <w:rFonts w:hint="eastAsia" w:ascii="宋体" w:hAnsi="宋体"/>
                <w:snapToGrid w:val="0"/>
                <w:color w:val="auto"/>
                <w:kern w:val="0"/>
                <w:szCs w:val="21"/>
                <w:highlight w:val="none"/>
                <w:lang w:val="en-US" w:eastAsia="zh-CN"/>
              </w:rPr>
              <w:t>10%</w:t>
            </w:r>
            <w:r>
              <w:rPr>
                <w:rFonts w:hint="eastAsia" w:ascii="宋体" w:hAnsi="宋体"/>
                <w:snapToGrid w:val="0"/>
                <w:color w:val="auto"/>
                <w:kern w:val="0"/>
                <w:szCs w:val="21"/>
                <w:highlight w:val="none"/>
                <w:lang w:eastAsia="zh-CN"/>
              </w:rPr>
              <w:t>）</w:t>
            </w:r>
            <w:r>
              <w:rPr>
                <w:rFonts w:hint="eastAsia" w:ascii="宋体" w:hAnsi="宋体"/>
                <w:snapToGrid w:val="0"/>
                <w:color w:val="auto"/>
                <w:kern w:val="0"/>
                <w:szCs w:val="21"/>
                <w:highlight w:val="none"/>
                <w:lang w:val="en-US" w:eastAsia="zh-CN"/>
              </w:rPr>
              <w:t>的</w:t>
            </w:r>
            <w:r>
              <w:rPr>
                <w:rFonts w:hint="eastAsia" w:ascii="宋体" w:hAnsi="宋体"/>
                <w:snapToGrid w:val="0"/>
                <w:color w:val="auto"/>
                <w:kern w:val="0"/>
                <w:szCs w:val="21"/>
                <w:highlight w:val="none"/>
              </w:rPr>
              <w:t>须注明</w:t>
            </w:r>
            <w:r>
              <w:rPr>
                <w:rFonts w:hint="eastAsia" w:ascii="宋体" w:hAnsi="宋体"/>
                <w:snapToGrid w:val="0"/>
                <w:color w:val="auto"/>
                <w:kern w:val="0"/>
                <w:szCs w:val="21"/>
                <w:highlight w:val="none"/>
                <w:lang w:val="en-US" w:eastAsia="zh-CN"/>
              </w:rPr>
              <w:t>详实</w:t>
            </w:r>
            <w:r>
              <w:rPr>
                <w:rFonts w:hint="eastAsia" w:ascii="宋体" w:hAnsi="宋体"/>
                <w:snapToGrid w:val="0"/>
                <w:color w:val="auto"/>
                <w:kern w:val="0"/>
                <w:szCs w:val="21"/>
                <w:highlight w:val="none"/>
              </w:rPr>
              <w:t>理由，</w:t>
            </w:r>
            <w:r>
              <w:rPr>
                <w:rFonts w:hint="eastAsia" w:ascii="宋体" w:hAnsi="宋体"/>
                <w:snapToGrid w:val="0"/>
                <w:color w:val="auto"/>
                <w:kern w:val="0"/>
                <w:szCs w:val="21"/>
                <w:highlight w:val="none"/>
                <w:lang w:val="en-US" w:eastAsia="zh-CN"/>
              </w:rPr>
              <w:t>勘察纲要</w:t>
            </w:r>
            <w:r>
              <w:rPr>
                <w:rFonts w:hint="eastAsia" w:ascii="宋体" w:hAnsi="宋体"/>
                <w:snapToGrid w:val="0"/>
                <w:color w:val="auto"/>
                <w:kern w:val="0"/>
                <w:szCs w:val="21"/>
                <w:highlight w:val="none"/>
              </w:rPr>
              <w:t>缺项的该项得0分。</w:t>
            </w:r>
          </w:p>
          <w:p>
            <w:pPr>
              <w:suppressLineNumbers w:val="0"/>
              <w:suppressAutoHyphens/>
              <w:spacing w:line="360" w:lineRule="auto"/>
              <w:ind w:firstLine="420" w:firstLineChars="200"/>
              <w:rPr>
                <w:rFonts w:ascii="宋体" w:hAnsi="宋体"/>
                <w:snapToGrid w:val="0"/>
                <w:kern w:val="0"/>
                <w:szCs w:val="21"/>
                <w:highlight w:val="none"/>
              </w:rPr>
            </w:pPr>
            <w:r>
              <w:rPr>
                <w:rFonts w:ascii="宋体" w:hAnsi="宋体"/>
                <w:snapToGrid w:val="0"/>
                <w:kern w:val="0"/>
                <w:szCs w:val="21"/>
                <w:highlight w:val="none"/>
              </w:rPr>
              <w:t>评标委员会成员为5人及以上时，所有评委</w:t>
            </w:r>
            <w:r>
              <w:rPr>
                <w:rFonts w:hint="eastAsia" w:ascii="宋体" w:hAnsi="宋体"/>
                <w:snapToGrid w:val="0"/>
                <w:kern w:val="0"/>
                <w:szCs w:val="21"/>
                <w:highlight w:val="none"/>
                <w:lang w:val="en-US" w:eastAsia="zh-CN"/>
              </w:rPr>
              <w:t>评分</w:t>
            </w:r>
            <w:r>
              <w:rPr>
                <w:rFonts w:ascii="宋体" w:hAnsi="宋体"/>
                <w:snapToGrid w:val="0"/>
                <w:kern w:val="0"/>
                <w:szCs w:val="21"/>
                <w:highlight w:val="none"/>
              </w:rPr>
              <w:t>中去掉一个最高和一个最低分，余下评委</w:t>
            </w:r>
            <w:r>
              <w:rPr>
                <w:rFonts w:hint="eastAsia" w:ascii="宋体" w:hAnsi="宋体"/>
                <w:snapToGrid w:val="0"/>
                <w:kern w:val="0"/>
                <w:szCs w:val="21"/>
                <w:highlight w:val="none"/>
                <w:lang w:val="en-US" w:eastAsia="zh-CN"/>
              </w:rPr>
              <w:t>评分</w:t>
            </w:r>
            <w:r>
              <w:rPr>
                <w:rFonts w:ascii="宋体" w:hAnsi="宋体"/>
                <w:snapToGrid w:val="0"/>
                <w:kern w:val="0"/>
                <w:szCs w:val="21"/>
                <w:highlight w:val="none"/>
              </w:rPr>
              <w:t>取算术平均值为该投标人</w:t>
            </w:r>
            <w:r>
              <w:rPr>
                <w:rFonts w:hint="eastAsia" w:ascii="宋体" w:hAnsi="宋体"/>
                <w:snapToGrid w:val="0"/>
                <w:kern w:val="0"/>
                <w:szCs w:val="21"/>
                <w:highlight w:val="none"/>
                <w:lang w:val="en-US" w:eastAsia="zh-CN"/>
              </w:rPr>
              <w:t>勘察纲要</w:t>
            </w:r>
            <w:r>
              <w:rPr>
                <w:rFonts w:ascii="宋体" w:hAnsi="宋体"/>
                <w:snapToGrid w:val="0"/>
                <w:kern w:val="0"/>
                <w:szCs w:val="21"/>
                <w:highlight w:val="none"/>
              </w:rPr>
              <w:t>得分。</w:t>
            </w:r>
            <w:r>
              <w:rPr>
                <w:rFonts w:hint="eastAsia" w:ascii="宋体" w:hAnsi="宋体"/>
                <w:snapToGrid w:val="0"/>
                <w:kern w:val="0"/>
                <w:szCs w:val="21"/>
                <w:highlight w:val="none"/>
                <w:lang w:val="en-US" w:eastAsia="zh-CN"/>
              </w:rPr>
              <w:t>勘察纲要</w:t>
            </w:r>
            <w:r>
              <w:rPr>
                <w:rFonts w:ascii="宋体" w:hAnsi="宋体"/>
                <w:kern w:val="0"/>
                <w:szCs w:val="21"/>
                <w:highlight w:val="none"/>
              </w:rPr>
              <w:t>得分的最终结果</w:t>
            </w:r>
            <w:r>
              <w:rPr>
                <w:rFonts w:hint="eastAsia"/>
              </w:rPr>
              <w:t>保留两位小数</w:t>
            </w:r>
            <w:r>
              <w:t>，</w:t>
            </w:r>
            <w:r>
              <w:rPr>
                <w:rFonts w:hint="eastAsia"/>
                <w:lang w:val="en-US" w:eastAsia="zh-CN"/>
              </w:rPr>
              <w:t>小数点后</w:t>
            </w:r>
            <w:r>
              <w:rPr>
                <w:rFonts w:ascii="宋体" w:hAnsi="宋体"/>
                <w:kern w:val="0"/>
                <w:szCs w:val="21"/>
                <w:highlight w:val="none"/>
              </w:rPr>
              <w:t>第三位四舍五入。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6" w:hRule="atLeast"/>
        </w:trPr>
        <w:tc>
          <w:tcPr>
            <w:tcW w:w="709" w:type="dxa"/>
            <w:vMerge w:val="continue"/>
            <w:tcBorders>
              <w:right w:val="single" w:color="auto" w:sz="4" w:space="0"/>
            </w:tcBorders>
            <w:vAlign w:val="center"/>
          </w:tcPr>
          <w:p>
            <w:pPr>
              <w:spacing w:line="440" w:lineRule="exact"/>
              <w:jc w:val="both"/>
              <w:rPr>
                <w:szCs w:val="22"/>
                <w:highlight w:val="none"/>
              </w:rPr>
            </w:pPr>
          </w:p>
        </w:tc>
        <w:tc>
          <w:tcPr>
            <w:tcW w:w="1134" w:type="dxa"/>
            <w:vMerge w:val="continue"/>
            <w:tcBorders>
              <w:right w:val="single" w:color="auto" w:sz="4" w:space="0"/>
            </w:tcBorders>
            <w:vAlign w:val="center"/>
          </w:tcPr>
          <w:p>
            <w:pPr>
              <w:spacing w:line="440" w:lineRule="exact"/>
              <w:jc w:val="both"/>
              <w:rPr>
                <w:szCs w:val="22"/>
                <w:highlight w:val="none"/>
              </w:rPr>
            </w:pPr>
          </w:p>
        </w:tc>
        <w:tc>
          <w:tcPr>
            <w:tcW w:w="661" w:type="dxa"/>
            <w:vMerge w:val="continue"/>
            <w:tcBorders>
              <w:left w:val="single" w:color="auto" w:sz="4" w:space="0"/>
              <w:right w:val="single" w:color="auto" w:sz="4" w:space="0"/>
            </w:tcBorders>
            <w:vAlign w:val="center"/>
          </w:tcPr>
          <w:p>
            <w:pPr>
              <w:spacing w:before="100" w:beforeAutospacing="1" w:after="100" w:afterAutospacing="1"/>
              <w:jc w:val="both"/>
              <w:rPr>
                <w:rFonts w:ascii="宋体" w:hAnsi="宋体" w:cs="Times New Roman"/>
                <w:color w:val="000000"/>
                <w:szCs w:val="21"/>
                <w:highlight w:val="none"/>
              </w:rPr>
            </w:pPr>
          </w:p>
        </w:tc>
        <w:tc>
          <w:tcPr>
            <w:tcW w:w="1058" w:type="dxa"/>
            <w:tcBorders>
              <w:top w:val="single" w:color="auto" w:sz="4" w:space="0"/>
              <w:left w:val="single" w:color="auto" w:sz="4" w:space="0"/>
              <w:right w:val="single" w:color="auto" w:sz="4" w:space="0"/>
            </w:tcBorders>
            <w:vAlign w:val="center"/>
          </w:tcPr>
          <w:p>
            <w:pPr>
              <w:spacing w:before="100" w:beforeAutospacing="1" w:after="100" w:afterAutospacing="1"/>
              <w:jc w:val="both"/>
              <w:rPr>
                <w:szCs w:val="21"/>
                <w:highlight w:val="none"/>
              </w:rPr>
            </w:pPr>
            <w:r>
              <w:rPr>
                <w:rFonts w:hint="eastAsia" w:ascii="宋体" w:hAnsi="宋体" w:cs="宋体"/>
                <w:kern w:val="0"/>
                <w:highlight w:val="none"/>
              </w:rPr>
              <w:t>□</w:t>
            </w:r>
            <w:r>
              <w:rPr>
                <w:rFonts w:hint="eastAsia"/>
                <w:highlight w:val="none"/>
              </w:rPr>
              <w:t>综合说明书</w:t>
            </w:r>
          </w:p>
        </w:tc>
        <w:tc>
          <w:tcPr>
            <w:tcW w:w="6219" w:type="dxa"/>
            <w:tcBorders>
              <w:top w:val="single" w:color="auto" w:sz="4" w:space="0"/>
              <w:left w:val="single" w:color="auto" w:sz="4" w:space="0"/>
              <w:bottom w:val="single" w:color="auto" w:sz="4" w:space="0"/>
              <w:right w:val="single" w:color="auto" w:sz="4" w:space="0"/>
            </w:tcBorders>
          </w:tcPr>
          <w:p>
            <w:pPr>
              <w:spacing w:line="324" w:lineRule="auto"/>
              <w:ind w:firstLine="420" w:firstLineChars="200"/>
              <w:rPr>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rPr>
              <w:t>分。评审要点：</w:t>
            </w:r>
            <w:r>
              <w:rPr>
                <w:rFonts w:hint="eastAsia"/>
                <w:highlight w:val="none"/>
                <w:u w:val="single"/>
              </w:rPr>
              <w:t>勘察方案编制的依据、原则。资料收集及场地工程地质条件预分析。基础方案预分析</w:t>
            </w:r>
            <w:r>
              <w:rPr>
                <w:rFonts w:hint="eastAsia" w:ascii="宋体" w:hAnsi="宋体"/>
                <w:highlight w:val="none"/>
                <w:u w:val="single"/>
              </w:rPr>
              <w:t>。</w:t>
            </w:r>
            <w:r>
              <w:rPr>
                <w:rFonts w:hint="eastAsia"/>
                <w:highlight w:val="none"/>
                <w:u w:val="single"/>
              </w:rPr>
              <w:t>勘察工作的目的及应解决的技术问题。</w:t>
            </w:r>
            <w:r>
              <w:rPr>
                <w:rFonts w:hint="eastAsia" w:ascii="宋体" w:hAnsi="宋体"/>
                <w:color w:val="auto"/>
                <w:highlight w:val="none"/>
                <w:u w:val="single"/>
              </w:rPr>
              <w:t>优得  分-  分，良得  分-  分，一般得  分-  分，差得  分-  分</w:t>
            </w:r>
            <w:r>
              <w:rPr>
                <w:rFonts w:hint="eastAsia" w:ascii="宋体" w:hAnsi="宋体"/>
                <w:color w:val="auto"/>
                <w:highlight w:val="none"/>
              </w:rPr>
              <w:t>。</w:t>
            </w:r>
            <w:r>
              <w:rPr>
                <w:rFonts w:hint="eastAsia" w:ascii="宋体" w:hAnsi="宋体"/>
                <w:i/>
                <w:iCs/>
                <w:color w:val="auto"/>
                <w:highlight w:val="none"/>
                <w:u w:val="none"/>
              </w:rPr>
              <w:t>[提示：</w:t>
            </w:r>
            <w:r>
              <w:rPr>
                <w:rFonts w:hint="eastAsia" w:ascii="宋体" w:hAnsi="宋体"/>
                <w:i/>
                <w:iCs/>
                <w:color w:val="auto"/>
                <w:highlight w:val="none"/>
                <w:u w:val="none"/>
                <w:lang w:val="en-US" w:eastAsia="zh-CN"/>
              </w:rPr>
              <w:t>招标人</w:t>
            </w:r>
            <w:r>
              <w:rPr>
                <w:rFonts w:hint="eastAsia" w:ascii="宋体" w:hAnsi="宋体"/>
                <w:i/>
                <w:iCs/>
                <w:color w:val="auto"/>
                <w:highlight w:val="none"/>
                <w:u w:val="none"/>
              </w:rPr>
              <w:t>按照优、良、一般、差四个档次</w:t>
            </w:r>
            <w:r>
              <w:rPr>
                <w:rFonts w:hint="eastAsia" w:ascii="宋体" w:hAnsi="宋体"/>
                <w:i/>
                <w:iCs/>
                <w:color w:val="auto"/>
                <w:highlight w:val="none"/>
                <w:u w:val="none"/>
                <w:lang w:val="en-US" w:eastAsia="zh-CN"/>
              </w:rPr>
              <w:t>对勘察纲要各项评审因素</w:t>
            </w:r>
            <w:r>
              <w:rPr>
                <w:rFonts w:hint="eastAsia" w:ascii="宋体" w:hAnsi="宋体"/>
                <w:i/>
                <w:iCs/>
                <w:color w:val="auto"/>
                <w:highlight w:val="none"/>
                <w:u w:val="none"/>
              </w:rPr>
              <w:t>进行</w:t>
            </w:r>
            <w:r>
              <w:rPr>
                <w:rFonts w:hint="eastAsia" w:ascii="宋体" w:hAnsi="宋体"/>
                <w:i/>
                <w:iCs/>
                <w:snapToGrid w:val="0"/>
                <w:color w:val="auto"/>
                <w:kern w:val="0"/>
                <w:szCs w:val="21"/>
                <w:highlight w:val="none"/>
              </w:rPr>
              <w:t>分值</w:t>
            </w:r>
            <w:r>
              <w:rPr>
                <w:rFonts w:hint="eastAsia" w:ascii="宋体" w:hAnsi="宋体"/>
                <w:i/>
                <w:iCs/>
                <w:snapToGrid w:val="0"/>
                <w:color w:val="auto"/>
                <w:kern w:val="0"/>
                <w:szCs w:val="21"/>
                <w:highlight w:val="none"/>
                <w:lang w:val="en-US" w:eastAsia="zh-CN"/>
              </w:rPr>
              <w:t>的设置，设置规则为：该项分值的90%～100%为“优”，该项分值的80%～90%（不含）为“良”</w:t>
            </w:r>
            <w:r>
              <w:rPr>
                <w:rFonts w:hint="eastAsia" w:ascii="宋体" w:hAnsi="宋体"/>
                <w:i/>
                <w:iCs/>
                <w:snapToGrid w:val="0"/>
                <w:color w:val="auto"/>
                <w:kern w:val="0"/>
                <w:szCs w:val="21"/>
                <w:highlight w:val="none"/>
              </w:rPr>
              <w:t>，</w:t>
            </w:r>
            <w:r>
              <w:rPr>
                <w:rFonts w:hint="eastAsia" w:ascii="宋体" w:hAnsi="宋体"/>
                <w:i/>
                <w:iCs/>
                <w:snapToGrid w:val="0"/>
                <w:color w:val="auto"/>
                <w:kern w:val="0"/>
                <w:szCs w:val="21"/>
                <w:highlight w:val="none"/>
                <w:lang w:val="en-US" w:eastAsia="zh-CN"/>
              </w:rPr>
              <w:t>该项分值的60%～80%（不含）为“一般”，该项分值的0%～60%（不含）为“差”，下同。</w:t>
            </w:r>
            <w:r>
              <w:rPr>
                <w:rFonts w:hint="eastAsia" w:ascii="宋体" w:hAnsi="宋体"/>
                <w:i/>
                <w:iCs/>
                <w:color w:val="auto"/>
                <w:highlight w:val="none"/>
                <w:u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44" w:hRule="atLeast"/>
        </w:trPr>
        <w:tc>
          <w:tcPr>
            <w:tcW w:w="709" w:type="dxa"/>
            <w:vMerge w:val="continue"/>
            <w:tcBorders>
              <w:right w:val="single" w:color="auto" w:sz="4" w:space="0"/>
            </w:tcBorders>
            <w:vAlign w:val="center"/>
          </w:tcPr>
          <w:p>
            <w:pPr>
              <w:jc w:val="both"/>
              <w:rPr>
                <w:szCs w:val="22"/>
                <w:highlight w:val="none"/>
              </w:rPr>
            </w:pPr>
          </w:p>
        </w:tc>
        <w:tc>
          <w:tcPr>
            <w:tcW w:w="1134" w:type="dxa"/>
            <w:vMerge w:val="continue"/>
            <w:tcBorders>
              <w:right w:val="single" w:color="auto" w:sz="4" w:space="0"/>
            </w:tcBorders>
            <w:vAlign w:val="center"/>
          </w:tcPr>
          <w:p>
            <w:pPr>
              <w:jc w:val="both"/>
              <w:rPr>
                <w:szCs w:val="22"/>
                <w:highlight w:val="none"/>
              </w:rPr>
            </w:pPr>
          </w:p>
        </w:tc>
        <w:tc>
          <w:tcPr>
            <w:tcW w:w="661"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jc w:val="both"/>
              <w:rPr>
                <w:szCs w:val="22"/>
                <w:highlight w:val="none"/>
              </w:rPr>
            </w:pPr>
          </w:p>
        </w:tc>
        <w:tc>
          <w:tcPr>
            <w:tcW w:w="1058" w:type="dxa"/>
            <w:vMerge w:val="restart"/>
            <w:tcBorders>
              <w:top w:val="single" w:color="auto" w:sz="4" w:space="0"/>
              <w:left w:val="single" w:color="auto" w:sz="4" w:space="0"/>
              <w:right w:val="single" w:color="auto" w:sz="4" w:space="0"/>
            </w:tcBorders>
            <w:tcMar>
              <w:left w:w="57" w:type="dxa"/>
              <w:right w:w="57" w:type="dxa"/>
            </w:tcMar>
            <w:vAlign w:val="center"/>
          </w:tcPr>
          <w:p>
            <w:pPr>
              <w:spacing w:before="100" w:beforeAutospacing="1" w:after="100" w:afterAutospacing="1"/>
              <w:jc w:val="both"/>
              <w:rPr>
                <w:szCs w:val="21"/>
                <w:highlight w:val="none"/>
              </w:rPr>
            </w:pPr>
            <w:r>
              <w:rPr>
                <w:rFonts w:hint="eastAsia" w:ascii="宋体" w:hAnsi="宋体" w:cs="宋体"/>
                <w:kern w:val="0"/>
                <w:highlight w:val="none"/>
              </w:rPr>
              <w:t>□</w:t>
            </w:r>
            <w:r>
              <w:rPr>
                <w:rFonts w:hint="eastAsia"/>
                <w:highlight w:val="none"/>
              </w:rPr>
              <w:t>勘察方案的编制</w:t>
            </w:r>
          </w:p>
        </w:tc>
        <w:tc>
          <w:tcPr>
            <w:tcW w:w="6219" w:type="dxa"/>
            <w:tcBorders>
              <w:top w:val="single" w:color="auto" w:sz="4" w:space="0"/>
              <w:left w:val="single" w:color="auto" w:sz="4" w:space="0"/>
              <w:bottom w:val="single" w:color="auto" w:sz="4" w:space="0"/>
              <w:right w:val="single" w:color="auto" w:sz="4" w:space="0"/>
            </w:tcBorders>
            <w:tcMar>
              <w:left w:w="57" w:type="dxa"/>
              <w:right w:w="57" w:type="dxa"/>
            </w:tcMar>
          </w:tcPr>
          <w:p>
            <w:pPr>
              <w:suppressLineNumbers w:val="0"/>
              <w:suppressAutoHyphens w:val="0"/>
              <w:spacing w:line="324" w:lineRule="auto"/>
              <w:ind w:firstLine="420" w:firstLineChars="200"/>
              <w:rPr>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rPr>
              <w:t>分。评审要点：</w:t>
            </w:r>
            <w:r>
              <w:rPr>
                <w:rFonts w:hint="eastAsia"/>
                <w:highlight w:val="none"/>
                <w:u w:val="single"/>
              </w:rPr>
              <w:t>勘探孔（钻孔、原位测试孔、螺纹孔）平面布置。</w:t>
            </w:r>
            <w:r>
              <w:rPr>
                <w:rFonts w:hint="eastAsia" w:ascii="宋体" w:hAnsi="宋体"/>
                <w:color w:val="auto"/>
                <w:highlight w:val="none"/>
                <w:u w:val="single"/>
              </w:rPr>
              <w:t>优得  分-  分，良得  分-  分，一般得  分-  分，差得  分-  分</w:t>
            </w: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44" w:hRule="atLeast"/>
        </w:trPr>
        <w:tc>
          <w:tcPr>
            <w:tcW w:w="709" w:type="dxa"/>
            <w:vMerge w:val="continue"/>
            <w:tcBorders>
              <w:right w:val="single" w:color="auto" w:sz="4" w:space="0"/>
            </w:tcBorders>
            <w:vAlign w:val="center"/>
          </w:tcPr>
          <w:p>
            <w:pPr>
              <w:jc w:val="both"/>
              <w:rPr>
                <w:szCs w:val="22"/>
                <w:highlight w:val="none"/>
              </w:rPr>
            </w:pPr>
          </w:p>
        </w:tc>
        <w:tc>
          <w:tcPr>
            <w:tcW w:w="1134" w:type="dxa"/>
            <w:vMerge w:val="continue"/>
            <w:tcBorders>
              <w:right w:val="single" w:color="auto" w:sz="4" w:space="0"/>
            </w:tcBorders>
            <w:vAlign w:val="center"/>
          </w:tcPr>
          <w:p>
            <w:pPr>
              <w:jc w:val="both"/>
              <w:rPr>
                <w:szCs w:val="22"/>
                <w:highlight w:val="none"/>
              </w:rPr>
            </w:pPr>
          </w:p>
        </w:tc>
        <w:tc>
          <w:tcPr>
            <w:tcW w:w="661"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jc w:val="both"/>
              <w:rPr>
                <w:szCs w:val="22"/>
                <w:highlight w:val="none"/>
              </w:rPr>
            </w:pPr>
          </w:p>
        </w:tc>
        <w:tc>
          <w:tcPr>
            <w:tcW w:w="1058"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jc w:val="both"/>
              <w:rPr>
                <w:szCs w:val="22"/>
                <w:highlight w:val="none"/>
              </w:rPr>
            </w:pPr>
          </w:p>
        </w:tc>
        <w:tc>
          <w:tcPr>
            <w:tcW w:w="6219" w:type="dxa"/>
            <w:tcBorders>
              <w:top w:val="single" w:color="auto" w:sz="4" w:space="0"/>
              <w:left w:val="single" w:color="auto" w:sz="4" w:space="0"/>
              <w:bottom w:val="single" w:color="auto" w:sz="4" w:space="0"/>
              <w:right w:val="single" w:color="auto" w:sz="4" w:space="0"/>
            </w:tcBorders>
            <w:tcMar>
              <w:left w:w="57" w:type="dxa"/>
              <w:right w:w="57" w:type="dxa"/>
            </w:tcMar>
          </w:tcPr>
          <w:p>
            <w:pPr>
              <w:suppressLineNumbers w:val="0"/>
              <w:suppressAutoHyphens w:val="0"/>
              <w:spacing w:line="324" w:lineRule="auto"/>
              <w:ind w:firstLine="420" w:firstLineChars="200"/>
              <w:rPr>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rPr>
              <w:t>分。评审要点：</w:t>
            </w:r>
            <w:r>
              <w:rPr>
                <w:rFonts w:hint="eastAsia"/>
                <w:highlight w:val="none"/>
                <w:u w:val="single"/>
              </w:rPr>
              <w:t>勘探孔（钻孔、原位测试孔、螺纹孔）深度。取土与标贯的数量及间距。室内土水试验内容及数量。</w:t>
            </w:r>
            <w:r>
              <w:rPr>
                <w:rFonts w:hint="eastAsia" w:ascii="宋体" w:hAnsi="宋体"/>
                <w:color w:val="auto"/>
                <w:highlight w:val="none"/>
                <w:u w:val="single"/>
              </w:rPr>
              <w:t>优得  分-  分，良得  分-  分，一般得  分-  分，差得  分-  分</w:t>
            </w: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44" w:hRule="atLeast"/>
        </w:trPr>
        <w:tc>
          <w:tcPr>
            <w:tcW w:w="709" w:type="dxa"/>
            <w:vMerge w:val="continue"/>
            <w:tcBorders>
              <w:right w:val="single" w:color="auto" w:sz="4" w:space="0"/>
            </w:tcBorders>
            <w:vAlign w:val="center"/>
          </w:tcPr>
          <w:p>
            <w:pPr>
              <w:jc w:val="both"/>
              <w:rPr>
                <w:szCs w:val="22"/>
                <w:highlight w:val="none"/>
              </w:rPr>
            </w:pPr>
          </w:p>
        </w:tc>
        <w:tc>
          <w:tcPr>
            <w:tcW w:w="1134" w:type="dxa"/>
            <w:vMerge w:val="continue"/>
            <w:tcBorders>
              <w:right w:val="single" w:color="auto" w:sz="4" w:space="0"/>
            </w:tcBorders>
            <w:vAlign w:val="center"/>
          </w:tcPr>
          <w:p>
            <w:pPr>
              <w:jc w:val="both"/>
              <w:rPr>
                <w:szCs w:val="22"/>
                <w:highlight w:val="none"/>
              </w:rPr>
            </w:pPr>
          </w:p>
        </w:tc>
        <w:tc>
          <w:tcPr>
            <w:tcW w:w="661"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jc w:val="both"/>
              <w:rPr>
                <w:szCs w:val="21"/>
                <w:highlight w:val="none"/>
              </w:rPr>
            </w:pPr>
          </w:p>
        </w:tc>
        <w:tc>
          <w:tcPr>
            <w:tcW w:w="105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before="100" w:beforeAutospacing="1" w:after="100" w:afterAutospacing="1"/>
              <w:jc w:val="both"/>
              <w:rPr>
                <w:rFonts w:hint="eastAsia"/>
                <w:highlight w:val="none"/>
              </w:rPr>
            </w:pPr>
            <w:r>
              <w:rPr>
                <w:rFonts w:hint="eastAsia" w:ascii="宋体" w:hAnsi="宋体" w:cs="宋体"/>
                <w:kern w:val="0"/>
                <w:highlight w:val="none"/>
              </w:rPr>
              <w:t>□</w:t>
            </w:r>
            <w:r>
              <w:rPr>
                <w:rFonts w:hint="eastAsia"/>
                <w:highlight w:val="none"/>
              </w:rPr>
              <w:t>勘察报告书</w:t>
            </w:r>
          </w:p>
        </w:tc>
        <w:tc>
          <w:tcPr>
            <w:tcW w:w="6219" w:type="dxa"/>
            <w:tcBorders>
              <w:top w:val="single" w:color="auto" w:sz="4" w:space="0"/>
              <w:left w:val="single" w:color="auto" w:sz="4" w:space="0"/>
              <w:bottom w:val="single" w:color="auto" w:sz="4" w:space="0"/>
              <w:right w:val="single" w:color="auto" w:sz="4" w:space="0"/>
            </w:tcBorders>
            <w:tcMar>
              <w:left w:w="57" w:type="dxa"/>
              <w:right w:w="57" w:type="dxa"/>
            </w:tcMar>
          </w:tcPr>
          <w:p>
            <w:pPr>
              <w:suppressLineNumbers w:val="0"/>
              <w:suppressAutoHyphens w:val="0"/>
              <w:snapToGrid w:val="0"/>
              <w:spacing w:line="324" w:lineRule="auto"/>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rPr>
              <w:t>分。评审要点：</w:t>
            </w:r>
            <w:r>
              <w:rPr>
                <w:rFonts w:hint="eastAsia"/>
                <w:highlight w:val="none"/>
                <w:u w:val="single"/>
              </w:rPr>
              <w:t>拟定的勘察报告书内容和提交的主要图表。</w:t>
            </w:r>
            <w:r>
              <w:rPr>
                <w:rFonts w:hint="eastAsia" w:ascii="宋体" w:hAnsi="宋体"/>
                <w:color w:val="auto"/>
                <w:highlight w:val="none"/>
                <w:u w:val="single"/>
              </w:rPr>
              <w:t>优得  分-  分，良得  分-  分，一般得  分-  分，差得  分-  分</w:t>
            </w: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37" w:hRule="atLeast"/>
        </w:trPr>
        <w:tc>
          <w:tcPr>
            <w:tcW w:w="709" w:type="dxa"/>
            <w:vMerge w:val="continue"/>
            <w:tcBorders>
              <w:right w:val="single" w:color="auto" w:sz="4" w:space="0"/>
            </w:tcBorders>
            <w:vAlign w:val="center"/>
          </w:tcPr>
          <w:p>
            <w:pPr>
              <w:jc w:val="both"/>
              <w:rPr>
                <w:szCs w:val="22"/>
                <w:highlight w:val="none"/>
              </w:rPr>
            </w:pPr>
          </w:p>
        </w:tc>
        <w:tc>
          <w:tcPr>
            <w:tcW w:w="1134" w:type="dxa"/>
            <w:vMerge w:val="continue"/>
            <w:tcBorders>
              <w:right w:val="single" w:color="auto" w:sz="4" w:space="0"/>
            </w:tcBorders>
            <w:vAlign w:val="center"/>
          </w:tcPr>
          <w:p>
            <w:pPr>
              <w:jc w:val="both"/>
              <w:rPr>
                <w:szCs w:val="22"/>
                <w:highlight w:val="none"/>
              </w:rPr>
            </w:pPr>
          </w:p>
        </w:tc>
        <w:tc>
          <w:tcPr>
            <w:tcW w:w="661" w:type="dxa"/>
            <w:vMerge w:val="continue"/>
            <w:tcBorders>
              <w:left w:val="single" w:color="auto" w:sz="4" w:space="0"/>
              <w:right w:val="single" w:color="auto" w:sz="4" w:space="0"/>
            </w:tcBorders>
            <w:tcMar>
              <w:left w:w="57" w:type="dxa"/>
              <w:right w:w="57" w:type="dxa"/>
            </w:tcMar>
            <w:vAlign w:val="center"/>
          </w:tcPr>
          <w:p>
            <w:pPr>
              <w:spacing w:before="100" w:beforeAutospacing="1" w:after="100" w:afterAutospacing="1"/>
              <w:jc w:val="both"/>
              <w:rPr>
                <w:szCs w:val="21"/>
                <w:highlight w:val="none"/>
              </w:rPr>
            </w:pPr>
          </w:p>
        </w:tc>
        <w:tc>
          <w:tcPr>
            <w:tcW w:w="105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before="100" w:beforeAutospacing="1" w:after="100" w:afterAutospacing="1"/>
              <w:jc w:val="both"/>
              <w:rPr>
                <w:rFonts w:hint="eastAsia"/>
                <w:highlight w:val="none"/>
              </w:rPr>
            </w:pPr>
            <w:r>
              <w:rPr>
                <w:rFonts w:hint="eastAsia" w:ascii="宋体" w:hAnsi="宋体" w:cs="宋体"/>
                <w:kern w:val="0"/>
                <w:highlight w:val="none"/>
              </w:rPr>
              <w:t>□</w:t>
            </w:r>
            <w:r>
              <w:rPr>
                <w:rFonts w:hint="eastAsia"/>
                <w:highlight w:val="none"/>
              </w:rPr>
              <w:t>质保措施和技术措施</w:t>
            </w:r>
          </w:p>
        </w:tc>
        <w:tc>
          <w:tcPr>
            <w:tcW w:w="6219" w:type="dxa"/>
            <w:tcBorders>
              <w:top w:val="single" w:color="auto" w:sz="4" w:space="0"/>
              <w:left w:val="single" w:color="auto" w:sz="4" w:space="0"/>
              <w:bottom w:val="single" w:color="auto" w:sz="4" w:space="0"/>
              <w:right w:val="single" w:color="auto" w:sz="4" w:space="0"/>
            </w:tcBorders>
            <w:tcMar>
              <w:left w:w="57" w:type="dxa"/>
              <w:right w:w="57" w:type="dxa"/>
            </w:tcMar>
          </w:tcPr>
          <w:p>
            <w:pPr>
              <w:suppressLineNumbers w:val="0"/>
              <w:suppressAutoHyphens w:val="0"/>
              <w:snapToGrid w:val="0"/>
              <w:spacing w:line="324" w:lineRule="auto"/>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hint="eastAsia" w:ascii="宋体" w:hAnsi="宋体"/>
                <w:highlight w:val="none"/>
              </w:rPr>
              <w:t>分。评审要点：</w:t>
            </w:r>
            <w:r>
              <w:rPr>
                <w:rFonts w:hint="eastAsia"/>
                <w:highlight w:val="none"/>
                <w:u w:val="single"/>
              </w:rPr>
              <w:t>质保措施、机具设备配置、施工措施等。</w:t>
            </w:r>
            <w:r>
              <w:rPr>
                <w:rFonts w:hint="eastAsia" w:ascii="宋体" w:hAnsi="宋体"/>
                <w:color w:val="auto"/>
                <w:highlight w:val="none"/>
                <w:u w:val="single"/>
              </w:rPr>
              <w:t>优得  分-  分，良得  分-  分，一般得  分-  分，差得  分-  分</w:t>
            </w: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549" w:hRule="atLeast"/>
        </w:trPr>
        <w:tc>
          <w:tcPr>
            <w:tcW w:w="709" w:type="dxa"/>
            <w:vMerge w:val="continue"/>
            <w:tcBorders>
              <w:right w:val="single" w:color="auto" w:sz="4" w:space="0"/>
            </w:tcBorders>
            <w:vAlign w:val="center"/>
          </w:tcPr>
          <w:p>
            <w:pPr>
              <w:jc w:val="both"/>
              <w:rPr>
                <w:szCs w:val="22"/>
                <w:highlight w:val="none"/>
              </w:rPr>
            </w:pPr>
          </w:p>
        </w:tc>
        <w:tc>
          <w:tcPr>
            <w:tcW w:w="1134" w:type="dxa"/>
            <w:vMerge w:val="continue"/>
            <w:tcBorders>
              <w:right w:val="single" w:color="auto" w:sz="4" w:space="0"/>
            </w:tcBorders>
            <w:vAlign w:val="center"/>
          </w:tcPr>
          <w:p>
            <w:pPr>
              <w:jc w:val="both"/>
              <w:rPr>
                <w:szCs w:val="22"/>
                <w:highlight w:val="none"/>
              </w:rPr>
            </w:pPr>
          </w:p>
        </w:tc>
        <w:tc>
          <w:tcPr>
            <w:tcW w:w="661" w:type="dxa"/>
            <w:vMerge w:val="continue"/>
            <w:tcBorders>
              <w:left w:val="single" w:color="auto" w:sz="4" w:space="0"/>
              <w:bottom w:val="single" w:color="auto" w:sz="4" w:space="0"/>
              <w:right w:val="single" w:color="auto" w:sz="4" w:space="0"/>
            </w:tcBorders>
            <w:tcMar>
              <w:left w:w="57" w:type="dxa"/>
              <w:right w:w="57" w:type="dxa"/>
            </w:tcMar>
            <w:vAlign w:val="center"/>
          </w:tcPr>
          <w:p>
            <w:pPr>
              <w:suppressLineNumbers/>
              <w:suppressAutoHyphens/>
              <w:spacing w:before="100" w:beforeAutospacing="1" w:after="100" w:afterAutospacing="1"/>
              <w:jc w:val="both"/>
              <w:rPr>
                <w:rFonts w:ascii="宋体" w:hAnsi="宋体" w:cs="Times New Roman"/>
                <w:color w:val="000000"/>
                <w:szCs w:val="21"/>
                <w:highlight w:val="none"/>
              </w:rPr>
            </w:pPr>
          </w:p>
        </w:tc>
        <w:tc>
          <w:tcPr>
            <w:tcW w:w="1058"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suppressLineNumbers/>
              <w:suppressAutoHyphens/>
              <w:spacing w:before="100" w:beforeAutospacing="1" w:after="100" w:afterAutospacing="1"/>
              <w:jc w:val="both"/>
              <w:rPr>
                <w:rFonts w:hint="eastAsia" w:ascii="宋体" w:hAnsi="宋体" w:cs="Times New Roman"/>
                <w:color w:val="000000"/>
                <w:kern w:val="2"/>
                <w:szCs w:val="21"/>
                <w:highlight w:val="none"/>
              </w:rPr>
            </w:pPr>
            <w:r>
              <w:rPr>
                <w:rFonts w:hint="eastAsia" w:ascii="宋体" w:hAnsi="宋体" w:cs="宋体"/>
                <w:kern w:val="0"/>
                <w:highlight w:val="none"/>
              </w:rPr>
              <w:t>□</w:t>
            </w:r>
            <w:r>
              <w:rPr>
                <w:rFonts w:ascii="宋体" w:hAnsi="宋体" w:cs="Times New Roman"/>
                <w:color w:val="000000"/>
                <w:kern w:val="2"/>
                <w:szCs w:val="21"/>
                <w:highlight w:val="none"/>
              </w:rPr>
              <w:t>……</w:t>
            </w:r>
          </w:p>
        </w:tc>
        <w:tc>
          <w:tcPr>
            <w:tcW w:w="6219" w:type="dxa"/>
            <w:tcBorders>
              <w:top w:val="single" w:color="auto" w:sz="4" w:space="0"/>
              <w:left w:val="single" w:color="auto" w:sz="4" w:space="0"/>
              <w:bottom w:val="single" w:color="auto" w:sz="4" w:space="0"/>
              <w:right w:val="single" w:color="auto" w:sz="4" w:space="0"/>
            </w:tcBorders>
            <w:tcMar>
              <w:left w:w="57" w:type="dxa"/>
              <w:right w:w="57" w:type="dxa"/>
            </w:tcMar>
          </w:tcPr>
          <w:p>
            <w:pPr>
              <w:suppressLineNumbers w:val="0"/>
              <w:suppressAutoHyphens w:val="0"/>
              <w:snapToGrid w:val="0"/>
              <w:spacing w:line="324" w:lineRule="auto"/>
              <w:ind w:firstLine="420" w:firstLineChars="200"/>
              <w:rPr>
                <w:rFonts w:ascii="宋体" w:hAnsi="宋体"/>
                <w:highlight w:val="none"/>
                <w:u w:val="single"/>
              </w:rPr>
            </w:pP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分 </w:t>
            </w:r>
            <w:r>
              <w:rPr>
                <w:rFonts w:hint="eastAsia" w:ascii="宋体" w:hAnsi="宋体"/>
                <w:highlight w:val="none"/>
              </w:rPr>
              <w:t xml:space="preserve"> </w:t>
            </w:r>
            <w:r>
              <w:rPr>
                <w:rFonts w:ascii="宋体" w:hAnsi="宋体"/>
                <w:highlight w:val="none"/>
              </w:rPr>
              <w:t xml:space="preserve"> </w:t>
            </w:r>
            <w:r>
              <w:rPr>
                <w:rFonts w:hint="eastAsia" w:ascii="宋体" w:hAnsi="宋体"/>
                <w:highlight w:val="none"/>
              </w:rPr>
              <w:t>评审</w:t>
            </w:r>
            <w:r>
              <w:rPr>
                <w:rFonts w:ascii="宋体" w:hAnsi="宋体"/>
                <w:highlight w:val="none"/>
              </w:rPr>
              <w:t>要点</w:t>
            </w:r>
            <w:r>
              <w:rPr>
                <w:rFonts w:hint="eastAsia" w:ascii="宋体" w:hAnsi="宋体"/>
                <w:highlight w:val="none"/>
              </w:rPr>
              <w:t>：</w:t>
            </w:r>
            <w:r>
              <w:rPr>
                <w:rFonts w:hint="eastAsia" w:ascii="宋体" w:hAnsi="宋体"/>
                <w:highlight w:val="none"/>
                <w:u w:val="single"/>
              </w:rPr>
              <w:t xml:space="preserve">                     </w:t>
            </w:r>
            <w:r>
              <w:rPr>
                <w:rFonts w:hint="eastAsia" w:ascii="宋体" w:hAnsi="宋体"/>
                <w:highlight w:val="none"/>
              </w:rPr>
              <w:t>。</w:t>
            </w:r>
            <w:r>
              <w:rPr>
                <w:rFonts w:hint="eastAsia" w:ascii="宋体" w:hAnsi="宋体"/>
                <w:color w:val="auto"/>
                <w:highlight w:val="none"/>
                <w:u w:val="single"/>
              </w:rPr>
              <w:t>优得  分-  分，良得  分-  分，一般得  分-  分，差得  分-  分</w:t>
            </w:r>
            <w:r>
              <w:rPr>
                <w:rFonts w:hint="eastAsia" w:ascii="宋体" w:hAnsi="宋体"/>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restart"/>
            <w:tcBorders>
              <w:top w:val="single" w:color="auto" w:sz="4" w:space="0"/>
              <w:right w:val="single" w:color="auto" w:sz="4" w:space="0"/>
            </w:tcBorders>
            <w:vAlign w:val="center"/>
          </w:tcPr>
          <w:p>
            <w:pPr>
              <w:spacing w:line="440" w:lineRule="exact"/>
              <w:jc w:val="center"/>
              <w:rPr>
                <w:szCs w:val="22"/>
                <w:highlight w:val="none"/>
              </w:rPr>
            </w:pPr>
            <w:r>
              <w:rPr>
                <w:rFonts w:hint="eastAsia"/>
                <w:highlight w:val="none"/>
              </w:rPr>
              <w:t>2.2.4（2）</w:t>
            </w:r>
          </w:p>
        </w:tc>
        <w:tc>
          <w:tcPr>
            <w:tcW w:w="1134" w:type="dxa"/>
            <w:vMerge w:val="restart"/>
            <w:tcBorders>
              <w:top w:val="single" w:color="auto" w:sz="4" w:space="0"/>
              <w:left w:val="single" w:color="auto" w:sz="4" w:space="0"/>
              <w:right w:val="single" w:color="auto" w:sz="4" w:space="0"/>
            </w:tcBorders>
            <w:vAlign w:val="center"/>
          </w:tcPr>
          <w:p>
            <w:pPr>
              <w:suppressLineNumbers w:val="0"/>
              <w:suppressAutoHyphens w:val="0"/>
              <w:spacing w:line="440" w:lineRule="exact"/>
              <w:jc w:val="both"/>
              <w:rPr>
                <w:szCs w:val="22"/>
                <w:highlight w:val="none"/>
              </w:rPr>
            </w:pPr>
            <w:r>
              <w:rPr>
                <w:rFonts w:hint="eastAsia" w:ascii="宋体" w:hAnsi="宋体"/>
                <w:kern w:val="0"/>
                <w:szCs w:val="21"/>
                <w:highlight w:val="none"/>
              </w:rPr>
              <w:t>□</w:t>
            </w:r>
            <w:r>
              <w:rPr>
                <w:rFonts w:hint="eastAsia"/>
                <w:highlight w:val="none"/>
              </w:rPr>
              <w:t>商务部分评分</w:t>
            </w:r>
            <w:r>
              <w:rPr>
                <w:rFonts w:hint="eastAsia" w:asciiTheme="minorEastAsia" w:hAnsiTheme="minorEastAsia" w:eastAsiaTheme="minorEastAsia" w:cstheme="minorEastAsia"/>
                <w:highlight w:val="none"/>
                <w:lang w:eastAsia="zh-CN"/>
              </w:rPr>
              <w:t>（</w:t>
            </w:r>
            <w:r>
              <w:rPr>
                <w:rFonts w:hint="eastAsia" w:asciiTheme="minorEastAsia" w:hAnsiTheme="minorEastAsia" w:eastAsiaTheme="minorEastAsia" w:cstheme="minorEastAsia"/>
                <w:highlight w:val="none"/>
                <w:lang w:val="en-US" w:eastAsia="zh-CN"/>
              </w:rPr>
              <w:t>B</w:t>
            </w:r>
            <w:r>
              <w:rPr>
                <w:rFonts w:hint="eastAsia" w:asciiTheme="minorEastAsia" w:hAnsiTheme="minorEastAsia" w:eastAsiaTheme="minorEastAsia" w:cstheme="minorEastAsia"/>
                <w:highlight w:val="none"/>
                <w:lang w:eastAsia="zh-CN"/>
              </w:rPr>
              <w:t>）</w:t>
            </w:r>
            <w:r>
              <w:rPr>
                <w:rFonts w:hint="eastAsia"/>
                <w:highlight w:val="none"/>
              </w:rPr>
              <w:t>标准</w:t>
            </w:r>
          </w:p>
        </w:tc>
        <w:tc>
          <w:tcPr>
            <w:tcW w:w="1719" w:type="dxa"/>
            <w:gridSpan w:val="2"/>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before="100" w:beforeAutospacing="1" w:after="100" w:afterAutospacing="1"/>
              <w:jc w:val="both"/>
              <w:rPr>
                <w:rFonts w:hint="default" w:ascii="宋体" w:hAnsi="宋体" w:eastAsia="宋体"/>
                <w:szCs w:val="22"/>
                <w:highlight w:val="none"/>
                <w:lang w:val="en-US" w:eastAsia="zh-CN"/>
              </w:rPr>
            </w:pPr>
            <w:r>
              <w:rPr>
                <w:rFonts w:hint="eastAsia" w:ascii="宋体" w:hAnsi="宋体"/>
                <w:szCs w:val="22"/>
                <w:highlight w:val="none"/>
                <w:lang w:val="en-US" w:eastAsia="zh-CN"/>
              </w:rPr>
              <w:t>商务部分总体评审标准</w:t>
            </w:r>
          </w:p>
        </w:tc>
        <w:tc>
          <w:tcPr>
            <w:tcW w:w="6219" w:type="dxa"/>
            <w:tcBorders>
              <w:top w:val="single" w:color="auto" w:sz="4" w:space="0"/>
              <w:left w:val="single" w:color="auto" w:sz="4" w:space="0"/>
              <w:bottom w:val="single" w:color="auto" w:sz="4" w:space="0"/>
              <w:right w:val="single" w:color="auto" w:sz="4" w:space="0"/>
            </w:tcBorders>
            <w:tcMar>
              <w:left w:w="57" w:type="dxa"/>
              <w:right w:w="57" w:type="dxa"/>
            </w:tcMar>
          </w:tcPr>
          <w:p>
            <w:pPr>
              <w:suppressLineNumbers w:val="0"/>
              <w:suppressAutoHyphens w:val="0"/>
              <w:snapToGrid w:val="0"/>
              <w:spacing w:line="360" w:lineRule="auto"/>
              <w:ind w:firstLine="42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商务部分评分为客观评分，评标委员会按以下各评审因素设定的分值进行评分且保证分值统一。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2914" w:hRule="atLeast"/>
        </w:trPr>
        <w:tc>
          <w:tcPr>
            <w:tcW w:w="709" w:type="dxa"/>
            <w:vMerge w:val="continue"/>
            <w:tcBorders>
              <w:right w:val="single" w:color="auto" w:sz="4" w:space="0"/>
            </w:tcBorders>
            <w:vAlign w:val="center"/>
          </w:tcPr>
          <w:p>
            <w:pPr>
              <w:spacing w:line="440" w:lineRule="exact"/>
              <w:jc w:val="center"/>
              <w:rPr>
                <w:szCs w:val="22"/>
                <w:highlight w:val="none"/>
              </w:rPr>
            </w:pPr>
          </w:p>
        </w:tc>
        <w:tc>
          <w:tcPr>
            <w:tcW w:w="1134" w:type="dxa"/>
            <w:vMerge w:val="continue"/>
            <w:tcBorders>
              <w:left w:val="single" w:color="auto" w:sz="4" w:space="0"/>
              <w:right w:val="single" w:color="auto" w:sz="4" w:space="0"/>
            </w:tcBorders>
            <w:vAlign w:val="center"/>
          </w:tcPr>
          <w:p>
            <w:pPr>
              <w:suppressLineNumbers w:val="0"/>
              <w:suppressAutoHyphens w:val="0"/>
              <w:spacing w:line="440" w:lineRule="exact"/>
              <w:jc w:val="both"/>
              <w:rPr>
                <w:szCs w:val="22"/>
                <w:highlight w:val="none"/>
              </w:rPr>
            </w:pPr>
          </w:p>
        </w:tc>
        <w:tc>
          <w:tcPr>
            <w:tcW w:w="1719" w:type="dxa"/>
            <w:gridSpan w:val="2"/>
            <w:tcBorders>
              <w:top w:val="single" w:color="auto" w:sz="4" w:space="0"/>
              <w:left w:val="single" w:color="auto" w:sz="4" w:space="0"/>
              <w:right w:val="single" w:color="auto" w:sz="4" w:space="0"/>
            </w:tcBorders>
            <w:vAlign w:val="center"/>
          </w:tcPr>
          <w:p>
            <w:pPr>
              <w:suppressLineNumbers w:val="0"/>
              <w:suppressAutoHyphens w:val="0"/>
              <w:spacing w:line="240" w:lineRule="auto"/>
              <w:jc w:val="both"/>
              <w:rPr>
                <w:szCs w:val="22"/>
                <w:highlight w:val="none"/>
              </w:rPr>
            </w:pPr>
            <w:r>
              <w:rPr>
                <w:rFonts w:hint="eastAsia" w:ascii="宋体" w:hAnsi="宋体"/>
                <w:kern w:val="0"/>
                <w:szCs w:val="21"/>
                <w:highlight w:val="none"/>
              </w:rPr>
              <w:t>□</w:t>
            </w:r>
            <w:r>
              <w:rPr>
                <w:rFonts w:hint="eastAsia"/>
                <w:szCs w:val="22"/>
                <w:highlight w:val="none"/>
              </w:rPr>
              <w:t>投标人</w:t>
            </w:r>
            <w:r>
              <w:rPr>
                <w:rFonts w:hint="eastAsia"/>
                <w:szCs w:val="22"/>
                <w:highlight w:val="none"/>
                <w:lang w:val="en-US" w:eastAsia="zh-CN"/>
              </w:rPr>
              <w:t>业绩</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napToGrid w:val="0"/>
              <w:spacing w:line="360" w:lineRule="auto"/>
              <w:ind w:firstLine="420" w:firstLineChars="200"/>
              <w:rPr>
                <w:rFonts w:ascii="宋体" w:hAnsi="宋体"/>
                <w:i/>
                <w:iCs/>
                <w:kern w:val="0"/>
                <w:highlight w:val="none"/>
              </w:rPr>
            </w:pPr>
            <w:r>
              <w:rPr>
                <w:rFonts w:ascii="宋体" w:hAnsi="宋体"/>
                <w:i/>
                <w:iCs/>
                <w:kern w:val="0"/>
                <w:highlight w:val="none"/>
              </w:rPr>
              <w:t>[提示：</w:t>
            </w:r>
            <w:r>
              <w:rPr>
                <w:rFonts w:hint="eastAsia" w:ascii="宋体" w:hAnsi="宋体"/>
                <w:i/>
                <w:iCs/>
                <w:highlight w:val="none"/>
              </w:rPr>
              <w:t>用于商务部分评分的</w:t>
            </w:r>
            <w:r>
              <w:rPr>
                <w:rFonts w:hint="eastAsia" w:ascii="宋体" w:hAnsi="宋体"/>
                <w:i/>
                <w:iCs/>
                <w:kern w:val="0"/>
                <w:highlight w:val="none"/>
              </w:rPr>
              <w:t>投标人</w:t>
            </w:r>
            <w:r>
              <w:rPr>
                <w:rFonts w:ascii="宋体" w:hAnsi="宋体"/>
                <w:i/>
                <w:iCs/>
                <w:kern w:val="0"/>
                <w:highlight w:val="none"/>
              </w:rPr>
              <w:t>业绩个数不应超过</w:t>
            </w:r>
            <w:r>
              <w:rPr>
                <w:rFonts w:hint="eastAsia" w:ascii="宋体" w:hAnsi="宋体"/>
                <w:i/>
                <w:iCs/>
                <w:kern w:val="0"/>
                <w:highlight w:val="none"/>
              </w:rPr>
              <w:t>3</w:t>
            </w:r>
            <w:r>
              <w:rPr>
                <w:rFonts w:ascii="宋体" w:hAnsi="宋体"/>
                <w:i/>
                <w:iCs/>
                <w:kern w:val="0"/>
                <w:highlight w:val="none"/>
              </w:rPr>
              <w:t>个</w:t>
            </w:r>
            <w:r>
              <w:rPr>
                <w:rFonts w:hint="eastAsia"/>
                <w:i/>
                <w:iCs/>
                <w:highlight w:val="none"/>
              </w:rPr>
              <w:t>。</w:t>
            </w:r>
            <w:r>
              <w:rPr>
                <w:rFonts w:ascii="宋体" w:hAnsi="宋体"/>
                <w:i/>
                <w:iCs/>
                <w:kern w:val="0"/>
                <w:highlight w:val="none"/>
              </w:rPr>
              <w:t>]</w:t>
            </w:r>
          </w:p>
          <w:p>
            <w:pPr>
              <w:suppressLineNumbers w:val="0"/>
              <w:suppressAutoHyphens w:val="0"/>
              <w:snapToGrid w:val="0"/>
              <w:spacing w:line="360" w:lineRule="auto"/>
              <w:ind w:firstLine="420" w:firstLineChars="200"/>
              <w:rPr>
                <w:rFonts w:ascii="宋体" w:hAnsi="宋体"/>
                <w:highlight w:val="none"/>
              </w:rPr>
            </w:pPr>
            <w:r>
              <w:rPr>
                <w:rFonts w:ascii="宋体" w:hAnsi="宋体"/>
                <w:highlight w:val="none"/>
              </w:rPr>
              <w:t>在满足</w:t>
            </w:r>
            <w:r>
              <w:rPr>
                <w:rFonts w:hint="eastAsia" w:ascii="宋体" w:hAnsi="宋体"/>
                <w:highlight w:val="none"/>
              </w:rPr>
              <w:t>投标人</w:t>
            </w:r>
            <w:r>
              <w:rPr>
                <w:rFonts w:ascii="宋体" w:hAnsi="宋体"/>
                <w:highlight w:val="none"/>
              </w:rPr>
              <w:t>资格业绩的基础上</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资格业绩</w:t>
            </w:r>
            <w:r>
              <w:rPr>
                <w:rFonts w:hint="eastAsia" w:asciiTheme="minorEastAsia" w:hAnsiTheme="minorEastAsia" w:eastAsiaTheme="minorEastAsia" w:cstheme="minorEastAsia"/>
                <w:color w:val="auto"/>
                <w:highlight w:val="none"/>
                <w:lang w:val="en-US" w:eastAsia="zh-CN"/>
              </w:rPr>
              <w:t>不参与评分</w:t>
            </w:r>
            <w:r>
              <w:rPr>
                <w:rFonts w:hint="eastAsia" w:asciiTheme="minorEastAsia" w:hAnsiTheme="minorEastAsia" w:eastAsiaTheme="minorEastAsia" w:cstheme="minorEastAsia"/>
                <w:color w:val="auto"/>
                <w:highlight w:val="none"/>
                <w:lang w:eastAsia="zh-CN"/>
              </w:rPr>
              <w:t>）</w:t>
            </w:r>
            <w:r>
              <w:rPr>
                <w:rFonts w:hint="eastAsia" w:ascii="宋体" w:hAnsi="宋体"/>
                <w:highlight w:val="none"/>
              </w:rPr>
              <w:t>，投标人</w:t>
            </w:r>
            <w:r>
              <w:rPr>
                <w:rFonts w:ascii="宋体" w:hAnsi="宋体"/>
                <w:highlight w:val="none"/>
              </w:rPr>
              <w:t>每增加</w:t>
            </w:r>
            <w:r>
              <w:rPr>
                <w:rFonts w:hint="eastAsia" w:ascii="宋体" w:hAnsi="宋体"/>
                <w:highlight w:val="none"/>
              </w:rPr>
              <w:t>1个满足下列要求的业绩得</w:t>
            </w:r>
            <w:r>
              <w:rPr>
                <w:rFonts w:hint="eastAsia" w:ascii="宋体" w:hAnsi="宋体"/>
                <w:highlight w:val="none"/>
                <w:u w:val="single"/>
              </w:rPr>
              <w:t xml:space="preserve">    </w:t>
            </w:r>
            <w:r>
              <w:rPr>
                <w:rFonts w:hint="eastAsia" w:ascii="宋体" w:hAnsi="宋体"/>
                <w:highlight w:val="none"/>
              </w:rPr>
              <w:t>分，最多得</w:t>
            </w:r>
            <w:r>
              <w:rPr>
                <w:rFonts w:hint="eastAsia" w:ascii="宋体" w:hAnsi="宋体"/>
                <w:highlight w:val="none"/>
                <w:u w:val="single"/>
              </w:rPr>
              <w:t xml:space="preserve">    </w:t>
            </w:r>
            <w:r>
              <w:rPr>
                <w:rFonts w:hint="eastAsia" w:ascii="宋体" w:hAnsi="宋体"/>
                <w:highlight w:val="none"/>
              </w:rPr>
              <w:t>分。具体要求如下：</w:t>
            </w:r>
          </w:p>
          <w:p>
            <w:pPr>
              <w:autoSpaceDE/>
              <w:autoSpaceDN/>
              <w:adjustRightInd/>
              <w:snapToGrid w:val="0"/>
              <w:spacing w:line="360" w:lineRule="auto"/>
              <w:ind w:firstLine="420" w:firstLineChars="200"/>
              <w:rPr>
                <w:rFonts w:ascii="宋体" w:hAnsi="宋体"/>
                <w:kern w:val="0"/>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业</w:t>
            </w:r>
            <w:r>
              <w:rPr>
                <w:rFonts w:hint="eastAsia" w:ascii="宋体" w:hAnsi="宋体"/>
                <w:kern w:val="0"/>
                <w:szCs w:val="21"/>
                <w:highlight w:val="none"/>
              </w:rPr>
              <w:t>绩时间要求：</w:t>
            </w:r>
          </w:p>
          <w:p>
            <w:pPr>
              <w:autoSpaceDE/>
              <w:autoSpaceDN/>
              <w:adjustRightInd/>
              <w:snapToGrid w:val="0"/>
              <w:spacing w:line="360" w:lineRule="auto"/>
              <w:ind w:firstLine="420" w:firstLineChars="200"/>
              <w:rPr>
                <w:rFonts w:hint="eastAsia" w:ascii="宋体" w:hAnsi="宋体"/>
                <w:kern w:val="0"/>
                <w:szCs w:val="21"/>
                <w:highlight w:val="none"/>
              </w:rPr>
            </w:pPr>
            <w:r>
              <w:rPr>
                <w:rFonts w:hint="eastAsia" w:ascii="宋体" w:hAnsi="宋体"/>
                <w:kern w:val="0"/>
                <w:szCs w:val="21"/>
                <w:highlight w:val="none"/>
              </w:rPr>
              <w:t>投标人在</w:t>
            </w:r>
            <w:r>
              <w:rPr>
                <w:rFonts w:hint="eastAsia" w:ascii="宋体" w:hAnsi="宋体"/>
                <w:kern w:val="0"/>
                <w:szCs w:val="21"/>
                <w:highlight w:val="none"/>
                <w:u w:val="single"/>
              </w:rPr>
              <w:t xml:space="preserve">    </w:t>
            </w:r>
            <w:r>
              <w:rPr>
                <w:rFonts w:hint="eastAsia" w:ascii="宋体" w:hAnsi="宋体"/>
                <w:kern w:val="0"/>
                <w:szCs w:val="21"/>
                <w:highlight w:val="none"/>
              </w:rPr>
              <w:t>年1月1日起</w:t>
            </w:r>
            <w:r>
              <w:rPr>
                <w:rFonts w:hint="eastAsia" w:ascii="宋体" w:hAnsi="宋体"/>
                <w:i/>
                <w:iCs/>
                <w:kern w:val="0"/>
                <w:szCs w:val="21"/>
                <w:highlight w:val="none"/>
              </w:rPr>
              <w:t>[提示：指投标截止日前3年、5年或者8年（不包含投标截止日当年），有8年以上要求的可自设]</w:t>
            </w:r>
            <w:r>
              <w:rPr>
                <w:rFonts w:hint="eastAsia" w:ascii="宋体" w:hAnsi="宋体"/>
                <w:kern w:val="0"/>
                <w:szCs w:val="21"/>
                <w:highlight w:val="none"/>
              </w:rPr>
              <w:t>至投标截止日止</w:t>
            </w:r>
            <w:r>
              <w:rPr>
                <w:rFonts w:hint="eastAsia" w:ascii="宋体" w:hAnsi="宋体"/>
                <w:kern w:val="0"/>
                <w:szCs w:val="21"/>
                <w:highlight w:val="none"/>
                <w:lang w:eastAsia="zh-CN"/>
              </w:rPr>
              <w:t>（以经施工图审查机构出具的勘察文件审查合格证明文件的时间为准，单独的测量项目以业主证明的测量报告出具时间为准）</w:t>
            </w:r>
            <w:r>
              <w:rPr>
                <w:rFonts w:hint="eastAsia" w:ascii="宋体" w:hAnsi="宋体"/>
                <w:kern w:val="0"/>
                <w:szCs w:val="21"/>
                <w:highlight w:val="none"/>
              </w:rPr>
              <w:t>具有下列已完成的类似业绩之一：①1个类似勘察业绩；②1个包含类似勘察工作的工程总承包业绩；③1个包含类似勘察工作的工程勘察设计业绩；④1个包含类似勘察工作的工程全过程咨询业绩。</w:t>
            </w:r>
          </w:p>
          <w:p>
            <w:pPr>
              <w:autoSpaceDE/>
              <w:autoSpaceDN/>
              <w:adjustRightInd/>
              <w:snapToGrid w:val="0"/>
              <w:spacing w:line="360" w:lineRule="auto"/>
              <w:ind w:firstLine="420" w:firstLineChars="200"/>
              <w:rPr>
                <w:rFonts w:hint="eastAsia" w:ascii="宋体" w:hAnsi="宋体"/>
                <w:kern w:val="0"/>
                <w:szCs w:val="21"/>
                <w:highlight w:val="none"/>
              </w:rPr>
            </w:pPr>
            <w:r>
              <w:rPr>
                <w:rFonts w:hint="eastAsia" w:ascii="宋体" w:hAnsi="宋体"/>
                <w:kern w:val="0"/>
                <w:szCs w:val="21"/>
                <w:highlight w:val="none"/>
              </w:rPr>
              <w:t>（2）业绩规模要求：</w:t>
            </w:r>
          </w:p>
          <w:p>
            <w:pPr>
              <w:autoSpaceDE/>
              <w:autoSpaceDN/>
              <w:adjustRightInd/>
              <w:snapToGrid w:val="0"/>
              <w:spacing w:line="360" w:lineRule="auto"/>
              <w:ind w:firstLine="420" w:firstLineChars="200"/>
              <w:rPr>
                <w:rFonts w:hint="eastAsia" w:ascii="宋体" w:hAnsi="宋体"/>
                <w:kern w:val="0"/>
                <w:szCs w:val="21"/>
                <w:highlight w:val="none"/>
              </w:rPr>
            </w:pPr>
            <w:r>
              <w:rPr>
                <w:rFonts w:hint="eastAsia" w:ascii="宋体" w:hAnsi="宋体"/>
                <w:i/>
                <w:iCs/>
                <w:kern w:val="0"/>
                <w:szCs w:val="21"/>
                <w:highlight w:val="none"/>
              </w:rPr>
              <w:t>[提示：下列工程类别、勘察类别只能选择其一进行设置]</w:t>
            </w:r>
          </w:p>
          <w:p>
            <w:pPr>
              <w:autoSpaceDE/>
              <w:autoSpaceDN/>
              <w:adjustRightInd/>
              <w:snapToGrid w:val="0"/>
              <w:spacing w:line="360" w:lineRule="auto"/>
              <w:ind w:firstLine="420" w:firstLineChars="200"/>
              <w:rPr>
                <w:rFonts w:hint="eastAsia" w:ascii="宋体" w:hAnsi="宋体"/>
                <w:kern w:val="0"/>
                <w:szCs w:val="21"/>
                <w:highlight w:val="none"/>
              </w:rPr>
            </w:pPr>
            <w:r>
              <w:rPr>
                <w:rFonts w:hint="eastAsia" w:ascii="宋体" w:hAnsi="宋体"/>
                <w:kern w:val="0"/>
                <w:szCs w:val="21"/>
                <w:highlight w:val="none"/>
              </w:rPr>
              <w:t>□①工程类别：</w:t>
            </w:r>
            <w:r>
              <w:rPr>
                <w:rFonts w:hint="eastAsia" w:ascii="宋体" w:hAnsi="宋体"/>
                <w:kern w:val="0"/>
                <w:szCs w:val="21"/>
                <w:highlight w:val="none"/>
                <w:u w:val="single"/>
              </w:rPr>
              <w:t xml:space="preserve">               </w:t>
            </w:r>
          </w:p>
          <w:p>
            <w:pPr>
              <w:autoSpaceDE w:val="0"/>
              <w:autoSpaceDN w:val="0"/>
              <w:adjustRightInd w:val="0"/>
              <w:snapToGrid w:val="0"/>
              <w:spacing w:line="360" w:lineRule="auto"/>
              <w:ind w:firstLine="420" w:firstLineChars="200"/>
              <w:rPr>
                <w:rFonts w:hint="eastAsia" w:ascii="宋体" w:hAnsi="宋体"/>
                <w:szCs w:val="21"/>
                <w:highlight w:val="none"/>
                <w:u w:val="single"/>
              </w:rPr>
            </w:pPr>
            <w:r>
              <w:rPr>
                <w:rFonts w:hint="eastAsia" w:ascii="宋体" w:hAnsi="宋体"/>
                <w:kern w:val="0"/>
                <w:szCs w:val="21"/>
                <w:highlight w:val="none"/>
              </w:rPr>
              <w:t>□②勘察类别：</w:t>
            </w:r>
            <w:r>
              <w:rPr>
                <w:rFonts w:hint="eastAsia" w:ascii="宋体" w:hAnsi="宋体"/>
                <w:kern w:val="0"/>
                <w:szCs w:val="21"/>
                <w:highlight w:val="none"/>
                <w:u w:val="single"/>
              </w:rPr>
              <w:t xml:space="preserve">               </w:t>
            </w:r>
          </w:p>
          <w:p>
            <w:pPr>
              <w:autoSpaceDE w:val="0"/>
              <w:autoSpaceDN w:val="0"/>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若同时设置了项目金额和工程规模要求，则只须满足其中之一：</w:t>
            </w:r>
          </w:p>
          <w:p>
            <w:pPr>
              <w:autoSpaceDE w:val="0"/>
              <w:autoSpaceDN w:val="0"/>
              <w:adjustRightInd w:val="0"/>
              <w:snapToGrid w:val="0"/>
              <w:spacing w:line="360" w:lineRule="auto"/>
              <w:ind w:firstLine="420" w:firstLineChars="200"/>
              <w:rPr>
                <w:rFonts w:ascii="宋体" w:hAnsi="宋体"/>
                <w:szCs w:val="21"/>
                <w:highlight w:val="none"/>
                <w:u w:val="single"/>
              </w:rPr>
            </w:pPr>
            <w:r>
              <w:rPr>
                <w:rFonts w:hint="eastAsia" w:ascii="宋体" w:hAnsi="宋体"/>
                <w:szCs w:val="21"/>
                <w:highlight w:val="none"/>
              </w:rPr>
              <w:t>□</w:t>
            </w:r>
            <w:r>
              <w:rPr>
                <w:rFonts w:hint="eastAsia" w:ascii="宋体" w:hAnsi="宋体"/>
                <w:szCs w:val="21"/>
                <w:highlight w:val="none"/>
                <w:lang w:val="en-US" w:eastAsia="zh-CN"/>
              </w:rPr>
              <w:t>③</w:t>
            </w:r>
            <w:r>
              <w:rPr>
                <w:rFonts w:hint="eastAsia" w:ascii="宋体" w:hAnsi="宋体"/>
                <w:szCs w:val="21"/>
                <w:highlight w:val="none"/>
              </w:rPr>
              <w:t>项目金额（若同时设置了以下两种及以上金额要求，则只须满足其中之一）</w:t>
            </w:r>
          </w:p>
          <w:p>
            <w:pPr>
              <w:autoSpaceDE w:val="0"/>
              <w:autoSpaceDN w:val="0"/>
              <w:adjustRightInd w:val="0"/>
              <w:snapToGrid w:val="0"/>
              <w:spacing w:line="360" w:lineRule="auto"/>
              <w:ind w:firstLine="840" w:firstLineChars="400"/>
              <w:rPr>
                <w:rFonts w:hint="eastAsia" w:ascii="宋体" w:hAnsi="宋体"/>
                <w:szCs w:val="21"/>
                <w:highlight w:val="none"/>
                <w:u w:val="single"/>
              </w:rPr>
            </w:pPr>
            <w:r>
              <w:rPr>
                <w:rFonts w:hint="eastAsia" w:ascii="宋体" w:hAnsi="宋体"/>
                <w:szCs w:val="21"/>
                <w:highlight w:val="none"/>
              </w:rPr>
              <w:t>□</w:t>
            </w:r>
            <w:r>
              <w:rPr>
                <w:rFonts w:hint="eastAsia" w:ascii="宋体" w:hAnsi="宋体"/>
                <w:szCs w:val="21"/>
                <w:highlight w:val="none"/>
                <w:lang w:val="en-US" w:eastAsia="zh-CN"/>
              </w:rPr>
              <w:t>项目</w:t>
            </w:r>
            <w:r>
              <w:rPr>
                <w:rFonts w:hint="eastAsia" w:ascii="宋体" w:hAnsi="宋体"/>
                <w:szCs w:val="21"/>
                <w:highlight w:val="none"/>
              </w:rPr>
              <w:t>投资估算金额：</w:t>
            </w:r>
            <w:r>
              <w:rPr>
                <w:rFonts w:hint="eastAsia" w:ascii="宋体" w:hAnsi="宋体"/>
                <w:szCs w:val="21"/>
                <w:highlight w:val="none"/>
                <w:u w:val="single"/>
              </w:rPr>
              <w:t xml:space="preserve">                         </w:t>
            </w:r>
          </w:p>
          <w:p>
            <w:pPr>
              <w:autoSpaceDE w:val="0"/>
              <w:autoSpaceDN w:val="0"/>
              <w:adjustRightInd w:val="0"/>
              <w:snapToGrid w:val="0"/>
              <w:spacing w:line="360" w:lineRule="auto"/>
              <w:ind w:firstLine="840" w:firstLineChars="400"/>
              <w:rPr>
                <w:rFonts w:hint="eastAsia" w:ascii="宋体" w:hAnsi="宋体"/>
                <w:iCs/>
                <w:szCs w:val="21"/>
                <w:highlight w:val="none"/>
              </w:rPr>
            </w:pPr>
            <w:r>
              <w:rPr>
                <w:rFonts w:hint="eastAsia" w:ascii="宋体" w:hAnsi="宋体"/>
                <w:szCs w:val="21"/>
                <w:highlight w:val="none"/>
              </w:rPr>
              <w:t>□</w:t>
            </w:r>
            <w:r>
              <w:rPr>
                <w:rFonts w:hint="eastAsia" w:ascii="宋体" w:hAnsi="宋体"/>
                <w:iCs/>
                <w:szCs w:val="21"/>
                <w:highlight w:val="none"/>
              </w:rPr>
              <w:t>工程费估算金额</w:t>
            </w:r>
            <w:r>
              <w:rPr>
                <w:rFonts w:hint="eastAsia" w:ascii="宋体" w:hAnsi="宋体"/>
                <w:szCs w:val="21"/>
                <w:highlight w:val="none"/>
              </w:rPr>
              <w:t>：</w:t>
            </w:r>
            <w:r>
              <w:rPr>
                <w:rFonts w:hint="eastAsia" w:ascii="宋体" w:hAnsi="宋体"/>
                <w:szCs w:val="21"/>
                <w:highlight w:val="none"/>
                <w:u w:val="single"/>
              </w:rPr>
              <w:t xml:space="preserve">                   </w:t>
            </w:r>
          </w:p>
          <w:p>
            <w:pPr>
              <w:autoSpaceDE w:val="0"/>
              <w:autoSpaceDN w:val="0"/>
              <w:adjustRightInd w:val="0"/>
              <w:snapToGrid w:val="0"/>
              <w:spacing w:line="360" w:lineRule="auto"/>
              <w:ind w:firstLine="840" w:firstLineChars="400"/>
              <w:jc w:val="left"/>
              <w:rPr>
                <w:rFonts w:ascii="宋体" w:hAnsi="宋体"/>
                <w:szCs w:val="21"/>
                <w:highlight w:val="none"/>
                <w:u w:val="none"/>
              </w:rPr>
            </w:pPr>
            <w:r>
              <w:rPr>
                <w:rFonts w:hint="eastAsia" w:ascii="宋体" w:hAnsi="宋体"/>
                <w:szCs w:val="21"/>
                <w:highlight w:val="none"/>
              </w:rPr>
              <w:t>□</w:t>
            </w:r>
            <w:r>
              <w:rPr>
                <w:rFonts w:hint="eastAsia" w:ascii="宋体" w:hAnsi="宋体"/>
                <w:szCs w:val="21"/>
                <w:highlight w:val="none"/>
                <w:lang w:val="en-US" w:eastAsia="zh-CN"/>
              </w:rPr>
              <w:t>勘察</w:t>
            </w:r>
            <w:r>
              <w:rPr>
                <w:rFonts w:hint="eastAsia" w:ascii="宋体" w:hAnsi="宋体"/>
                <w:szCs w:val="21"/>
                <w:highlight w:val="none"/>
              </w:rPr>
              <w:t>合同估算</w:t>
            </w:r>
            <w:r>
              <w:rPr>
                <w:rFonts w:hint="eastAsia" w:ascii="宋体" w:hAnsi="宋体"/>
                <w:szCs w:val="21"/>
                <w:highlight w:val="none"/>
                <w:lang w:val="en-US" w:eastAsia="zh-CN"/>
              </w:rPr>
              <w:t>金</w:t>
            </w:r>
            <w:r>
              <w:rPr>
                <w:rFonts w:hint="eastAsia" w:ascii="宋体" w:hAnsi="宋体"/>
                <w:szCs w:val="21"/>
                <w:highlight w:val="none"/>
              </w:rPr>
              <w:t>额：</w:t>
            </w:r>
            <w:r>
              <w:rPr>
                <w:rFonts w:hint="eastAsia" w:ascii="宋体" w:hAnsi="宋体"/>
                <w:szCs w:val="21"/>
                <w:highlight w:val="none"/>
                <w:u w:val="single"/>
              </w:rPr>
              <w:t xml:space="preserve">                           </w:t>
            </w:r>
            <w:r>
              <w:rPr>
                <w:rFonts w:hint="eastAsia" w:ascii="宋体" w:hAnsi="宋体"/>
                <w:iCs/>
                <w:color w:val="auto"/>
                <w:szCs w:val="21"/>
                <w:highlight w:val="none"/>
                <w:u w:val="none"/>
                <w:lang w:eastAsia="zh-CN"/>
              </w:rPr>
              <w:t>（注：提供</w:t>
            </w:r>
            <w:r>
              <w:rPr>
                <w:rFonts w:hint="eastAsia" w:ascii="宋体" w:hAnsi="宋体"/>
                <w:color w:val="auto"/>
                <w:szCs w:val="21"/>
                <w:highlight w:val="none"/>
                <w:lang w:val="en-US" w:eastAsia="zh-CN"/>
              </w:rPr>
              <w:t>工程总承包业绩或工程勘察设计业绩或工程全过程咨询业绩</w:t>
            </w:r>
            <w:r>
              <w:rPr>
                <w:rFonts w:hint="eastAsia" w:ascii="宋体" w:hAnsi="宋体"/>
                <w:iCs/>
                <w:color w:val="auto"/>
                <w:szCs w:val="21"/>
                <w:highlight w:val="none"/>
                <w:u w:val="none"/>
                <w:lang w:eastAsia="zh-CN"/>
              </w:rPr>
              <w:t>的，</w:t>
            </w:r>
            <w:r>
              <w:rPr>
                <w:rFonts w:hint="eastAsia" w:ascii="宋体" w:hAnsi="宋体"/>
                <w:iCs/>
                <w:color w:val="auto"/>
                <w:szCs w:val="21"/>
                <w:highlight w:val="none"/>
                <w:u w:val="none"/>
                <w:lang w:val="en-US" w:eastAsia="zh-CN"/>
              </w:rPr>
              <w:t>其中勘察</w:t>
            </w:r>
            <w:r>
              <w:rPr>
                <w:rFonts w:hint="eastAsia" w:ascii="宋体" w:hAnsi="宋体"/>
                <w:iCs/>
                <w:color w:val="auto"/>
                <w:szCs w:val="21"/>
                <w:highlight w:val="none"/>
                <w:u w:val="none"/>
                <w:lang w:eastAsia="zh-CN"/>
              </w:rPr>
              <w:t>部分的合同金额须</w:t>
            </w:r>
            <w:r>
              <w:rPr>
                <w:rFonts w:hint="eastAsia" w:ascii="宋体" w:hAnsi="宋体"/>
                <w:iCs/>
                <w:color w:val="auto"/>
                <w:szCs w:val="21"/>
                <w:highlight w:val="none"/>
                <w:u w:val="none"/>
                <w:lang w:val="en-US" w:eastAsia="zh-CN"/>
              </w:rPr>
              <w:t>达到该</w:t>
            </w:r>
            <w:r>
              <w:rPr>
                <w:rFonts w:hint="eastAsia" w:ascii="宋体" w:hAnsi="宋体"/>
                <w:iCs/>
                <w:color w:val="auto"/>
                <w:szCs w:val="21"/>
                <w:highlight w:val="none"/>
                <w:u w:val="none"/>
                <w:lang w:eastAsia="zh-CN"/>
              </w:rPr>
              <w:t>金额</w:t>
            </w:r>
            <w:r>
              <w:rPr>
                <w:rFonts w:hint="eastAsia" w:ascii="宋体" w:hAnsi="宋体"/>
                <w:iCs/>
                <w:color w:val="auto"/>
                <w:szCs w:val="21"/>
                <w:highlight w:val="none"/>
                <w:u w:val="none"/>
                <w:lang w:val="en-US" w:eastAsia="zh-CN"/>
              </w:rPr>
              <w:t>要求</w:t>
            </w:r>
            <w:r>
              <w:rPr>
                <w:rFonts w:hint="eastAsia" w:ascii="宋体" w:hAnsi="宋体"/>
                <w:iCs/>
                <w:color w:val="auto"/>
                <w:szCs w:val="21"/>
                <w:highlight w:val="none"/>
                <w:u w:val="none"/>
                <w:lang w:eastAsia="zh-CN"/>
              </w:rPr>
              <w:t>）</w:t>
            </w:r>
          </w:p>
          <w:p>
            <w:pPr>
              <w:autoSpaceDE/>
              <w:autoSpaceDN/>
              <w:adjustRightInd/>
              <w:snapToGrid w:val="0"/>
              <w:spacing w:line="360" w:lineRule="auto"/>
              <w:ind w:firstLine="420" w:firstLineChars="200"/>
              <w:rPr>
                <w:rFonts w:ascii="宋体" w:hAnsi="宋体"/>
                <w:szCs w:val="21"/>
                <w:highlight w:val="none"/>
              </w:rPr>
            </w:pPr>
            <w:r>
              <w:rPr>
                <w:rFonts w:hint="eastAsia" w:ascii="宋体" w:hAnsi="宋体"/>
                <w:kern w:val="0"/>
                <w:szCs w:val="21"/>
                <w:highlight w:val="none"/>
              </w:rPr>
              <w:t>□</w:t>
            </w:r>
            <w:r>
              <w:rPr>
                <w:rFonts w:hint="eastAsia" w:ascii="宋体" w:hAnsi="宋体"/>
                <w:szCs w:val="21"/>
                <w:highlight w:val="none"/>
                <w:lang w:val="en-US" w:eastAsia="zh-CN"/>
              </w:rPr>
              <w:t>④</w:t>
            </w:r>
            <w:r>
              <w:rPr>
                <w:rFonts w:hint="eastAsia" w:ascii="宋体" w:hAnsi="宋体"/>
                <w:szCs w:val="21"/>
                <w:highlight w:val="none"/>
              </w:rPr>
              <w:t>工程规模：</w:t>
            </w:r>
            <w:r>
              <w:rPr>
                <w:rFonts w:hint="eastAsia" w:ascii="宋体" w:hAnsi="宋体"/>
                <w:szCs w:val="21"/>
                <w:highlight w:val="none"/>
                <w:u w:val="single"/>
              </w:rPr>
              <w:t xml:space="preserve">                     </w:t>
            </w:r>
          </w:p>
          <w:p>
            <w:pPr>
              <w:autoSpaceDE/>
              <w:autoSpaceDN/>
              <w:adjustRightInd/>
              <w:snapToGrid w:val="0"/>
              <w:spacing w:line="360" w:lineRule="auto"/>
              <w:ind w:firstLine="420" w:firstLineChars="200"/>
              <w:rPr>
                <w:rFonts w:ascii="宋体" w:hAnsi="宋体"/>
                <w:i/>
                <w:szCs w:val="21"/>
                <w:highlight w:val="none"/>
              </w:rPr>
            </w:pPr>
            <w:r>
              <w:rPr>
                <w:rFonts w:hint="eastAsia" w:ascii="宋体" w:hAnsi="宋体"/>
                <w:i/>
                <w:szCs w:val="21"/>
                <w:highlight w:val="none"/>
              </w:rPr>
              <w:t>[提示：根据招标项目实际情况选用。]</w:t>
            </w:r>
          </w:p>
          <w:p>
            <w:pPr>
              <w:autoSpaceDE/>
              <w:autoSpaceDN/>
              <w:adjustRightInd/>
              <w:snapToGrid w:val="0"/>
              <w:spacing w:line="360" w:lineRule="auto"/>
              <w:ind w:firstLine="415" w:firstLineChars="198"/>
              <w:rPr>
                <w:rFonts w:ascii="宋体" w:hAnsi="宋体"/>
                <w:szCs w:val="21"/>
                <w:highlight w:val="none"/>
              </w:rPr>
            </w:pPr>
            <w:r>
              <w:rPr>
                <w:rFonts w:hint="eastAsia" w:ascii="宋体" w:hAnsi="宋体"/>
                <w:szCs w:val="21"/>
                <w:highlight w:val="none"/>
              </w:rPr>
              <w:t>□联合体投标的，按联合体协议约定的分工分别提供相应的业绩。</w:t>
            </w:r>
          </w:p>
          <w:p>
            <w:pPr>
              <w:spacing w:line="240" w:lineRule="auto"/>
              <w:ind w:firstLine="420" w:firstLineChars="200"/>
              <w:rPr>
                <w:szCs w:val="22"/>
                <w:highlight w:val="none"/>
              </w:rPr>
            </w:pPr>
            <w:r>
              <w:rPr>
                <w:rFonts w:hint="eastAsia" w:ascii="宋体" w:hAnsi="宋体"/>
                <w:highlight w:val="none"/>
                <w:u w:val="none"/>
              </w:rPr>
              <w:t>（</w:t>
            </w:r>
            <w:r>
              <w:rPr>
                <w:rFonts w:ascii="宋体" w:hAnsi="宋体"/>
                <w:highlight w:val="none"/>
                <w:u w:val="none"/>
              </w:rPr>
              <w:t>3）</w:t>
            </w:r>
            <w:r>
              <w:rPr>
                <w:rFonts w:hint="eastAsia" w:ascii="宋体" w:hAnsi="宋体"/>
                <w:highlight w:val="none"/>
                <w:u w:val="none"/>
              </w:rPr>
              <w:t>业绩证明材料按投标人须知前附表第</w:t>
            </w:r>
            <w:r>
              <w:rPr>
                <w:rFonts w:ascii="宋体" w:hAnsi="宋体"/>
                <w:highlight w:val="none"/>
                <w:u w:val="none"/>
              </w:rPr>
              <w:t>1.4.1条第3</w:t>
            </w:r>
            <w:r>
              <w:rPr>
                <w:rFonts w:hint="eastAsia" w:ascii="宋体" w:hAnsi="宋体"/>
                <w:highlight w:val="none"/>
                <w:u w:val="none"/>
                <w:lang w:val="en-US" w:eastAsia="zh-CN"/>
              </w:rPr>
              <w:t>.3</w:t>
            </w:r>
            <w:r>
              <w:rPr>
                <w:rFonts w:ascii="宋体" w:hAnsi="宋体"/>
                <w:highlight w:val="none"/>
                <w:u w:val="none"/>
              </w:rPr>
              <w:t>款相关要求提供。</w:t>
            </w:r>
            <w:r>
              <w:rPr>
                <w:rFonts w:hint="eastAsia" w:ascii="宋体" w:hAnsi="宋体"/>
                <w:highlight w:val="none"/>
                <w:u w:val="none"/>
              </w:rPr>
              <w:t>投标人须在投标文件商务部分提供业绩证明材料。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right w:val="single" w:color="auto" w:sz="4" w:space="0"/>
            </w:tcBorders>
          </w:tcPr>
          <w:p>
            <w:pPr>
              <w:spacing w:line="440" w:lineRule="exact"/>
              <w:jc w:val="center"/>
              <w:rPr>
                <w:highlight w:val="none"/>
              </w:rPr>
            </w:pPr>
          </w:p>
        </w:tc>
        <w:tc>
          <w:tcPr>
            <w:tcW w:w="1134" w:type="dxa"/>
            <w:vMerge w:val="continue"/>
            <w:tcBorders>
              <w:left w:val="single" w:color="auto" w:sz="4" w:space="0"/>
              <w:right w:val="single" w:color="auto" w:sz="4" w:space="0"/>
            </w:tcBorders>
          </w:tcPr>
          <w:p>
            <w:pPr>
              <w:spacing w:line="440" w:lineRule="exact"/>
              <w:jc w:val="center"/>
              <w:rPr>
                <w:highlight w:val="none"/>
              </w:rPr>
            </w:pPr>
          </w:p>
        </w:tc>
        <w:tc>
          <w:tcPr>
            <w:tcW w:w="661" w:type="dxa"/>
            <w:vMerge w:val="restart"/>
            <w:tcBorders>
              <w:top w:val="single" w:color="auto" w:sz="4" w:space="0"/>
              <w:left w:val="single" w:color="auto" w:sz="4" w:space="0"/>
              <w:right w:val="single" w:color="auto" w:sz="4" w:space="0"/>
            </w:tcBorders>
            <w:vAlign w:val="center"/>
          </w:tcPr>
          <w:p>
            <w:pPr>
              <w:spacing w:line="420" w:lineRule="atLeast"/>
              <w:jc w:val="center"/>
              <w:rPr>
                <w:szCs w:val="22"/>
                <w:highlight w:val="none"/>
              </w:rPr>
            </w:pPr>
            <w:r>
              <w:rPr>
                <w:rFonts w:hint="eastAsia" w:ascii="宋体" w:hAnsi="宋体"/>
                <w:kern w:val="0"/>
                <w:szCs w:val="21"/>
                <w:highlight w:val="none"/>
              </w:rPr>
              <w:t>□</w:t>
            </w:r>
            <w:r>
              <w:rPr>
                <w:rFonts w:hint="eastAsia"/>
                <w:highlight w:val="none"/>
              </w:rPr>
              <w:t>拟派项目负责人资历</w:t>
            </w:r>
          </w:p>
        </w:tc>
        <w:tc>
          <w:tcPr>
            <w:tcW w:w="1058"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360" w:lineRule="auto"/>
              <w:jc w:val="center"/>
              <w:rPr>
                <w:szCs w:val="22"/>
                <w:highlight w:val="none"/>
              </w:rPr>
            </w:pPr>
            <w:r>
              <w:rPr>
                <w:rFonts w:hint="eastAsia" w:ascii="宋体" w:hAnsi="宋体"/>
                <w:kern w:val="0"/>
                <w:szCs w:val="21"/>
                <w:highlight w:val="none"/>
              </w:rPr>
              <w:t>□</w:t>
            </w:r>
            <w:r>
              <w:rPr>
                <w:szCs w:val="22"/>
                <w:highlight w:val="none"/>
              </w:rPr>
              <w:t>类似业绩</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napToGrid w:val="0"/>
              <w:spacing w:line="324" w:lineRule="auto"/>
              <w:ind w:firstLine="420" w:firstLineChars="200"/>
              <w:rPr>
                <w:rFonts w:ascii="宋体" w:hAnsi="宋体"/>
                <w:i/>
                <w:iCs/>
                <w:kern w:val="0"/>
                <w:highlight w:val="none"/>
              </w:rPr>
            </w:pPr>
            <w:r>
              <w:rPr>
                <w:rFonts w:ascii="宋体" w:hAnsi="宋体"/>
                <w:i/>
                <w:iCs/>
                <w:kern w:val="0"/>
                <w:highlight w:val="none"/>
              </w:rPr>
              <w:t>[提示：</w:t>
            </w:r>
            <w:r>
              <w:rPr>
                <w:rFonts w:hint="eastAsia" w:ascii="宋体" w:hAnsi="宋体"/>
                <w:i/>
                <w:iCs/>
                <w:highlight w:val="none"/>
              </w:rPr>
              <w:t>用于商务部分评分的</w:t>
            </w:r>
            <w:r>
              <w:rPr>
                <w:rFonts w:hint="eastAsia" w:ascii="宋体" w:hAnsi="宋体"/>
                <w:i/>
                <w:iCs/>
                <w:kern w:val="0"/>
                <w:highlight w:val="none"/>
              </w:rPr>
              <w:t>投标人拟派项目负责人</w:t>
            </w:r>
            <w:r>
              <w:rPr>
                <w:rFonts w:ascii="宋体" w:hAnsi="宋体"/>
                <w:i/>
                <w:iCs/>
                <w:kern w:val="0"/>
                <w:highlight w:val="none"/>
              </w:rPr>
              <w:t>业绩个数不应超过</w:t>
            </w:r>
            <w:r>
              <w:rPr>
                <w:rFonts w:hint="eastAsia" w:ascii="宋体" w:hAnsi="宋体"/>
                <w:i/>
                <w:iCs/>
                <w:kern w:val="0"/>
                <w:highlight w:val="none"/>
              </w:rPr>
              <w:t>3</w:t>
            </w:r>
            <w:r>
              <w:rPr>
                <w:rFonts w:ascii="宋体" w:hAnsi="宋体"/>
                <w:i/>
                <w:iCs/>
                <w:kern w:val="0"/>
                <w:highlight w:val="none"/>
              </w:rPr>
              <w:t>个</w:t>
            </w:r>
            <w:r>
              <w:rPr>
                <w:rFonts w:hint="eastAsia"/>
                <w:i/>
                <w:iCs/>
                <w:highlight w:val="none"/>
              </w:rPr>
              <w:t>。</w:t>
            </w:r>
            <w:r>
              <w:rPr>
                <w:rFonts w:ascii="宋体" w:hAnsi="宋体"/>
                <w:i/>
                <w:iCs/>
                <w:kern w:val="0"/>
                <w:highlight w:val="none"/>
              </w:rPr>
              <w:t>]</w:t>
            </w:r>
          </w:p>
          <w:p>
            <w:pPr>
              <w:suppressLineNumbers w:val="0"/>
              <w:suppressAutoHyphens w:val="0"/>
              <w:snapToGrid w:val="0"/>
              <w:spacing w:line="324" w:lineRule="auto"/>
              <w:ind w:firstLine="420" w:firstLineChars="200"/>
              <w:rPr>
                <w:rFonts w:ascii="宋体" w:hAnsi="宋体"/>
                <w:highlight w:val="none"/>
                <w:u w:val="none"/>
              </w:rPr>
            </w:pPr>
            <w:r>
              <w:rPr>
                <w:rFonts w:ascii="宋体" w:hAnsi="宋体"/>
                <w:highlight w:val="none"/>
                <w:u w:val="none"/>
              </w:rPr>
              <w:t>在满足</w:t>
            </w:r>
            <w:r>
              <w:rPr>
                <w:rFonts w:hint="eastAsia" w:ascii="宋体" w:hAnsi="宋体"/>
                <w:highlight w:val="none"/>
                <w:u w:val="none"/>
              </w:rPr>
              <w:t>项目负责人</w:t>
            </w:r>
            <w:r>
              <w:rPr>
                <w:rFonts w:ascii="宋体" w:hAnsi="宋体"/>
                <w:highlight w:val="none"/>
                <w:u w:val="none"/>
              </w:rPr>
              <w:t>资格业绩的基础上</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资格业绩</w:t>
            </w:r>
            <w:r>
              <w:rPr>
                <w:rFonts w:hint="eastAsia" w:asciiTheme="minorEastAsia" w:hAnsiTheme="minorEastAsia" w:eastAsiaTheme="minorEastAsia" w:cstheme="minorEastAsia"/>
                <w:color w:val="auto"/>
                <w:highlight w:val="none"/>
                <w:lang w:val="en-US" w:eastAsia="zh-CN"/>
              </w:rPr>
              <w:t>不参与评分</w:t>
            </w:r>
            <w:r>
              <w:rPr>
                <w:rFonts w:hint="eastAsia" w:asciiTheme="minorEastAsia" w:hAnsiTheme="minorEastAsia" w:eastAsiaTheme="minorEastAsia" w:cstheme="minorEastAsia"/>
                <w:color w:val="auto"/>
                <w:highlight w:val="none"/>
                <w:lang w:eastAsia="zh-CN"/>
              </w:rPr>
              <w:t>）</w:t>
            </w:r>
            <w:r>
              <w:rPr>
                <w:rFonts w:hint="eastAsia" w:ascii="宋体" w:hAnsi="宋体"/>
                <w:highlight w:val="none"/>
                <w:u w:val="none"/>
              </w:rPr>
              <w:t>，</w:t>
            </w:r>
            <w:r>
              <w:rPr>
                <w:rFonts w:ascii="宋体" w:hAnsi="宋体"/>
                <w:highlight w:val="none"/>
                <w:u w:val="none"/>
              </w:rPr>
              <w:t>每增加1个</w:t>
            </w:r>
            <w:r>
              <w:rPr>
                <w:rFonts w:hint="eastAsia" w:ascii="宋体" w:hAnsi="宋体"/>
                <w:highlight w:val="none"/>
              </w:rPr>
              <w:t>满足</w:t>
            </w:r>
            <w:r>
              <w:rPr>
                <w:rFonts w:hint="eastAsia" w:ascii="宋体" w:hAnsi="宋体"/>
                <w:highlight w:val="none"/>
                <w:u w:val="none"/>
              </w:rPr>
              <w:t>下列要求的业绩得</w:t>
            </w:r>
            <w:r>
              <w:rPr>
                <w:rFonts w:ascii="宋体" w:hAnsi="宋体"/>
                <w:highlight w:val="none"/>
                <w:u w:val="single"/>
              </w:rPr>
              <w:t xml:space="preserve">    </w:t>
            </w:r>
            <w:r>
              <w:rPr>
                <w:rFonts w:hint="eastAsia" w:ascii="宋体" w:hAnsi="宋体"/>
                <w:highlight w:val="none"/>
                <w:u w:val="none"/>
              </w:rPr>
              <w:t>分，最多得</w:t>
            </w:r>
            <w:r>
              <w:rPr>
                <w:rFonts w:ascii="宋体" w:hAnsi="宋体"/>
                <w:highlight w:val="none"/>
                <w:u w:val="single"/>
              </w:rPr>
              <w:t xml:space="preserve">    </w:t>
            </w:r>
            <w:r>
              <w:rPr>
                <w:rFonts w:hint="eastAsia" w:ascii="宋体" w:hAnsi="宋体"/>
                <w:highlight w:val="none"/>
                <w:u w:val="none"/>
              </w:rPr>
              <w:t>分。具体要求如下：</w:t>
            </w:r>
          </w:p>
          <w:p>
            <w:pPr>
              <w:snapToGrid w:val="0"/>
              <w:spacing w:line="324" w:lineRule="auto"/>
              <w:ind w:firstLine="420" w:firstLineChars="200"/>
              <w:rPr>
                <w:rFonts w:ascii="宋体" w:hAnsi="宋体"/>
                <w:highlight w:val="none"/>
                <w:u w:val="none"/>
              </w:rPr>
            </w:pPr>
            <w:r>
              <w:rPr>
                <w:rFonts w:hint="eastAsia" w:ascii="宋体" w:hAnsi="宋体"/>
                <w:highlight w:val="none"/>
              </w:rPr>
              <w:t>（1）</w:t>
            </w:r>
            <w:r>
              <w:rPr>
                <w:rFonts w:hint="eastAsia" w:ascii="宋体" w:hAnsi="宋体"/>
                <w:highlight w:val="none"/>
                <w:u w:val="none"/>
              </w:rPr>
              <w:t>业绩时间要求：</w:t>
            </w:r>
          </w:p>
          <w:p>
            <w:pPr>
              <w:autoSpaceDE/>
              <w:autoSpaceDN/>
              <w:adjustRightInd/>
              <w:snapToGrid w:val="0"/>
              <w:spacing w:line="324" w:lineRule="auto"/>
              <w:ind w:firstLine="420" w:firstLineChars="200"/>
              <w:rPr>
                <w:rFonts w:hint="eastAsia" w:ascii="宋体" w:hAnsi="宋体"/>
                <w:kern w:val="0"/>
                <w:szCs w:val="21"/>
                <w:highlight w:val="none"/>
              </w:rPr>
            </w:pPr>
            <w:r>
              <w:rPr>
                <w:rFonts w:hint="eastAsia" w:ascii="宋体" w:hAnsi="宋体"/>
                <w:kern w:val="0"/>
                <w:szCs w:val="21"/>
                <w:highlight w:val="none"/>
              </w:rPr>
              <w:t>拟派项目负责人在</w:t>
            </w:r>
            <w:r>
              <w:rPr>
                <w:rFonts w:hint="eastAsia" w:ascii="宋体" w:hAnsi="宋体"/>
                <w:kern w:val="0"/>
                <w:szCs w:val="21"/>
                <w:highlight w:val="none"/>
                <w:u w:val="single"/>
              </w:rPr>
              <w:t xml:space="preserve">    </w:t>
            </w:r>
            <w:r>
              <w:rPr>
                <w:rFonts w:hint="eastAsia" w:ascii="宋体" w:hAnsi="宋体"/>
                <w:kern w:val="0"/>
                <w:szCs w:val="21"/>
                <w:highlight w:val="none"/>
              </w:rPr>
              <w:t>年1月1日起</w:t>
            </w:r>
            <w:r>
              <w:rPr>
                <w:rFonts w:hint="eastAsia" w:ascii="宋体" w:hAnsi="宋体"/>
                <w:i/>
                <w:iCs/>
                <w:kern w:val="0"/>
                <w:szCs w:val="21"/>
                <w:highlight w:val="none"/>
              </w:rPr>
              <w:t>[提示：指投标截止日前3年、5年或者8年（不包含投标截止日当年），有8年以上要求的可自设]</w:t>
            </w:r>
            <w:r>
              <w:rPr>
                <w:rFonts w:hint="eastAsia" w:ascii="宋体" w:hAnsi="宋体"/>
                <w:kern w:val="0"/>
                <w:szCs w:val="21"/>
                <w:highlight w:val="none"/>
              </w:rPr>
              <w:t>至投标截止日止（以经施工图审查机构出具的勘察文件审查合格证明文件的时间为准</w:t>
            </w:r>
            <w:r>
              <w:rPr>
                <w:rFonts w:hint="eastAsia" w:ascii="宋体" w:hAnsi="宋体"/>
                <w:szCs w:val="21"/>
                <w:highlight w:val="none"/>
              </w:rPr>
              <w:t>，单独的测量项目以业主证明的测量报告出具时间为准</w:t>
            </w:r>
            <w:r>
              <w:rPr>
                <w:rFonts w:hint="eastAsia" w:ascii="宋体" w:hAnsi="宋体"/>
                <w:kern w:val="0"/>
                <w:szCs w:val="21"/>
                <w:highlight w:val="none"/>
              </w:rPr>
              <w:t>）具有下列已完成的类似业绩之一：①在1个类似勘察业绩中担任</w:t>
            </w:r>
            <w:r>
              <w:rPr>
                <w:rFonts w:hint="eastAsia" w:ascii="宋体" w:hAnsi="宋体"/>
                <w:kern w:val="0"/>
                <w:szCs w:val="21"/>
                <w:highlight w:val="none"/>
                <w:u w:val="single"/>
              </w:rPr>
              <w:t>项目负责人</w:t>
            </w:r>
            <w:r>
              <w:rPr>
                <w:rFonts w:hint="eastAsia" w:ascii="宋体" w:hAnsi="宋体"/>
                <w:kern w:val="0"/>
                <w:szCs w:val="21"/>
                <w:highlight w:val="none"/>
              </w:rPr>
              <w:t>；②在1个包含类似勘察工作的工程总承包业绩中担任</w:t>
            </w:r>
            <w:r>
              <w:rPr>
                <w:rFonts w:hint="eastAsia" w:ascii="宋体" w:hAnsi="宋体"/>
                <w:kern w:val="0"/>
                <w:szCs w:val="21"/>
                <w:highlight w:val="none"/>
                <w:u w:val="single"/>
              </w:rPr>
              <w:t>勘察负责人</w:t>
            </w:r>
            <w:r>
              <w:rPr>
                <w:rFonts w:hint="eastAsia" w:ascii="宋体" w:hAnsi="宋体"/>
                <w:kern w:val="0"/>
                <w:szCs w:val="21"/>
                <w:highlight w:val="none"/>
              </w:rPr>
              <w:t>；③在1个包含类似勘察工作的工程勘察设计业绩中担任</w:t>
            </w:r>
            <w:r>
              <w:rPr>
                <w:rFonts w:hint="eastAsia" w:ascii="宋体" w:hAnsi="宋体"/>
                <w:kern w:val="0"/>
                <w:szCs w:val="21"/>
                <w:highlight w:val="none"/>
                <w:u w:val="single"/>
              </w:rPr>
              <w:t>勘察负责人</w:t>
            </w:r>
            <w:r>
              <w:rPr>
                <w:rFonts w:hint="eastAsia" w:ascii="宋体" w:hAnsi="宋体"/>
                <w:kern w:val="0"/>
                <w:szCs w:val="21"/>
                <w:highlight w:val="none"/>
              </w:rPr>
              <w:t>；④在1个包含类似勘察工作的工程全过程咨询业绩中担任</w:t>
            </w:r>
            <w:r>
              <w:rPr>
                <w:rFonts w:hint="eastAsia" w:ascii="宋体" w:hAnsi="宋体"/>
                <w:kern w:val="0"/>
                <w:szCs w:val="21"/>
                <w:highlight w:val="none"/>
                <w:u w:val="single"/>
              </w:rPr>
              <w:t>勘察负责人</w:t>
            </w:r>
            <w:r>
              <w:rPr>
                <w:rFonts w:hint="eastAsia" w:ascii="宋体" w:hAnsi="宋体"/>
                <w:kern w:val="0"/>
                <w:szCs w:val="21"/>
                <w:highlight w:val="none"/>
              </w:rPr>
              <w:t>。</w:t>
            </w:r>
          </w:p>
          <w:p>
            <w:pPr>
              <w:autoSpaceDE/>
              <w:autoSpaceDN/>
              <w:adjustRightInd/>
              <w:snapToGrid w:val="0"/>
              <w:spacing w:line="324" w:lineRule="auto"/>
              <w:ind w:firstLine="420" w:firstLineChars="200"/>
              <w:rPr>
                <w:rFonts w:hint="eastAsia" w:ascii="宋体" w:hAnsi="宋体"/>
                <w:kern w:val="0"/>
                <w:szCs w:val="21"/>
                <w:highlight w:val="none"/>
              </w:rPr>
            </w:pPr>
            <w:r>
              <w:rPr>
                <w:rFonts w:hint="eastAsia" w:ascii="宋体" w:hAnsi="宋体"/>
                <w:kern w:val="0"/>
                <w:szCs w:val="21"/>
                <w:highlight w:val="none"/>
              </w:rPr>
              <w:t>（2）业绩规模要求：</w:t>
            </w:r>
          </w:p>
          <w:p>
            <w:pPr>
              <w:autoSpaceDE/>
              <w:autoSpaceDN/>
              <w:adjustRightInd/>
              <w:snapToGrid w:val="0"/>
              <w:spacing w:line="324" w:lineRule="auto"/>
              <w:ind w:firstLine="420" w:firstLineChars="200"/>
              <w:rPr>
                <w:rFonts w:hint="eastAsia" w:ascii="宋体" w:hAnsi="宋体"/>
                <w:i/>
                <w:iCs/>
                <w:kern w:val="0"/>
                <w:szCs w:val="21"/>
                <w:highlight w:val="none"/>
              </w:rPr>
            </w:pPr>
            <w:r>
              <w:rPr>
                <w:rFonts w:hint="eastAsia" w:ascii="宋体" w:hAnsi="宋体"/>
                <w:i/>
                <w:iCs/>
                <w:kern w:val="0"/>
                <w:szCs w:val="21"/>
                <w:highlight w:val="none"/>
              </w:rPr>
              <w:t>[提示：下列工程类别、勘察类别只能选择其一进行设置]</w:t>
            </w:r>
          </w:p>
          <w:p>
            <w:pPr>
              <w:autoSpaceDE/>
              <w:autoSpaceDN/>
              <w:adjustRightInd/>
              <w:snapToGrid w:val="0"/>
              <w:spacing w:line="324" w:lineRule="auto"/>
              <w:ind w:firstLine="420" w:firstLineChars="200"/>
              <w:rPr>
                <w:rFonts w:hint="eastAsia" w:ascii="宋体" w:hAnsi="宋体"/>
                <w:kern w:val="0"/>
                <w:szCs w:val="21"/>
                <w:highlight w:val="none"/>
              </w:rPr>
            </w:pPr>
            <w:r>
              <w:rPr>
                <w:rFonts w:hint="eastAsia" w:ascii="宋体" w:hAnsi="宋体"/>
                <w:kern w:val="0"/>
                <w:szCs w:val="21"/>
                <w:highlight w:val="none"/>
              </w:rPr>
              <w:t xml:space="preserve">□①工程类别：               </w:t>
            </w:r>
          </w:p>
          <w:p>
            <w:pPr>
              <w:autoSpaceDE/>
              <w:autoSpaceDN/>
              <w:adjustRightInd/>
              <w:snapToGrid w:val="0"/>
              <w:spacing w:line="324" w:lineRule="auto"/>
              <w:ind w:firstLine="420" w:firstLineChars="200"/>
              <w:rPr>
                <w:rFonts w:hint="eastAsia" w:ascii="宋体" w:hAnsi="宋体"/>
                <w:kern w:val="0"/>
                <w:szCs w:val="21"/>
                <w:highlight w:val="none"/>
              </w:rPr>
            </w:pPr>
            <w:r>
              <w:rPr>
                <w:rFonts w:hint="eastAsia" w:ascii="宋体" w:hAnsi="宋体"/>
                <w:kern w:val="0"/>
                <w:szCs w:val="21"/>
                <w:highlight w:val="none"/>
                <w:lang w:eastAsia="zh-CN"/>
              </w:rPr>
              <w:t>□</w:t>
            </w:r>
            <w:r>
              <w:rPr>
                <w:rFonts w:hint="eastAsia" w:ascii="宋体" w:hAnsi="宋体"/>
                <w:kern w:val="0"/>
                <w:szCs w:val="21"/>
                <w:highlight w:val="none"/>
              </w:rPr>
              <w:t xml:space="preserve">②勘察类别：               </w:t>
            </w:r>
          </w:p>
          <w:p>
            <w:pPr>
              <w:autoSpaceDE/>
              <w:autoSpaceDN/>
              <w:adjustRightInd/>
              <w:snapToGrid w:val="0"/>
              <w:spacing w:line="324" w:lineRule="auto"/>
              <w:ind w:firstLine="420" w:firstLineChars="200"/>
              <w:rPr>
                <w:rFonts w:hint="eastAsia" w:ascii="宋体" w:hAnsi="宋体"/>
                <w:szCs w:val="21"/>
                <w:highlight w:val="none"/>
              </w:rPr>
            </w:pPr>
            <w:r>
              <w:rPr>
                <w:rFonts w:hint="eastAsia" w:ascii="宋体" w:hAnsi="宋体"/>
                <w:szCs w:val="21"/>
                <w:highlight w:val="none"/>
              </w:rPr>
              <w:t>若同时设置了项目金额和工程规模要求，则只须满足其中之一：</w:t>
            </w:r>
          </w:p>
          <w:p>
            <w:pPr>
              <w:autoSpaceDE/>
              <w:autoSpaceDN/>
              <w:adjustRightInd/>
              <w:snapToGrid w:val="0"/>
              <w:spacing w:line="324" w:lineRule="auto"/>
              <w:ind w:firstLine="420" w:firstLineChars="200"/>
              <w:rPr>
                <w:rFonts w:ascii="宋体" w:hAnsi="宋体"/>
                <w:szCs w:val="21"/>
                <w:highlight w:val="none"/>
                <w:u w:val="single"/>
              </w:rPr>
            </w:pPr>
            <w:r>
              <w:rPr>
                <w:rFonts w:hint="eastAsia" w:ascii="宋体" w:hAnsi="宋体"/>
                <w:szCs w:val="21"/>
                <w:highlight w:val="none"/>
              </w:rPr>
              <w:t>□③项目金额（若同时设置了以下两种及以上金额要求，则只须满足其中之一）</w:t>
            </w:r>
          </w:p>
          <w:p>
            <w:pPr>
              <w:autoSpaceDE/>
              <w:autoSpaceDN/>
              <w:adjustRightInd/>
              <w:snapToGrid w:val="0"/>
              <w:spacing w:line="324" w:lineRule="auto"/>
              <w:ind w:firstLine="840" w:firstLineChars="400"/>
              <w:rPr>
                <w:rFonts w:hint="eastAsia" w:ascii="宋体" w:hAnsi="宋体"/>
                <w:szCs w:val="21"/>
                <w:highlight w:val="none"/>
                <w:u w:val="single"/>
              </w:rPr>
            </w:pPr>
            <w:r>
              <w:rPr>
                <w:rFonts w:hint="eastAsia" w:ascii="宋体" w:hAnsi="宋体"/>
                <w:szCs w:val="21"/>
                <w:highlight w:val="none"/>
              </w:rPr>
              <w:t>□</w:t>
            </w:r>
            <w:r>
              <w:rPr>
                <w:rFonts w:hint="eastAsia" w:ascii="宋体" w:hAnsi="宋体"/>
                <w:szCs w:val="21"/>
                <w:highlight w:val="none"/>
                <w:lang w:val="en-US" w:eastAsia="zh-CN"/>
              </w:rPr>
              <w:t>项目</w:t>
            </w:r>
            <w:r>
              <w:rPr>
                <w:rFonts w:hint="eastAsia" w:ascii="宋体" w:hAnsi="宋体"/>
                <w:szCs w:val="21"/>
                <w:highlight w:val="none"/>
              </w:rPr>
              <w:t>投资估算金额：</w:t>
            </w:r>
            <w:r>
              <w:rPr>
                <w:rFonts w:hint="eastAsia" w:ascii="宋体" w:hAnsi="宋体"/>
                <w:szCs w:val="21"/>
                <w:highlight w:val="none"/>
                <w:u w:val="single"/>
              </w:rPr>
              <w:t xml:space="preserve">                         </w:t>
            </w:r>
          </w:p>
          <w:p>
            <w:pPr>
              <w:autoSpaceDE/>
              <w:autoSpaceDN/>
              <w:adjustRightInd/>
              <w:snapToGrid w:val="0"/>
              <w:spacing w:line="324" w:lineRule="auto"/>
              <w:ind w:firstLine="840" w:firstLineChars="400"/>
              <w:rPr>
                <w:rFonts w:hint="eastAsia" w:ascii="宋体" w:hAnsi="宋体"/>
                <w:iCs/>
                <w:szCs w:val="21"/>
                <w:highlight w:val="none"/>
              </w:rPr>
            </w:pPr>
            <w:r>
              <w:rPr>
                <w:rFonts w:hint="eastAsia" w:ascii="宋体" w:hAnsi="宋体"/>
                <w:szCs w:val="21"/>
                <w:highlight w:val="none"/>
              </w:rPr>
              <w:t>□</w:t>
            </w:r>
            <w:r>
              <w:rPr>
                <w:rFonts w:hint="eastAsia" w:ascii="宋体" w:hAnsi="宋体"/>
                <w:iCs/>
                <w:szCs w:val="21"/>
                <w:highlight w:val="none"/>
              </w:rPr>
              <w:t>工程费估算金额</w:t>
            </w:r>
            <w:r>
              <w:rPr>
                <w:rFonts w:hint="eastAsia" w:ascii="宋体" w:hAnsi="宋体"/>
                <w:szCs w:val="21"/>
                <w:highlight w:val="none"/>
              </w:rPr>
              <w:t>：</w:t>
            </w:r>
            <w:r>
              <w:rPr>
                <w:rFonts w:hint="eastAsia" w:ascii="宋体" w:hAnsi="宋体"/>
                <w:szCs w:val="21"/>
                <w:highlight w:val="none"/>
                <w:u w:val="single"/>
              </w:rPr>
              <w:t xml:space="preserve">                   </w:t>
            </w:r>
          </w:p>
          <w:p>
            <w:pPr>
              <w:autoSpaceDE/>
              <w:autoSpaceDN/>
              <w:adjustRightInd/>
              <w:snapToGrid w:val="0"/>
              <w:spacing w:line="324" w:lineRule="auto"/>
              <w:ind w:firstLine="840" w:firstLineChars="400"/>
              <w:rPr>
                <w:rFonts w:ascii="宋体" w:hAnsi="宋体"/>
                <w:szCs w:val="21"/>
                <w:highlight w:val="none"/>
              </w:rPr>
            </w:pPr>
            <w:r>
              <w:rPr>
                <w:rFonts w:hint="eastAsia" w:ascii="宋体" w:hAnsi="宋体"/>
                <w:szCs w:val="21"/>
                <w:highlight w:val="none"/>
              </w:rPr>
              <w:t>□勘察合同估算</w:t>
            </w:r>
            <w:r>
              <w:rPr>
                <w:rFonts w:hint="eastAsia" w:ascii="宋体" w:hAnsi="宋体"/>
                <w:szCs w:val="21"/>
                <w:highlight w:val="none"/>
                <w:lang w:val="en-US" w:eastAsia="zh-CN"/>
              </w:rPr>
              <w:t>金</w:t>
            </w:r>
            <w:r>
              <w:rPr>
                <w:rFonts w:hint="eastAsia" w:ascii="宋体" w:hAnsi="宋体"/>
                <w:szCs w:val="21"/>
                <w:highlight w:val="none"/>
              </w:rPr>
              <w:t>额：</w:t>
            </w:r>
            <w:r>
              <w:rPr>
                <w:rFonts w:hint="eastAsia" w:ascii="宋体" w:hAnsi="宋体"/>
                <w:szCs w:val="21"/>
                <w:highlight w:val="none"/>
                <w:u w:val="single"/>
              </w:rPr>
              <w:t xml:space="preserve">                       </w:t>
            </w:r>
            <w:r>
              <w:rPr>
                <w:rFonts w:hint="eastAsia" w:ascii="宋体" w:hAnsi="宋体"/>
                <w:iCs/>
                <w:color w:val="auto"/>
                <w:szCs w:val="21"/>
                <w:highlight w:val="none"/>
                <w:u w:val="none"/>
                <w:lang w:eastAsia="zh-CN"/>
              </w:rPr>
              <w:t>（注：提供</w:t>
            </w:r>
            <w:r>
              <w:rPr>
                <w:rFonts w:hint="eastAsia" w:ascii="宋体" w:hAnsi="宋体"/>
                <w:color w:val="auto"/>
                <w:szCs w:val="21"/>
                <w:highlight w:val="none"/>
                <w:lang w:val="en-US" w:eastAsia="zh-CN"/>
              </w:rPr>
              <w:t>工程总承包业绩或工程勘察设计业绩或工程全过程咨询业绩</w:t>
            </w:r>
            <w:r>
              <w:rPr>
                <w:rFonts w:hint="eastAsia" w:ascii="宋体" w:hAnsi="宋体"/>
                <w:iCs/>
                <w:color w:val="auto"/>
                <w:szCs w:val="21"/>
                <w:highlight w:val="none"/>
                <w:u w:val="none"/>
                <w:lang w:eastAsia="zh-CN"/>
              </w:rPr>
              <w:t>的，</w:t>
            </w:r>
            <w:r>
              <w:rPr>
                <w:rFonts w:hint="eastAsia" w:ascii="宋体" w:hAnsi="宋体"/>
                <w:iCs/>
                <w:color w:val="auto"/>
                <w:szCs w:val="21"/>
                <w:highlight w:val="none"/>
                <w:u w:val="none"/>
                <w:lang w:val="en-US" w:eastAsia="zh-CN"/>
              </w:rPr>
              <w:t>其中勘察</w:t>
            </w:r>
            <w:r>
              <w:rPr>
                <w:rFonts w:hint="eastAsia" w:ascii="宋体" w:hAnsi="宋体"/>
                <w:iCs/>
                <w:color w:val="auto"/>
                <w:szCs w:val="21"/>
                <w:highlight w:val="none"/>
                <w:u w:val="none"/>
                <w:lang w:eastAsia="zh-CN"/>
              </w:rPr>
              <w:t>部分的合同金额须</w:t>
            </w:r>
            <w:r>
              <w:rPr>
                <w:rFonts w:hint="eastAsia" w:ascii="宋体" w:hAnsi="宋体"/>
                <w:iCs/>
                <w:color w:val="auto"/>
                <w:szCs w:val="21"/>
                <w:highlight w:val="none"/>
                <w:u w:val="none"/>
                <w:lang w:val="en-US" w:eastAsia="zh-CN"/>
              </w:rPr>
              <w:t>达到该</w:t>
            </w:r>
            <w:r>
              <w:rPr>
                <w:rFonts w:hint="eastAsia" w:ascii="宋体" w:hAnsi="宋体"/>
                <w:iCs/>
                <w:color w:val="auto"/>
                <w:szCs w:val="21"/>
                <w:highlight w:val="none"/>
                <w:u w:val="none"/>
                <w:lang w:eastAsia="zh-CN"/>
              </w:rPr>
              <w:t>金额</w:t>
            </w:r>
            <w:r>
              <w:rPr>
                <w:rFonts w:hint="eastAsia" w:ascii="宋体" w:hAnsi="宋体"/>
                <w:iCs/>
                <w:color w:val="auto"/>
                <w:szCs w:val="21"/>
                <w:highlight w:val="none"/>
                <w:u w:val="none"/>
                <w:lang w:val="en-US" w:eastAsia="zh-CN"/>
              </w:rPr>
              <w:t>要求</w:t>
            </w:r>
            <w:r>
              <w:rPr>
                <w:rFonts w:hint="eastAsia" w:ascii="宋体" w:hAnsi="宋体"/>
                <w:iCs/>
                <w:color w:val="auto"/>
                <w:szCs w:val="21"/>
                <w:highlight w:val="none"/>
                <w:u w:val="none"/>
                <w:lang w:eastAsia="zh-CN"/>
              </w:rPr>
              <w:t>）</w:t>
            </w:r>
          </w:p>
          <w:p>
            <w:pPr>
              <w:autoSpaceDE/>
              <w:autoSpaceDN/>
              <w:adjustRightInd/>
              <w:snapToGrid w:val="0"/>
              <w:spacing w:line="324" w:lineRule="auto"/>
              <w:ind w:firstLine="420" w:firstLineChars="200"/>
              <w:rPr>
                <w:rFonts w:ascii="宋体" w:hAnsi="宋体"/>
                <w:szCs w:val="21"/>
                <w:highlight w:val="none"/>
              </w:rPr>
            </w:pPr>
            <w:r>
              <w:rPr>
                <w:rFonts w:hint="eastAsia" w:ascii="宋体" w:hAnsi="宋体"/>
                <w:kern w:val="0"/>
                <w:szCs w:val="21"/>
                <w:highlight w:val="none"/>
              </w:rPr>
              <w:t>□</w:t>
            </w:r>
            <w:r>
              <w:rPr>
                <w:rFonts w:hint="eastAsia" w:ascii="宋体" w:hAnsi="宋体"/>
                <w:szCs w:val="21"/>
                <w:highlight w:val="none"/>
                <w:lang w:val="en-US" w:eastAsia="zh-CN"/>
              </w:rPr>
              <w:t>④</w:t>
            </w:r>
            <w:r>
              <w:rPr>
                <w:rFonts w:hint="eastAsia" w:ascii="宋体" w:hAnsi="宋体"/>
                <w:szCs w:val="21"/>
                <w:highlight w:val="none"/>
              </w:rPr>
              <w:t>工程规模：</w:t>
            </w:r>
            <w:r>
              <w:rPr>
                <w:rFonts w:hint="eastAsia" w:ascii="宋体" w:hAnsi="宋体"/>
                <w:szCs w:val="21"/>
                <w:highlight w:val="none"/>
                <w:u w:val="single"/>
              </w:rPr>
              <w:t xml:space="preserve">                     </w:t>
            </w:r>
          </w:p>
          <w:p>
            <w:pPr>
              <w:autoSpaceDE/>
              <w:autoSpaceDN/>
              <w:adjustRightInd/>
              <w:snapToGrid w:val="0"/>
              <w:spacing w:line="324" w:lineRule="auto"/>
              <w:ind w:firstLine="420" w:firstLineChars="200"/>
              <w:rPr>
                <w:rFonts w:ascii="宋体" w:hAnsi="宋体"/>
                <w:i/>
                <w:szCs w:val="21"/>
                <w:highlight w:val="none"/>
              </w:rPr>
            </w:pPr>
            <w:r>
              <w:rPr>
                <w:rFonts w:hint="eastAsia" w:ascii="宋体" w:hAnsi="宋体"/>
                <w:i/>
                <w:szCs w:val="21"/>
                <w:highlight w:val="none"/>
              </w:rPr>
              <w:t>[提示：根据招标项目实际情况选用。]</w:t>
            </w:r>
          </w:p>
          <w:p>
            <w:pPr>
              <w:snapToGrid w:val="0"/>
              <w:spacing w:line="324" w:lineRule="auto"/>
              <w:ind w:firstLine="420" w:firstLineChars="200"/>
              <w:rPr>
                <w:rFonts w:ascii="Times New Roman" w:hAnsi="Times New Roman"/>
                <w:szCs w:val="24"/>
                <w:highlight w:val="none"/>
              </w:rPr>
            </w:pPr>
            <w:r>
              <w:rPr>
                <w:rFonts w:hint="eastAsia" w:ascii="宋体" w:hAnsi="宋体"/>
                <w:szCs w:val="21"/>
                <w:highlight w:val="none"/>
                <w:u w:val="none"/>
              </w:rPr>
              <w:t>（</w:t>
            </w:r>
            <w:r>
              <w:rPr>
                <w:rFonts w:ascii="宋体" w:hAnsi="宋体"/>
                <w:szCs w:val="21"/>
                <w:highlight w:val="none"/>
                <w:u w:val="none"/>
              </w:rPr>
              <w:t>3）</w:t>
            </w:r>
            <w:r>
              <w:rPr>
                <w:rFonts w:hint="eastAsia" w:ascii="宋体" w:hAnsi="宋体"/>
                <w:szCs w:val="21"/>
                <w:highlight w:val="none"/>
              </w:rPr>
              <w:t>业绩证明材料按投标人须知前附表第</w:t>
            </w:r>
            <w:r>
              <w:rPr>
                <w:rFonts w:ascii="宋体" w:hAnsi="宋体"/>
                <w:szCs w:val="21"/>
                <w:highlight w:val="none"/>
              </w:rPr>
              <w:t>1.4.1</w:t>
            </w:r>
            <w:r>
              <w:rPr>
                <w:rFonts w:hint="eastAsia" w:ascii="宋体" w:hAnsi="宋体"/>
                <w:szCs w:val="21"/>
                <w:highlight w:val="none"/>
              </w:rPr>
              <w:t>条第</w:t>
            </w:r>
            <w:r>
              <w:rPr>
                <w:rFonts w:ascii="宋体" w:hAnsi="宋体"/>
                <w:szCs w:val="21"/>
                <w:highlight w:val="none"/>
              </w:rPr>
              <w:t>5.</w:t>
            </w:r>
            <w:r>
              <w:rPr>
                <w:rFonts w:hint="eastAsia" w:ascii="宋体" w:hAnsi="宋体"/>
                <w:szCs w:val="21"/>
                <w:highlight w:val="none"/>
                <w:lang w:val="en-US" w:eastAsia="zh-CN"/>
              </w:rPr>
              <w:t>3</w:t>
            </w:r>
            <w:r>
              <w:rPr>
                <w:rFonts w:hint="eastAsia" w:ascii="宋体" w:hAnsi="宋体"/>
                <w:szCs w:val="21"/>
                <w:highlight w:val="none"/>
              </w:rPr>
              <w:t>款</w:t>
            </w:r>
            <w:r>
              <w:rPr>
                <w:rFonts w:hint="eastAsia" w:ascii="宋体" w:hAnsi="宋体"/>
                <w:szCs w:val="21"/>
                <w:highlight w:val="none"/>
                <w:lang w:eastAsia="zh-CN"/>
              </w:rPr>
              <w:t>（</w:t>
            </w:r>
            <w:r>
              <w:rPr>
                <w:rFonts w:hint="eastAsia" w:ascii="宋体" w:hAnsi="宋体"/>
                <w:szCs w:val="21"/>
                <w:highlight w:val="none"/>
                <w:lang w:val="en-US" w:eastAsia="zh-CN"/>
              </w:rPr>
              <w:t>3</w:t>
            </w:r>
            <w:r>
              <w:rPr>
                <w:rFonts w:hint="eastAsia" w:ascii="宋体" w:hAnsi="宋体"/>
                <w:szCs w:val="21"/>
                <w:highlight w:val="none"/>
                <w:lang w:eastAsia="zh-CN"/>
              </w:rPr>
              <w:t>）</w:t>
            </w:r>
            <w:r>
              <w:rPr>
                <w:rFonts w:hint="eastAsia" w:ascii="宋体" w:hAnsi="宋体"/>
                <w:szCs w:val="21"/>
                <w:highlight w:val="none"/>
              </w:rPr>
              <w:t>相关要求提供。投标人须在投标文件商务部分提供业绩证明材料。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right w:val="single" w:color="auto" w:sz="4" w:space="0"/>
            </w:tcBorders>
          </w:tcPr>
          <w:p>
            <w:pPr>
              <w:spacing w:line="440" w:lineRule="exact"/>
              <w:jc w:val="center"/>
              <w:rPr>
                <w:highlight w:val="none"/>
              </w:rPr>
            </w:pPr>
          </w:p>
        </w:tc>
        <w:tc>
          <w:tcPr>
            <w:tcW w:w="1134" w:type="dxa"/>
            <w:vMerge w:val="continue"/>
            <w:tcBorders>
              <w:left w:val="single" w:color="auto" w:sz="4" w:space="0"/>
              <w:right w:val="single" w:color="auto" w:sz="4" w:space="0"/>
            </w:tcBorders>
          </w:tcPr>
          <w:p>
            <w:pPr>
              <w:spacing w:line="440" w:lineRule="exact"/>
              <w:jc w:val="center"/>
              <w:rPr>
                <w:highlight w:val="none"/>
              </w:rPr>
            </w:pPr>
          </w:p>
        </w:tc>
        <w:tc>
          <w:tcPr>
            <w:tcW w:w="661" w:type="dxa"/>
            <w:vMerge w:val="continue"/>
            <w:tcBorders>
              <w:top w:val="single" w:color="auto" w:sz="4" w:space="0"/>
              <w:left w:val="single" w:color="auto" w:sz="4" w:space="0"/>
              <w:right w:val="single" w:color="auto" w:sz="4" w:space="0"/>
            </w:tcBorders>
            <w:vAlign w:val="center"/>
          </w:tcPr>
          <w:p>
            <w:pPr>
              <w:spacing w:line="420" w:lineRule="atLeast"/>
              <w:jc w:val="center"/>
              <w:rPr>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360" w:lineRule="auto"/>
              <w:jc w:val="center"/>
              <w:rPr>
                <w:szCs w:val="22"/>
                <w:highlight w:val="none"/>
              </w:rPr>
            </w:pPr>
            <w:r>
              <w:rPr>
                <w:rFonts w:hint="eastAsia" w:ascii="宋体" w:hAnsi="宋体"/>
                <w:kern w:val="0"/>
                <w:szCs w:val="21"/>
                <w:highlight w:val="none"/>
              </w:rPr>
              <w:t>□</w:t>
            </w:r>
            <w:r>
              <w:rPr>
                <w:szCs w:val="22"/>
                <w:highlight w:val="none"/>
              </w:rPr>
              <w:t>职称</w:t>
            </w:r>
            <w:r>
              <w:rPr>
                <w:rFonts w:hint="eastAsia"/>
                <w:szCs w:val="22"/>
                <w:highlight w:val="none"/>
              </w:rPr>
              <w:t>（或执业）</w:t>
            </w:r>
            <w:r>
              <w:rPr>
                <w:szCs w:val="22"/>
                <w:highlight w:val="none"/>
              </w:rPr>
              <w:t>证书</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324" w:lineRule="auto"/>
              <w:ind w:firstLine="420" w:firstLineChars="200"/>
              <w:rPr>
                <w:rFonts w:hint="eastAsia" w:ascii="宋体" w:hAnsi="宋体"/>
                <w:i/>
                <w:iCs/>
                <w:highlight w:val="none"/>
              </w:rPr>
            </w:pPr>
            <w:r>
              <w:rPr>
                <w:rFonts w:hint="eastAsia" w:ascii="宋体" w:hAnsi="宋体"/>
                <w:i/>
                <w:iCs/>
                <w:highlight w:val="none"/>
              </w:rPr>
              <w:t>[提示：勘察合同金额300万（不含）以下的不设置该加分项；勘察合同金额300-600万（不含）的，用于商务部分评分的项目负责人执业资格个数不超过1个；勘察合同金额600万以上的，用于商务部分评分的项目负责人执业资格个数不超过2个。项目负责人执业资格总分值设置不超过2分。]</w:t>
            </w:r>
          </w:p>
          <w:p>
            <w:pPr>
              <w:suppressLineNumbers w:val="0"/>
              <w:suppressAutoHyphens w:val="0"/>
              <w:spacing w:line="324" w:lineRule="auto"/>
              <w:ind w:firstLine="420" w:firstLineChars="200"/>
              <w:rPr>
                <w:rFonts w:hint="eastAsia" w:ascii="宋体" w:hAnsi="宋体"/>
                <w:i w:val="0"/>
                <w:iCs w:val="0"/>
                <w:highlight w:val="none"/>
              </w:rPr>
            </w:pPr>
            <w:r>
              <w:rPr>
                <w:rFonts w:hint="eastAsia" w:ascii="宋体" w:hAnsi="宋体"/>
                <w:i w:val="0"/>
                <w:iCs w:val="0"/>
                <w:highlight w:val="none"/>
              </w:rPr>
              <w:t>□拟派的项目负责人每具备1个</w:t>
            </w:r>
            <w:r>
              <w:rPr>
                <w:rFonts w:hint="eastAsia" w:ascii="宋体" w:hAnsi="宋体"/>
                <w:i w:val="0"/>
                <w:iCs w:val="0"/>
                <w:highlight w:val="none"/>
                <w:u w:val="single"/>
              </w:rPr>
              <w:t xml:space="preserve">        </w:t>
            </w:r>
            <w:r>
              <w:rPr>
                <w:rFonts w:hint="eastAsia" w:ascii="宋体" w:hAnsi="宋体"/>
                <w:i w:val="0"/>
                <w:iCs w:val="0"/>
                <w:highlight w:val="none"/>
              </w:rPr>
              <w:t>执业资格并已在投标人本单位注册执业，得</w:t>
            </w:r>
            <w:r>
              <w:rPr>
                <w:rFonts w:hint="eastAsia" w:ascii="宋体" w:hAnsi="宋体"/>
                <w:i w:val="0"/>
                <w:iCs w:val="0"/>
                <w:highlight w:val="none"/>
                <w:u w:val="single"/>
              </w:rPr>
              <w:t xml:space="preserve">    </w:t>
            </w:r>
            <w:r>
              <w:rPr>
                <w:rFonts w:hint="eastAsia" w:ascii="宋体" w:hAnsi="宋体"/>
                <w:i w:val="0"/>
                <w:iCs w:val="0"/>
                <w:highlight w:val="none"/>
              </w:rPr>
              <w:t>分。最多得</w:t>
            </w:r>
            <w:r>
              <w:rPr>
                <w:rFonts w:hint="eastAsia" w:ascii="宋体" w:hAnsi="宋体"/>
                <w:i w:val="0"/>
                <w:iCs w:val="0"/>
                <w:highlight w:val="none"/>
                <w:u w:val="single"/>
              </w:rPr>
              <w:t xml:space="preserve">    </w:t>
            </w:r>
            <w:r>
              <w:rPr>
                <w:rFonts w:hint="eastAsia" w:ascii="宋体" w:hAnsi="宋体"/>
                <w:i w:val="0"/>
                <w:iCs w:val="0"/>
                <w:highlight w:val="none"/>
              </w:rPr>
              <w:t>分。</w:t>
            </w:r>
          </w:p>
          <w:p>
            <w:pPr>
              <w:snapToGrid w:val="0"/>
              <w:spacing w:line="400" w:lineRule="exact"/>
              <w:ind w:firstLine="420" w:firstLineChars="200"/>
              <w:rPr>
                <w:rFonts w:hint="default" w:ascii="Times New Roman" w:hAnsi="Times New Roman"/>
                <w:i w:val="0"/>
                <w:iCs w:val="0"/>
                <w:highlight w:val="none"/>
              </w:rPr>
            </w:pPr>
            <w:r>
              <w:rPr>
                <w:rFonts w:hint="eastAsia" w:ascii="宋体" w:hAnsi="宋体"/>
                <w:u w:val="none"/>
              </w:rPr>
              <w:t>注：同一注册执业资格证书有多个注册专业的，视为一个注册执业资格证书。</w:t>
            </w:r>
          </w:p>
          <w:p>
            <w:pPr>
              <w:suppressLineNumbers w:val="0"/>
              <w:suppressAutoHyphens w:val="0"/>
              <w:spacing w:line="324" w:lineRule="auto"/>
              <w:ind w:firstLine="420" w:firstLineChars="200"/>
              <w:rPr>
                <w:rFonts w:hint="eastAsia" w:ascii="宋体" w:hAnsi="宋体"/>
                <w:i/>
                <w:iCs/>
                <w:highlight w:val="none"/>
              </w:rPr>
            </w:pPr>
            <w:r>
              <w:rPr>
                <w:rFonts w:hint="eastAsia" w:ascii="宋体" w:hAnsi="宋体"/>
                <w:i/>
                <w:iCs/>
                <w:highlight w:val="none"/>
              </w:rPr>
              <w:t>[提示：用于商务部分评分的拟派项目负责人职称的分值不超过2分。]</w:t>
            </w:r>
          </w:p>
          <w:p>
            <w:pPr>
              <w:suppressLineNumbers w:val="0"/>
              <w:suppressAutoHyphens w:val="0"/>
              <w:spacing w:line="324" w:lineRule="auto"/>
              <w:ind w:firstLine="420" w:firstLineChars="200"/>
              <w:rPr>
                <w:rFonts w:hint="eastAsia" w:ascii="宋体" w:hAnsi="宋体"/>
                <w:i w:val="0"/>
                <w:iCs w:val="0"/>
                <w:highlight w:val="none"/>
              </w:rPr>
            </w:pPr>
            <w:r>
              <w:rPr>
                <w:rFonts w:hint="eastAsia" w:ascii="宋体" w:hAnsi="宋体"/>
                <w:i w:val="0"/>
                <w:iCs w:val="0"/>
                <w:highlight w:val="none"/>
              </w:rPr>
              <w:t>□拟派的项目负责人具备</w:t>
            </w:r>
            <w:r>
              <w:rPr>
                <w:rFonts w:hint="eastAsia" w:ascii="宋体" w:hAnsi="宋体"/>
                <w:i w:val="0"/>
                <w:iCs w:val="0"/>
                <w:highlight w:val="none"/>
                <w:u w:val="single"/>
              </w:rPr>
              <w:t xml:space="preserve">   </w:t>
            </w:r>
            <w:r>
              <w:rPr>
                <w:rFonts w:hint="eastAsia" w:ascii="宋体" w:hAnsi="宋体"/>
                <w:i w:val="0"/>
                <w:iCs w:val="0"/>
                <w:highlight w:val="none"/>
              </w:rPr>
              <w:t>级及以上（□</w:t>
            </w:r>
            <w:r>
              <w:rPr>
                <w:rFonts w:hint="eastAsia" w:ascii="宋体" w:hAnsi="宋体"/>
                <w:i w:val="0"/>
                <w:iCs w:val="0"/>
                <w:highlight w:val="none"/>
                <w:u w:val="single"/>
              </w:rPr>
              <w:t xml:space="preserve">   </w:t>
            </w:r>
            <w:r>
              <w:rPr>
                <w:rFonts w:hint="eastAsia" w:ascii="宋体" w:hAnsi="宋体"/>
                <w:i w:val="0"/>
                <w:iCs w:val="0"/>
                <w:highlight w:val="none"/>
              </w:rPr>
              <w:t>专业）技术职称的，得</w:t>
            </w:r>
            <w:r>
              <w:rPr>
                <w:rFonts w:hint="eastAsia" w:ascii="宋体" w:hAnsi="宋体"/>
                <w:i w:val="0"/>
                <w:iCs w:val="0"/>
                <w:highlight w:val="none"/>
                <w:u w:val="single"/>
              </w:rPr>
              <w:t xml:space="preserve">    </w:t>
            </w:r>
            <w:r>
              <w:rPr>
                <w:rFonts w:hint="eastAsia" w:ascii="宋体" w:hAnsi="宋体"/>
                <w:i w:val="0"/>
                <w:iCs w:val="0"/>
                <w:highlight w:val="none"/>
              </w:rPr>
              <w:t>分。</w:t>
            </w:r>
          </w:p>
          <w:p>
            <w:pPr>
              <w:suppressLineNumbers w:val="0"/>
              <w:suppressAutoHyphens w:val="0"/>
              <w:snapToGrid w:val="0"/>
              <w:spacing w:line="324" w:lineRule="auto"/>
              <w:ind w:firstLine="420" w:firstLineChars="200"/>
              <w:rPr>
                <w:rFonts w:ascii="宋体" w:hAnsi="宋体"/>
                <w:szCs w:val="22"/>
                <w:highlight w:val="none"/>
              </w:rPr>
            </w:pPr>
            <w:r>
              <w:rPr>
                <w:rFonts w:hint="eastAsia" w:ascii="宋体" w:hAnsi="宋体"/>
                <w:i w:val="0"/>
                <w:iCs w:val="0"/>
                <w:highlight w:val="none"/>
              </w:rPr>
              <w:t>投标人须在投标文件商务部分提供有效的拟派项目负责人相应的□注册证（国家未开展注册工作的，投标人提供执业资格证书即可；注册证书未载明注册执业单位的，注册执业单位以养老保险证明材料为准）、□职称证（若要求技术职称专业但职称证书无法体现专业的，可以提供学历证书或注册证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right w:val="single" w:color="auto" w:sz="4" w:space="0"/>
            </w:tcBorders>
          </w:tcPr>
          <w:p>
            <w:pPr>
              <w:spacing w:line="440" w:lineRule="exact"/>
              <w:jc w:val="center"/>
              <w:rPr>
                <w:highlight w:val="none"/>
              </w:rPr>
            </w:pPr>
          </w:p>
        </w:tc>
        <w:tc>
          <w:tcPr>
            <w:tcW w:w="1134" w:type="dxa"/>
            <w:vMerge w:val="continue"/>
            <w:tcBorders>
              <w:left w:val="single" w:color="auto" w:sz="4" w:space="0"/>
              <w:right w:val="single" w:color="auto" w:sz="4" w:space="0"/>
            </w:tcBorders>
          </w:tcPr>
          <w:p>
            <w:pPr>
              <w:spacing w:line="440" w:lineRule="exact"/>
              <w:jc w:val="center"/>
              <w:rPr>
                <w:highlight w:val="none"/>
              </w:rPr>
            </w:pPr>
          </w:p>
        </w:tc>
        <w:tc>
          <w:tcPr>
            <w:tcW w:w="661" w:type="dxa"/>
            <w:vMerge w:val="restart"/>
            <w:tcBorders>
              <w:top w:val="single" w:color="auto" w:sz="4" w:space="0"/>
              <w:left w:val="single" w:color="auto" w:sz="4" w:space="0"/>
              <w:right w:val="single" w:color="auto" w:sz="4" w:space="0"/>
            </w:tcBorders>
            <w:vAlign w:val="center"/>
          </w:tcPr>
          <w:p>
            <w:pPr>
              <w:spacing w:line="420" w:lineRule="atLeast"/>
              <w:jc w:val="center"/>
              <w:rPr>
                <w:szCs w:val="22"/>
                <w:highlight w:val="none"/>
              </w:rPr>
            </w:pPr>
            <w:r>
              <w:rPr>
                <w:rFonts w:hint="eastAsia" w:ascii="宋体" w:hAnsi="宋体"/>
                <w:kern w:val="0"/>
                <w:szCs w:val="21"/>
                <w:highlight w:val="none"/>
              </w:rPr>
              <w:t>□</w:t>
            </w:r>
            <w:r>
              <w:rPr>
                <w:rFonts w:hint="eastAsia" w:ascii="宋体" w:hAnsi="宋体"/>
                <w:kern w:val="0"/>
                <w:szCs w:val="21"/>
                <w:highlight w:val="none"/>
                <w:lang w:val="en-US" w:eastAsia="zh-CN"/>
              </w:rPr>
              <w:t>拟派勘察团队</w:t>
            </w:r>
            <w:r>
              <w:rPr>
                <w:rFonts w:hint="eastAsia"/>
                <w:highlight w:val="none"/>
              </w:rPr>
              <w:t>其他主要人员资历</w:t>
            </w:r>
          </w:p>
        </w:tc>
        <w:tc>
          <w:tcPr>
            <w:tcW w:w="1058"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20" w:lineRule="atLeast"/>
              <w:jc w:val="center"/>
              <w:rPr>
                <w:szCs w:val="22"/>
                <w:highlight w:val="none"/>
              </w:rPr>
            </w:pPr>
            <w:r>
              <w:rPr>
                <w:rFonts w:hint="eastAsia" w:ascii="宋体" w:hAnsi="宋体"/>
                <w:kern w:val="0"/>
                <w:szCs w:val="21"/>
                <w:highlight w:val="none"/>
              </w:rPr>
              <w:t>□</w:t>
            </w:r>
            <w:r>
              <w:rPr>
                <w:szCs w:val="22"/>
                <w:highlight w:val="none"/>
              </w:rPr>
              <w:t>类似业绩</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360" w:lineRule="auto"/>
              <w:ind w:firstLine="420" w:firstLineChars="200"/>
              <w:rPr>
                <w:rFonts w:hint="eastAsia" w:ascii="宋体" w:hAnsi="宋体"/>
                <w:i/>
                <w:iCs/>
                <w:highlight w:val="none"/>
              </w:rPr>
            </w:pPr>
            <w:r>
              <w:rPr>
                <w:rFonts w:hint="eastAsia" w:ascii="宋体" w:hAnsi="宋体"/>
                <w:i/>
                <w:iCs/>
                <w:highlight w:val="none"/>
              </w:rPr>
              <w:t>[提示：①用于商务部分评分的单个人员的业绩个数每人不宜超过2个。②当投标人须知前附表第1.4.1项中“6.其他要求-（1）其他拟派主要人员要求”选择方式二时，可以设置各专业勘察负责人业绩进行评分，但考察的各专业勘察负责人的人数之和不得超过投标人须知前附表第1.4.1项中列出各专业勘察负责人人数总和的50%。③考察的各专业勘察负责人应是通过资格审查的相应人员。]</w:t>
            </w:r>
          </w:p>
          <w:p>
            <w:pPr>
              <w:suppressLineNumbers w:val="0"/>
              <w:suppressAutoHyphens w:val="0"/>
              <w:spacing w:line="360" w:lineRule="auto"/>
              <w:ind w:firstLine="420" w:firstLineChars="200"/>
              <w:rPr>
                <w:rFonts w:hint="eastAsia" w:ascii="宋体" w:hAnsi="宋体"/>
                <w:i w:val="0"/>
                <w:iCs w:val="0"/>
                <w:highlight w:val="none"/>
              </w:rPr>
            </w:pPr>
            <w:r>
              <w:rPr>
                <w:rFonts w:hint="eastAsia" w:ascii="宋体" w:hAnsi="宋体"/>
                <w:i w:val="0"/>
                <w:iCs w:val="0"/>
                <w:highlight w:val="none"/>
              </w:rPr>
              <w:t>拟派</w:t>
            </w:r>
            <w:r>
              <w:rPr>
                <w:rFonts w:hint="eastAsia" w:ascii="宋体" w:hAnsi="宋体"/>
                <w:i w:val="0"/>
                <w:iCs w:val="0"/>
                <w:highlight w:val="none"/>
                <w:u w:val="single"/>
              </w:rPr>
              <w:t xml:space="preserve">      </w:t>
            </w:r>
            <w:r>
              <w:rPr>
                <w:rFonts w:hint="eastAsia" w:ascii="宋体" w:hAnsi="宋体"/>
                <w:i w:val="0"/>
                <w:iCs w:val="0"/>
                <w:highlight w:val="none"/>
              </w:rPr>
              <w:t>专业勘察负责人每具有1个满足下列要求的业绩得</w:t>
            </w:r>
            <w:r>
              <w:rPr>
                <w:rFonts w:hint="eastAsia" w:ascii="宋体" w:hAnsi="宋体"/>
                <w:i w:val="0"/>
                <w:iCs w:val="0"/>
                <w:highlight w:val="none"/>
                <w:u w:val="single"/>
              </w:rPr>
              <w:t xml:space="preserve">   </w:t>
            </w:r>
            <w:r>
              <w:rPr>
                <w:rFonts w:hint="eastAsia" w:ascii="宋体" w:hAnsi="宋体"/>
                <w:i w:val="0"/>
                <w:iCs w:val="0"/>
                <w:highlight w:val="none"/>
              </w:rPr>
              <w:t>分，每人业绩最多得</w:t>
            </w:r>
            <w:r>
              <w:rPr>
                <w:rFonts w:hint="eastAsia" w:ascii="宋体" w:hAnsi="宋体"/>
                <w:i w:val="0"/>
                <w:iCs w:val="0"/>
                <w:highlight w:val="none"/>
                <w:u w:val="single"/>
              </w:rPr>
              <w:t xml:space="preserve">   </w:t>
            </w:r>
            <w:r>
              <w:rPr>
                <w:rFonts w:hint="eastAsia" w:ascii="宋体" w:hAnsi="宋体"/>
                <w:i w:val="0"/>
                <w:iCs w:val="0"/>
                <w:highlight w:val="none"/>
              </w:rPr>
              <w:t>分，本项最多得</w:t>
            </w:r>
            <w:r>
              <w:rPr>
                <w:rFonts w:hint="eastAsia" w:ascii="宋体" w:hAnsi="宋体"/>
                <w:i w:val="0"/>
                <w:iCs w:val="0"/>
                <w:highlight w:val="none"/>
                <w:u w:val="single"/>
              </w:rPr>
              <w:t xml:space="preserve">    </w:t>
            </w:r>
            <w:r>
              <w:rPr>
                <w:rFonts w:hint="eastAsia" w:ascii="宋体" w:hAnsi="宋体"/>
                <w:i w:val="0"/>
                <w:iCs w:val="0"/>
                <w:highlight w:val="none"/>
              </w:rPr>
              <w:t>分。</w:t>
            </w:r>
          </w:p>
          <w:p>
            <w:pPr>
              <w:suppressLineNumbers w:val="0"/>
              <w:suppressAutoHyphens w:val="0"/>
              <w:spacing w:line="360" w:lineRule="auto"/>
              <w:ind w:firstLine="420" w:firstLineChars="200"/>
              <w:rPr>
                <w:rFonts w:hint="eastAsia" w:ascii="宋体" w:hAnsi="宋体"/>
                <w:i w:val="0"/>
                <w:iCs w:val="0"/>
                <w:highlight w:val="none"/>
              </w:rPr>
            </w:pPr>
            <w:r>
              <w:rPr>
                <w:rFonts w:hint="eastAsia" w:ascii="宋体" w:hAnsi="宋体"/>
                <w:i w:val="0"/>
                <w:iCs w:val="0"/>
                <w:highlight w:val="none"/>
              </w:rPr>
              <w:t>（1）业绩时间要求：</w:t>
            </w:r>
          </w:p>
          <w:p>
            <w:pPr>
              <w:suppressLineNumbers w:val="0"/>
              <w:suppressAutoHyphens w:val="0"/>
              <w:spacing w:line="360" w:lineRule="auto"/>
              <w:ind w:firstLine="420" w:firstLineChars="200"/>
              <w:rPr>
                <w:rFonts w:hint="eastAsia" w:ascii="宋体" w:hAnsi="宋体"/>
                <w:i w:val="0"/>
                <w:iCs w:val="0"/>
                <w:highlight w:val="none"/>
              </w:rPr>
            </w:pPr>
            <w:r>
              <w:rPr>
                <w:rFonts w:hint="eastAsia" w:ascii="宋体" w:hAnsi="宋体"/>
                <w:i w:val="0"/>
                <w:iCs w:val="0"/>
                <w:highlight w:val="none"/>
              </w:rPr>
              <w:t>拟派专业勘察负责人在</w:t>
            </w:r>
            <w:r>
              <w:rPr>
                <w:rFonts w:hint="eastAsia" w:ascii="宋体" w:hAnsi="宋体"/>
                <w:i w:val="0"/>
                <w:iCs w:val="0"/>
                <w:highlight w:val="none"/>
                <w:u w:val="single"/>
              </w:rPr>
              <w:t xml:space="preserve">    </w:t>
            </w:r>
            <w:r>
              <w:rPr>
                <w:rFonts w:hint="eastAsia" w:ascii="宋体" w:hAnsi="宋体"/>
                <w:i w:val="0"/>
                <w:iCs w:val="0"/>
                <w:highlight w:val="none"/>
              </w:rPr>
              <w:t>年1月1日起</w:t>
            </w:r>
            <w:r>
              <w:rPr>
                <w:rFonts w:hint="eastAsia" w:ascii="宋体" w:hAnsi="宋体"/>
                <w:i/>
                <w:iCs/>
                <w:highlight w:val="none"/>
              </w:rPr>
              <w:t>[提示：指投标截止日前3年、5年或者8年（不包含投标截止日当年），有8年以上要求的可自设]</w:t>
            </w:r>
            <w:r>
              <w:rPr>
                <w:rFonts w:hint="eastAsia" w:ascii="宋体" w:hAnsi="宋体"/>
                <w:i w:val="0"/>
                <w:iCs w:val="0"/>
                <w:highlight w:val="none"/>
              </w:rPr>
              <w:t>至投标截止日止（以经施工图审查机构出具的勘察文件审查合格证明文件的时间为准，单独的测量项目以业主证明的测量报告出具时间为准），具有下列已完成类似业绩之一：①在1个类似勘察业绩中担任相应</w:t>
            </w:r>
            <w:r>
              <w:rPr>
                <w:rFonts w:hint="eastAsia" w:ascii="宋体" w:hAnsi="宋体"/>
                <w:i w:val="0"/>
                <w:iCs w:val="0"/>
                <w:highlight w:val="none"/>
                <w:u w:val="single"/>
              </w:rPr>
              <w:t>专业勘察负责人（或项目负责人或勘察负责人）</w:t>
            </w:r>
            <w:r>
              <w:rPr>
                <w:rFonts w:hint="eastAsia" w:ascii="宋体" w:hAnsi="宋体"/>
                <w:i w:val="0"/>
                <w:iCs w:val="0"/>
                <w:highlight w:val="none"/>
              </w:rPr>
              <w:t>；②在1个包含类似勘察工作的工程总承包业绩中担任相应</w:t>
            </w:r>
            <w:r>
              <w:rPr>
                <w:rFonts w:hint="eastAsia" w:ascii="宋体" w:hAnsi="宋体"/>
                <w:i w:val="0"/>
                <w:iCs w:val="0"/>
                <w:highlight w:val="none"/>
                <w:u w:val="single"/>
              </w:rPr>
              <w:t>专业勘察负责人（或勘察负责人）</w:t>
            </w:r>
            <w:r>
              <w:rPr>
                <w:rFonts w:hint="eastAsia" w:ascii="宋体" w:hAnsi="宋体"/>
                <w:i w:val="0"/>
                <w:iCs w:val="0"/>
                <w:highlight w:val="none"/>
              </w:rPr>
              <w:t>；③在1个包含类似勘察工作的工程勘察设计业绩中担任相应</w:t>
            </w:r>
            <w:r>
              <w:rPr>
                <w:rFonts w:hint="eastAsia" w:ascii="宋体" w:hAnsi="宋体"/>
                <w:i w:val="0"/>
                <w:iCs w:val="0"/>
                <w:highlight w:val="none"/>
                <w:u w:val="single"/>
              </w:rPr>
              <w:t>专业勘察负责人（或勘察负责人）</w:t>
            </w:r>
            <w:r>
              <w:rPr>
                <w:rFonts w:hint="eastAsia" w:ascii="宋体" w:hAnsi="宋体"/>
                <w:i w:val="0"/>
                <w:iCs w:val="0"/>
                <w:highlight w:val="none"/>
              </w:rPr>
              <w:t>；④在1个包含类似勘察工作的工程全过程咨询业绩中担任相应</w:t>
            </w:r>
            <w:r>
              <w:rPr>
                <w:rFonts w:hint="eastAsia" w:ascii="宋体" w:hAnsi="宋体"/>
                <w:i w:val="0"/>
                <w:iCs w:val="0"/>
                <w:highlight w:val="none"/>
                <w:u w:val="single"/>
              </w:rPr>
              <w:t>专业勘察负责人（或勘察负责人）</w:t>
            </w:r>
            <w:r>
              <w:rPr>
                <w:rFonts w:hint="eastAsia" w:ascii="宋体" w:hAnsi="宋体"/>
                <w:i w:val="0"/>
                <w:iCs w:val="0"/>
                <w:highlight w:val="none"/>
              </w:rPr>
              <w:t>。</w:t>
            </w:r>
          </w:p>
          <w:p>
            <w:pPr>
              <w:suppressLineNumbers w:val="0"/>
              <w:suppressAutoHyphens w:val="0"/>
              <w:spacing w:line="360" w:lineRule="auto"/>
              <w:ind w:firstLine="420" w:firstLineChars="200"/>
              <w:rPr>
                <w:rFonts w:hint="eastAsia" w:ascii="宋体" w:hAnsi="宋体"/>
                <w:i w:val="0"/>
                <w:iCs w:val="0"/>
                <w:highlight w:val="none"/>
              </w:rPr>
            </w:pPr>
            <w:r>
              <w:rPr>
                <w:rFonts w:hint="eastAsia" w:ascii="宋体" w:hAnsi="宋体"/>
                <w:i w:val="0"/>
                <w:iCs w:val="0"/>
                <w:highlight w:val="none"/>
              </w:rPr>
              <w:t>（2）业绩规模要求：</w:t>
            </w:r>
          </w:p>
          <w:p>
            <w:pPr>
              <w:suppressLineNumbers w:val="0"/>
              <w:suppressAutoHyphens w:val="0"/>
              <w:spacing w:line="360" w:lineRule="auto"/>
              <w:ind w:firstLine="420" w:firstLineChars="200"/>
              <w:rPr>
                <w:rFonts w:hint="eastAsia" w:ascii="宋体" w:hAnsi="宋体"/>
                <w:i/>
                <w:iCs/>
                <w:highlight w:val="none"/>
              </w:rPr>
            </w:pPr>
            <w:r>
              <w:rPr>
                <w:rFonts w:hint="eastAsia" w:ascii="宋体" w:hAnsi="宋体"/>
                <w:i/>
                <w:iCs/>
                <w:highlight w:val="none"/>
              </w:rPr>
              <w:t>[提示：下列工程类别、勘察类别只能选择其一进行设置]</w:t>
            </w:r>
          </w:p>
          <w:p>
            <w:pPr>
              <w:suppressLineNumbers w:val="0"/>
              <w:suppressAutoHyphens w:val="0"/>
              <w:spacing w:line="360" w:lineRule="auto"/>
              <w:ind w:firstLine="420" w:firstLineChars="200"/>
              <w:rPr>
                <w:rFonts w:hint="eastAsia" w:ascii="宋体" w:hAnsi="宋体"/>
                <w:i w:val="0"/>
                <w:iCs w:val="0"/>
                <w:highlight w:val="none"/>
                <w:u w:val="single"/>
              </w:rPr>
            </w:pPr>
            <w:r>
              <w:rPr>
                <w:rFonts w:hint="eastAsia" w:ascii="宋体" w:hAnsi="宋体"/>
                <w:i w:val="0"/>
                <w:iCs w:val="0"/>
                <w:highlight w:val="none"/>
              </w:rPr>
              <w:t>□①工程类别：</w:t>
            </w:r>
            <w:r>
              <w:rPr>
                <w:rFonts w:hint="eastAsia" w:ascii="宋体" w:hAnsi="宋体"/>
                <w:i w:val="0"/>
                <w:iCs w:val="0"/>
                <w:highlight w:val="none"/>
                <w:u w:val="single"/>
              </w:rPr>
              <w:t xml:space="preserve">               </w:t>
            </w:r>
          </w:p>
          <w:p>
            <w:pPr>
              <w:autoSpaceDE w:val="0"/>
              <w:autoSpaceDN w:val="0"/>
              <w:adjustRightInd w:val="0"/>
              <w:snapToGrid w:val="0"/>
              <w:spacing w:line="360" w:lineRule="auto"/>
              <w:ind w:firstLine="420" w:firstLineChars="200"/>
              <w:rPr>
                <w:rFonts w:hint="eastAsia" w:ascii="宋体" w:hAnsi="宋体"/>
                <w:szCs w:val="21"/>
                <w:highlight w:val="none"/>
              </w:rPr>
            </w:pPr>
            <w:r>
              <w:rPr>
                <w:rFonts w:hint="eastAsia" w:ascii="宋体" w:hAnsi="宋体"/>
                <w:i w:val="0"/>
                <w:iCs w:val="0"/>
                <w:highlight w:val="none"/>
              </w:rPr>
              <w:t>□②勘察类别：</w:t>
            </w:r>
            <w:r>
              <w:rPr>
                <w:rFonts w:hint="eastAsia" w:ascii="宋体" w:hAnsi="宋体"/>
                <w:i w:val="0"/>
                <w:iCs w:val="0"/>
                <w:highlight w:val="none"/>
                <w:u w:val="single"/>
              </w:rPr>
              <w:t xml:space="preserve">               </w:t>
            </w:r>
          </w:p>
          <w:p>
            <w:pPr>
              <w:autoSpaceDE w:val="0"/>
              <w:autoSpaceDN w:val="0"/>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若同时设置了项目金额和工程规模要求，则只须满足其中之一：</w:t>
            </w:r>
          </w:p>
          <w:p>
            <w:pPr>
              <w:autoSpaceDE w:val="0"/>
              <w:autoSpaceDN w:val="0"/>
              <w:adjustRightInd w:val="0"/>
              <w:snapToGrid w:val="0"/>
              <w:spacing w:line="360" w:lineRule="auto"/>
              <w:ind w:firstLine="420" w:firstLineChars="200"/>
              <w:rPr>
                <w:rFonts w:ascii="宋体" w:hAnsi="宋体"/>
                <w:szCs w:val="21"/>
                <w:highlight w:val="none"/>
                <w:u w:val="single"/>
              </w:rPr>
            </w:pPr>
            <w:r>
              <w:rPr>
                <w:rFonts w:hint="eastAsia" w:ascii="宋体" w:hAnsi="宋体"/>
                <w:szCs w:val="21"/>
                <w:highlight w:val="none"/>
              </w:rPr>
              <w:t>□③项目金额（若同时设置了以下两种及以上金额要求，则只须满足其中之一）</w:t>
            </w:r>
          </w:p>
          <w:p>
            <w:pPr>
              <w:autoSpaceDE w:val="0"/>
              <w:autoSpaceDN w:val="0"/>
              <w:adjustRightInd w:val="0"/>
              <w:snapToGrid w:val="0"/>
              <w:spacing w:line="360" w:lineRule="auto"/>
              <w:ind w:firstLine="840" w:firstLineChars="400"/>
              <w:rPr>
                <w:rFonts w:hint="eastAsia" w:ascii="宋体" w:hAnsi="宋体"/>
                <w:szCs w:val="21"/>
                <w:highlight w:val="none"/>
                <w:u w:val="single"/>
              </w:rPr>
            </w:pPr>
            <w:r>
              <w:rPr>
                <w:rFonts w:hint="eastAsia" w:ascii="宋体" w:hAnsi="宋体"/>
                <w:szCs w:val="21"/>
                <w:highlight w:val="none"/>
              </w:rPr>
              <w:t>□</w:t>
            </w:r>
            <w:r>
              <w:rPr>
                <w:rFonts w:hint="eastAsia" w:ascii="宋体" w:hAnsi="宋体"/>
                <w:szCs w:val="21"/>
                <w:highlight w:val="none"/>
                <w:lang w:val="en-US" w:eastAsia="zh-CN"/>
              </w:rPr>
              <w:t>项目</w:t>
            </w:r>
            <w:r>
              <w:rPr>
                <w:rFonts w:hint="eastAsia" w:ascii="宋体" w:hAnsi="宋体"/>
                <w:szCs w:val="21"/>
                <w:highlight w:val="none"/>
              </w:rPr>
              <w:t>投资估算金额：</w:t>
            </w:r>
            <w:r>
              <w:rPr>
                <w:rFonts w:hint="eastAsia" w:ascii="宋体" w:hAnsi="宋体"/>
                <w:szCs w:val="21"/>
                <w:highlight w:val="none"/>
                <w:u w:val="single"/>
              </w:rPr>
              <w:t xml:space="preserve">                         </w:t>
            </w:r>
          </w:p>
          <w:p>
            <w:pPr>
              <w:autoSpaceDE w:val="0"/>
              <w:autoSpaceDN w:val="0"/>
              <w:adjustRightInd w:val="0"/>
              <w:snapToGrid w:val="0"/>
              <w:spacing w:line="360" w:lineRule="auto"/>
              <w:ind w:firstLine="840" w:firstLineChars="400"/>
              <w:rPr>
                <w:rFonts w:hint="eastAsia" w:ascii="宋体" w:hAnsi="宋体"/>
                <w:iCs/>
                <w:szCs w:val="21"/>
                <w:highlight w:val="none"/>
              </w:rPr>
            </w:pPr>
            <w:r>
              <w:rPr>
                <w:rFonts w:hint="eastAsia" w:ascii="宋体" w:hAnsi="宋体"/>
                <w:szCs w:val="21"/>
                <w:highlight w:val="none"/>
              </w:rPr>
              <w:t>□</w:t>
            </w:r>
            <w:r>
              <w:rPr>
                <w:rFonts w:hint="eastAsia" w:ascii="宋体" w:hAnsi="宋体"/>
                <w:iCs/>
                <w:szCs w:val="21"/>
                <w:highlight w:val="none"/>
              </w:rPr>
              <w:t>工程费估算金额</w:t>
            </w:r>
            <w:r>
              <w:rPr>
                <w:rFonts w:hint="eastAsia" w:ascii="宋体" w:hAnsi="宋体"/>
                <w:szCs w:val="21"/>
                <w:highlight w:val="none"/>
              </w:rPr>
              <w:t>：</w:t>
            </w:r>
            <w:r>
              <w:rPr>
                <w:rFonts w:hint="eastAsia" w:ascii="宋体" w:hAnsi="宋体"/>
                <w:szCs w:val="21"/>
                <w:highlight w:val="none"/>
                <w:u w:val="single"/>
              </w:rPr>
              <w:t xml:space="preserve">                   </w:t>
            </w:r>
          </w:p>
          <w:p>
            <w:pPr>
              <w:autoSpaceDE/>
              <w:autoSpaceDN/>
              <w:adjustRightInd/>
              <w:snapToGrid/>
              <w:spacing w:line="360" w:lineRule="auto"/>
              <w:ind w:firstLine="840" w:firstLineChars="400"/>
              <w:rPr>
                <w:rFonts w:ascii="宋体" w:hAnsi="宋体"/>
                <w:szCs w:val="21"/>
                <w:highlight w:val="none"/>
                <w:u w:val="none"/>
              </w:rPr>
            </w:pPr>
            <w:r>
              <w:rPr>
                <w:rFonts w:hint="eastAsia" w:ascii="宋体" w:hAnsi="宋体"/>
                <w:kern w:val="0"/>
                <w:szCs w:val="21"/>
                <w:highlight w:val="none"/>
              </w:rPr>
              <w:t>□</w:t>
            </w:r>
            <w:r>
              <w:rPr>
                <w:rFonts w:hint="eastAsia" w:ascii="宋体" w:hAnsi="宋体"/>
                <w:szCs w:val="21"/>
                <w:highlight w:val="none"/>
              </w:rPr>
              <w:t>勘察合同估算</w:t>
            </w:r>
            <w:r>
              <w:rPr>
                <w:rFonts w:hint="eastAsia" w:ascii="宋体" w:hAnsi="宋体"/>
                <w:szCs w:val="21"/>
                <w:highlight w:val="none"/>
                <w:lang w:val="en-US" w:eastAsia="zh-CN"/>
              </w:rPr>
              <w:t>金</w:t>
            </w:r>
            <w:r>
              <w:rPr>
                <w:rFonts w:hint="eastAsia" w:ascii="宋体" w:hAnsi="宋体"/>
                <w:szCs w:val="21"/>
                <w:highlight w:val="none"/>
              </w:rPr>
              <w:t>额：</w:t>
            </w:r>
            <w:r>
              <w:rPr>
                <w:rFonts w:hint="eastAsia" w:ascii="宋体" w:hAnsi="宋体"/>
                <w:szCs w:val="21"/>
                <w:highlight w:val="none"/>
                <w:u w:val="single"/>
              </w:rPr>
              <w:t xml:space="preserve">                       </w:t>
            </w:r>
            <w:r>
              <w:rPr>
                <w:rFonts w:hint="eastAsia" w:ascii="宋体" w:hAnsi="宋体"/>
                <w:iCs/>
                <w:color w:val="auto"/>
                <w:szCs w:val="21"/>
                <w:highlight w:val="none"/>
                <w:u w:val="none"/>
                <w:lang w:eastAsia="zh-CN"/>
              </w:rPr>
              <w:t>（注：提供</w:t>
            </w:r>
            <w:r>
              <w:rPr>
                <w:rFonts w:hint="eastAsia" w:ascii="宋体" w:hAnsi="宋体"/>
                <w:color w:val="auto"/>
                <w:szCs w:val="21"/>
                <w:highlight w:val="none"/>
                <w:lang w:val="en-US" w:eastAsia="zh-CN"/>
              </w:rPr>
              <w:t>工程总承包业绩或工程勘察设计业绩或工程全过程咨询业绩</w:t>
            </w:r>
            <w:r>
              <w:rPr>
                <w:rFonts w:hint="eastAsia" w:ascii="宋体" w:hAnsi="宋体"/>
                <w:iCs/>
                <w:color w:val="auto"/>
                <w:szCs w:val="21"/>
                <w:highlight w:val="none"/>
                <w:u w:val="none"/>
                <w:lang w:eastAsia="zh-CN"/>
              </w:rPr>
              <w:t>的，</w:t>
            </w:r>
            <w:r>
              <w:rPr>
                <w:rFonts w:hint="eastAsia" w:ascii="宋体" w:hAnsi="宋体"/>
                <w:iCs/>
                <w:color w:val="auto"/>
                <w:szCs w:val="21"/>
                <w:highlight w:val="none"/>
                <w:u w:val="none"/>
                <w:lang w:val="en-US" w:eastAsia="zh-CN"/>
              </w:rPr>
              <w:t>其中勘察</w:t>
            </w:r>
            <w:r>
              <w:rPr>
                <w:rFonts w:hint="eastAsia" w:ascii="宋体" w:hAnsi="宋体"/>
                <w:iCs/>
                <w:color w:val="auto"/>
                <w:szCs w:val="21"/>
                <w:highlight w:val="none"/>
                <w:u w:val="none"/>
                <w:lang w:eastAsia="zh-CN"/>
              </w:rPr>
              <w:t>部分的合同金额须</w:t>
            </w:r>
            <w:r>
              <w:rPr>
                <w:rFonts w:hint="eastAsia" w:ascii="宋体" w:hAnsi="宋体"/>
                <w:iCs/>
                <w:color w:val="auto"/>
                <w:szCs w:val="21"/>
                <w:highlight w:val="none"/>
                <w:u w:val="none"/>
                <w:lang w:val="en-US" w:eastAsia="zh-CN"/>
              </w:rPr>
              <w:t>达到该</w:t>
            </w:r>
            <w:r>
              <w:rPr>
                <w:rFonts w:hint="eastAsia" w:ascii="宋体" w:hAnsi="宋体"/>
                <w:iCs/>
                <w:color w:val="auto"/>
                <w:szCs w:val="21"/>
                <w:highlight w:val="none"/>
                <w:u w:val="none"/>
                <w:lang w:eastAsia="zh-CN"/>
              </w:rPr>
              <w:t>金额</w:t>
            </w:r>
            <w:r>
              <w:rPr>
                <w:rFonts w:hint="eastAsia" w:ascii="宋体" w:hAnsi="宋体"/>
                <w:iCs/>
                <w:color w:val="auto"/>
                <w:szCs w:val="21"/>
                <w:highlight w:val="none"/>
                <w:u w:val="none"/>
                <w:lang w:val="en-US" w:eastAsia="zh-CN"/>
              </w:rPr>
              <w:t>要求</w:t>
            </w:r>
            <w:r>
              <w:rPr>
                <w:rFonts w:hint="eastAsia" w:ascii="宋体" w:hAnsi="宋体"/>
                <w:iCs/>
                <w:color w:val="auto"/>
                <w:szCs w:val="21"/>
                <w:highlight w:val="none"/>
                <w:u w:val="none"/>
                <w:lang w:eastAsia="zh-CN"/>
              </w:rPr>
              <w:t>）</w:t>
            </w:r>
          </w:p>
          <w:p>
            <w:pPr>
              <w:autoSpaceDE/>
              <w:autoSpaceDN/>
              <w:adjustRightInd/>
              <w:snapToGrid w:val="0"/>
              <w:spacing w:line="360" w:lineRule="auto"/>
              <w:ind w:firstLine="420" w:firstLineChars="200"/>
              <w:rPr>
                <w:rFonts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④</w:t>
            </w:r>
            <w:r>
              <w:rPr>
                <w:rFonts w:hint="eastAsia" w:ascii="宋体" w:hAnsi="宋体"/>
                <w:szCs w:val="21"/>
                <w:highlight w:val="none"/>
              </w:rPr>
              <w:t>工程规模：</w:t>
            </w:r>
            <w:r>
              <w:rPr>
                <w:rFonts w:ascii="宋体" w:hAnsi="宋体"/>
                <w:szCs w:val="21"/>
                <w:highlight w:val="none"/>
                <w:u w:val="single"/>
              </w:rPr>
              <w:t xml:space="preserve">                      </w:t>
            </w:r>
          </w:p>
          <w:p>
            <w:pPr>
              <w:autoSpaceDE/>
              <w:autoSpaceDN/>
              <w:adjustRightInd/>
              <w:snapToGrid w:val="0"/>
              <w:spacing w:line="360" w:lineRule="auto"/>
              <w:ind w:firstLine="420" w:firstLineChars="200"/>
              <w:rPr>
                <w:rFonts w:ascii="宋体" w:hAnsi="宋体"/>
                <w:i/>
                <w:szCs w:val="21"/>
                <w:highlight w:val="none"/>
              </w:rPr>
            </w:pPr>
            <w:r>
              <w:rPr>
                <w:rFonts w:ascii="宋体" w:hAnsi="宋体"/>
                <w:i/>
                <w:szCs w:val="21"/>
                <w:highlight w:val="none"/>
              </w:rPr>
              <w:t>[提示：根据招标项目实际情况选用。]</w:t>
            </w:r>
          </w:p>
          <w:p>
            <w:pPr>
              <w:spacing w:line="360" w:lineRule="auto"/>
              <w:ind w:firstLine="420" w:firstLineChars="200"/>
              <w:rPr>
                <w:rFonts w:ascii="Times New Roman" w:hAnsi="Times New Roman"/>
                <w:szCs w:val="22"/>
                <w:highlight w:val="none"/>
              </w:rPr>
            </w:pPr>
            <w:r>
              <w:rPr>
                <w:rFonts w:hint="eastAsia"/>
                <w:highlight w:val="none"/>
                <w:u w:val="none"/>
              </w:rPr>
              <w:t>（</w:t>
            </w:r>
            <w:r>
              <w:rPr>
                <w:highlight w:val="none"/>
                <w:u w:val="none"/>
              </w:rPr>
              <w:t>3</w:t>
            </w:r>
            <w:r>
              <w:rPr>
                <w:rFonts w:hint="eastAsia"/>
                <w:highlight w:val="none"/>
                <w:u w:val="none"/>
              </w:rPr>
              <w:t>）业绩证明材料按投标人须知前附表第</w:t>
            </w:r>
            <w:r>
              <w:rPr>
                <w:highlight w:val="none"/>
                <w:u w:val="none"/>
              </w:rPr>
              <w:t>1.4.1</w:t>
            </w:r>
            <w:r>
              <w:rPr>
                <w:rFonts w:hint="eastAsia"/>
                <w:highlight w:val="none"/>
                <w:u w:val="none"/>
              </w:rPr>
              <w:t>条第</w:t>
            </w:r>
            <w:r>
              <w:rPr>
                <w:highlight w:val="none"/>
                <w:u w:val="none"/>
              </w:rPr>
              <w:t>5.</w:t>
            </w:r>
            <w:r>
              <w:rPr>
                <w:rFonts w:hint="eastAsia"/>
                <w:highlight w:val="none"/>
                <w:u w:val="none"/>
                <w:lang w:val="en-US" w:eastAsia="zh-CN"/>
              </w:rPr>
              <w:t>3</w:t>
            </w:r>
            <w:r>
              <w:rPr>
                <w:rFonts w:hint="eastAsia"/>
                <w:highlight w:val="none"/>
                <w:u w:val="none"/>
              </w:rPr>
              <w:t>款</w:t>
            </w:r>
            <w:r>
              <w:rPr>
                <w:rFonts w:hint="eastAsia"/>
                <w:highlight w:val="none"/>
                <w:u w:val="none"/>
                <w:lang w:eastAsia="zh-CN"/>
              </w:rPr>
              <w:t>（</w:t>
            </w:r>
            <w:r>
              <w:rPr>
                <w:rFonts w:hint="eastAsia"/>
                <w:highlight w:val="none"/>
                <w:u w:val="none"/>
                <w:lang w:val="en-US" w:eastAsia="zh-CN"/>
              </w:rPr>
              <w:t>3</w:t>
            </w:r>
            <w:r>
              <w:rPr>
                <w:rFonts w:hint="eastAsia"/>
                <w:highlight w:val="none"/>
                <w:u w:val="none"/>
                <w:lang w:eastAsia="zh-CN"/>
              </w:rPr>
              <w:t>）</w:t>
            </w:r>
            <w:r>
              <w:rPr>
                <w:rFonts w:hint="eastAsia"/>
                <w:highlight w:val="none"/>
                <w:u w:val="none"/>
              </w:rPr>
              <w:t>相关要求提供。投标人须在投标文件商务部分提供业绩证明材料。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right w:val="single" w:color="auto" w:sz="4" w:space="0"/>
            </w:tcBorders>
          </w:tcPr>
          <w:p>
            <w:pPr>
              <w:spacing w:line="440" w:lineRule="exact"/>
              <w:jc w:val="center"/>
              <w:rPr>
                <w:highlight w:val="none"/>
              </w:rPr>
            </w:pPr>
          </w:p>
        </w:tc>
        <w:tc>
          <w:tcPr>
            <w:tcW w:w="1134" w:type="dxa"/>
            <w:vMerge w:val="continue"/>
            <w:tcBorders>
              <w:left w:val="single" w:color="auto" w:sz="4" w:space="0"/>
              <w:right w:val="single" w:color="auto" w:sz="4" w:space="0"/>
            </w:tcBorders>
          </w:tcPr>
          <w:p>
            <w:pPr>
              <w:spacing w:line="440" w:lineRule="exact"/>
              <w:jc w:val="center"/>
              <w:rPr>
                <w:highlight w:val="none"/>
              </w:rPr>
            </w:pPr>
          </w:p>
        </w:tc>
        <w:tc>
          <w:tcPr>
            <w:tcW w:w="661" w:type="dxa"/>
            <w:vMerge w:val="continue"/>
            <w:tcBorders>
              <w:left w:val="single" w:color="auto" w:sz="4" w:space="0"/>
              <w:bottom w:val="single" w:color="auto" w:sz="4" w:space="0"/>
              <w:right w:val="single" w:color="auto" w:sz="4" w:space="0"/>
            </w:tcBorders>
            <w:vAlign w:val="center"/>
          </w:tcPr>
          <w:p>
            <w:pPr>
              <w:spacing w:line="420" w:lineRule="atLeast"/>
              <w:jc w:val="center"/>
              <w:rPr>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240" w:lineRule="auto"/>
              <w:jc w:val="center"/>
              <w:rPr>
                <w:szCs w:val="22"/>
                <w:highlight w:val="none"/>
              </w:rPr>
            </w:pPr>
            <w:r>
              <w:rPr>
                <w:rFonts w:hint="eastAsia" w:ascii="宋体" w:hAnsi="宋体"/>
                <w:kern w:val="0"/>
                <w:szCs w:val="21"/>
                <w:highlight w:val="none"/>
              </w:rPr>
              <w:t>□</w:t>
            </w:r>
            <w:r>
              <w:rPr>
                <w:szCs w:val="22"/>
                <w:highlight w:val="none"/>
              </w:rPr>
              <w:t>职称</w:t>
            </w:r>
            <w:r>
              <w:rPr>
                <w:rFonts w:hint="eastAsia"/>
                <w:szCs w:val="22"/>
                <w:highlight w:val="none"/>
              </w:rPr>
              <w:t>（或执业）</w:t>
            </w:r>
            <w:r>
              <w:rPr>
                <w:szCs w:val="22"/>
                <w:highlight w:val="none"/>
              </w:rPr>
              <w:t>证书</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360" w:lineRule="auto"/>
              <w:ind w:firstLine="420" w:firstLineChars="200"/>
              <w:rPr>
                <w:rFonts w:hint="eastAsia"/>
                <w:i/>
                <w:iCs/>
                <w:highlight w:val="none"/>
              </w:rPr>
            </w:pPr>
            <w:r>
              <w:rPr>
                <w:rFonts w:hint="eastAsia"/>
                <w:i/>
                <w:iCs/>
                <w:highlight w:val="none"/>
              </w:rPr>
              <w:t>[提示：①当投标人须知前附表第1.4.1项中“6.其他要求-（1）其他拟派主要人员要求”选择方式二时，可以设置其他拟派主要人员职称（或执业）证书进行评分。②单个人员考察的职称（或执业）证书不超过1个，单个人员的分值设置不超过2分，但总考察人数不得超过投标人须知前附表第1.4.1项中“6.其他要求-（1）其他拟派主要人员要求”选择方式二时所列出的其他拟派主要人员人数总和的50%。③考察的各类人员应是通过资格审查的相应人员。]</w:t>
            </w:r>
          </w:p>
          <w:p>
            <w:pPr>
              <w:suppressLineNumbers w:val="0"/>
              <w:suppressAutoHyphens w:val="0"/>
              <w:spacing w:line="360" w:lineRule="auto"/>
              <w:ind w:firstLine="420" w:firstLineChars="200"/>
              <w:rPr>
                <w:rFonts w:hint="eastAsia"/>
                <w:i w:val="0"/>
                <w:iCs w:val="0"/>
                <w:highlight w:val="none"/>
              </w:rPr>
            </w:pPr>
            <w:r>
              <w:rPr>
                <w:rFonts w:hint="eastAsia"/>
                <w:i w:val="0"/>
                <w:iCs w:val="0"/>
                <w:highlight w:val="none"/>
              </w:rPr>
              <w:t>①</w:t>
            </w:r>
            <w:r>
              <w:rPr>
                <w:rFonts w:hint="eastAsia"/>
                <w:i w:val="0"/>
                <w:iCs w:val="0"/>
                <w:highlight w:val="none"/>
                <w:u w:val="single"/>
              </w:rPr>
              <w:t xml:space="preserve">     </w:t>
            </w:r>
            <w:r>
              <w:rPr>
                <w:rFonts w:hint="eastAsia"/>
                <w:i w:val="0"/>
                <w:iCs w:val="0"/>
                <w:highlight w:val="none"/>
              </w:rPr>
              <w:t>专业勘察负责人：□具备</w:t>
            </w:r>
            <w:r>
              <w:rPr>
                <w:rFonts w:hint="eastAsia"/>
                <w:i w:val="0"/>
                <w:iCs w:val="0"/>
                <w:highlight w:val="none"/>
                <w:u w:val="single"/>
              </w:rPr>
              <w:t xml:space="preserve">   </w:t>
            </w:r>
            <w:r>
              <w:rPr>
                <w:rFonts w:hint="eastAsia"/>
                <w:i w:val="0"/>
                <w:iCs w:val="0"/>
                <w:highlight w:val="none"/>
                <w:u w:val="single"/>
                <w:lang w:val="en-US" w:eastAsia="zh-CN"/>
              </w:rPr>
              <w:t xml:space="preserve"> </w:t>
            </w:r>
            <w:r>
              <w:rPr>
                <w:rFonts w:hint="eastAsia"/>
                <w:i w:val="0"/>
                <w:iCs w:val="0"/>
                <w:highlight w:val="none"/>
                <w:u w:val="single"/>
              </w:rPr>
              <w:t xml:space="preserve"> </w:t>
            </w:r>
            <w:r>
              <w:rPr>
                <w:rFonts w:hint="eastAsia"/>
                <w:i w:val="0"/>
                <w:iCs w:val="0"/>
                <w:highlight w:val="none"/>
              </w:rPr>
              <w:t>及以上□</w:t>
            </w:r>
            <w:r>
              <w:rPr>
                <w:rFonts w:hint="eastAsia"/>
                <w:i w:val="0"/>
                <w:iCs w:val="0"/>
                <w:highlight w:val="none"/>
                <w:u w:val="single"/>
              </w:rPr>
              <w:t xml:space="preserve">   </w:t>
            </w:r>
            <w:r>
              <w:rPr>
                <w:rFonts w:hint="eastAsia"/>
                <w:i w:val="0"/>
                <w:iCs w:val="0"/>
                <w:highlight w:val="none"/>
                <w:u w:val="single"/>
                <w:lang w:val="en-US" w:eastAsia="zh-CN"/>
              </w:rPr>
              <w:t xml:space="preserve">  </w:t>
            </w:r>
            <w:r>
              <w:rPr>
                <w:rFonts w:hint="eastAsia"/>
                <w:i w:val="0"/>
                <w:iCs w:val="0"/>
                <w:highlight w:val="none"/>
              </w:rPr>
              <w:t>专业</w:t>
            </w:r>
            <w:r>
              <w:rPr>
                <w:rFonts w:hint="eastAsia"/>
                <w:i w:val="0"/>
                <w:iCs w:val="0"/>
                <w:highlight w:val="none"/>
                <w:lang w:val="en-US" w:eastAsia="zh-CN"/>
              </w:rPr>
              <w:t>技术</w:t>
            </w:r>
            <w:r>
              <w:rPr>
                <w:rFonts w:hint="eastAsia"/>
                <w:i w:val="0"/>
                <w:iCs w:val="0"/>
                <w:highlight w:val="none"/>
              </w:rPr>
              <w:t>职称，得</w:t>
            </w:r>
            <w:r>
              <w:rPr>
                <w:rFonts w:hint="eastAsia"/>
                <w:i w:val="0"/>
                <w:iCs w:val="0"/>
                <w:highlight w:val="none"/>
                <w:u w:val="single"/>
              </w:rPr>
              <w:t xml:space="preserve">   </w:t>
            </w:r>
            <w:r>
              <w:rPr>
                <w:rFonts w:hint="eastAsia"/>
                <w:i w:val="0"/>
                <w:iCs w:val="0"/>
                <w:highlight w:val="none"/>
                <w:u w:val="single"/>
                <w:lang w:val="en-US" w:eastAsia="zh-CN"/>
              </w:rPr>
              <w:t xml:space="preserve"> </w:t>
            </w:r>
            <w:r>
              <w:rPr>
                <w:rFonts w:hint="eastAsia"/>
                <w:i w:val="0"/>
                <w:iCs w:val="0"/>
                <w:highlight w:val="none"/>
                <w:u w:val="single"/>
              </w:rPr>
              <w:t xml:space="preserve"> </w:t>
            </w:r>
            <w:r>
              <w:rPr>
                <w:rFonts w:hint="eastAsia"/>
                <w:i w:val="0"/>
                <w:iCs w:val="0"/>
                <w:highlight w:val="none"/>
              </w:rPr>
              <w:t>分；□具有</w:t>
            </w:r>
            <w:r>
              <w:rPr>
                <w:rFonts w:hint="eastAsia"/>
                <w:i w:val="0"/>
                <w:iCs w:val="0"/>
                <w:highlight w:val="none"/>
                <w:u w:val="single"/>
              </w:rPr>
              <w:t xml:space="preserve">  </w:t>
            </w:r>
            <w:r>
              <w:rPr>
                <w:rFonts w:hint="eastAsia"/>
                <w:i w:val="0"/>
                <w:iCs w:val="0"/>
                <w:highlight w:val="none"/>
                <w:u w:val="single"/>
                <w:lang w:val="en-US" w:eastAsia="zh-CN"/>
              </w:rPr>
              <w:t xml:space="preserve"> </w:t>
            </w:r>
            <w:r>
              <w:rPr>
                <w:rFonts w:hint="eastAsia"/>
                <w:i w:val="0"/>
                <w:iCs w:val="0"/>
                <w:highlight w:val="none"/>
                <w:u w:val="single"/>
              </w:rPr>
              <w:t xml:space="preserve">  </w:t>
            </w:r>
            <w:r>
              <w:rPr>
                <w:rFonts w:hint="eastAsia"/>
                <w:i w:val="0"/>
                <w:iCs w:val="0"/>
                <w:highlight w:val="none"/>
              </w:rPr>
              <w:t>执业资格并已在投标人本单位注册，得</w:t>
            </w:r>
            <w:r>
              <w:rPr>
                <w:rFonts w:hint="eastAsia"/>
                <w:i w:val="0"/>
                <w:iCs w:val="0"/>
                <w:highlight w:val="none"/>
                <w:u w:val="single"/>
              </w:rPr>
              <w:t xml:space="preserve">    </w:t>
            </w:r>
            <w:r>
              <w:rPr>
                <w:rFonts w:hint="eastAsia"/>
                <w:i w:val="0"/>
                <w:iCs w:val="0"/>
                <w:highlight w:val="none"/>
              </w:rPr>
              <w:t>分。最多得</w:t>
            </w:r>
            <w:r>
              <w:rPr>
                <w:rFonts w:hint="eastAsia"/>
                <w:i w:val="0"/>
                <w:iCs w:val="0"/>
                <w:highlight w:val="none"/>
                <w:u w:val="single"/>
              </w:rPr>
              <w:t xml:space="preserve">    </w:t>
            </w:r>
            <w:r>
              <w:rPr>
                <w:rFonts w:hint="eastAsia"/>
                <w:i w:val="0"/>
                <w:iCs w:val="0"/>
                <w:highlight w:val="none"/>
              </w:rPr>
              <w:t>分。</w:t>
            </w:r>
          </w:p>
          <w:p>
            <w:pPr>
              <w:suppressLineNumbers w:val="0"/>
              <w:suppressAutoHyphens w:val="0"/>
              <w:spacing w:line="360" w:lineRule="auto"/>
              <w:ind w:firstLine="420" w:firstLineChars="200"/>
              <w:rPr>
                <w:rFonts w:hint="eastAsia"/>
                <w:i w:val="0"/>
                <w:iCs w:val="0"/>
                <w:highlight w:val="none"/>
              </w:rPr>
            </w:pPr>
            <w:r>
              <w:rPr>
                <w:rFonts w:hint="eastAsia"/>
                <w:i w:val="0"/>
                <w:iCs w:val="0"/>
                <w:highlight w:val="none"/>
              </w:rPr>
              <w:t>②</w:t>
            </w:r>
            <w:r>
              <w:rPr>
                <w:rFonts w:hint="eastAsia"/>
                <w:i w:val="0"/>
                <w:iCs w:val="0"/>
                <w:highlight w:val="none"/>
                <w:u w:val="single"/>
              </w:rPr>
              <w:t xml:space="preserve">     </w:t>
            </w:r>
            <w:r>
              <w:rPr>
                <w:rFonts w:hint="eastAsia"/>
                <w:i w:val="0"/>
                <w:iCs w:val="0"/>
                <w:highlight w:val="none"/>
              </w:rPr>
              <w:t>专业</w:t>
            </w:r>
            <w:r>
              <w:rPr>
                <w:rFonts w:hint="eastAsia"/>
                <w:i w:val="0"/>
                <w:iCs w:val="0"/>
                <w:highlight w:val="none"/>
                <w:u w:val="single"/>
              </w:rPr>
              <w:t xml:space="preserve">    </w:t>
            </w:r>
            <w:r>
              <w:rPr>
                <w:rFonts w:hint="eastAsia"/>
                <w:i w:val="0"/>
                <w:iCs w:val="0"/>
                <w:highlight w:val="none"/>
              </w:rPr>
              <w:t>负责人：□具备</w:t>
            </w:r>
            <w:r>
              <w:rPr>
                <w:rFonts w:hint="eastAsia"/>
                <w:i w:val="0"/>
                <w:iCs w:val="0"/>
                <w:highlight w:val="none"/>
                <w:u w:val="single"/>
              </w:rPr>
              <w:t xml:space="preserve">   </w:t>
            </w:r>
            <w:r>
              <w:rPr>
                <w:rFonts w:hint="eastAsia"/>
                <w:i w:val="0"/>
                <w:iCs w:val="0"/>
                <w:highlight w:val="none"/>
                <w:u w:val="single"/>
                <w:lang w:val="en-US" w:eastAsia="zh-CN"/>
              </w:rPr>
              <w:t xml:space="preserve"> </w:t>
            </w:r>
            <w:r>
              <w:rPr>
                <w:rFonts w:hint="eastAsia"/>
                <w:i w:val="0"/>
                <w:iCs w:val="0"/>
                <w:highlight w:val="none"/>
                <w:u w:val="single"/>
              </w:rPr>
              <w:t xml:space="preserve"> </w:t>
            </w:r>
            <w:r>
              <w:rPr>
                <w:rFonts w:hint="eastAsia"/>
                <w:i w:val="0"/>
                <w:iCs w:val="0"/>
                <w:highlight w:val="none"/>
              </w:rPr>
              <w:t>及以上□</w:t>
            </w:r>
            <w:r>
              <w:rPr>
                <w:rFonts w:hint="eastAsia"/>
                <w:i w:val="0"/>
                <w:iCs w:val="0"/>
                <w:highlight w:val="none"/>
                <w:u w:val="single"/>
              </w:rPr>
              <w:t xml:space="preserve">  </w:t>
            </w:r>
            <w:r>
              <w:rPr>
                <w:rFonts w:hint="eastAsia"/>
                <w:i w:val="0"/>
                <w:iCs w:val="0"/>
                <w:highlight w:val="none"/>
                <w:u w:val="single"/>
                <w:lang w:val="en-US" w:eastAsia="zh-CN"/>
              </w:rPr>
              <w:t xml:space="preserve"> </w:t>
            </w:r>
            <w:r>
              <w:rPr>
                <w:rFonts w:hint="eastAsia"/>
                <w:i w:val="0"/>
                <w:iCs w:val="0"/>
                <w:highlight w:val="none"/>
                <w:u w:val="single"/>
              </w:rPr>
              <w:t xml:space="preserve"> </w:t>
            </w:r>
            <w:r>
              <w:rPr>
                <w:rFonts w:hint="eastAsia"/>
                <w:i w:val="0"/>
                <w:iCs w:val="0"/>
                <w:highlight w:val="none"/>
              </w:rPr>
              <w:t>专业</w:t>
            </w:r>
            <w:r>
              <w:rPr>
                <w:rFonts w:hint="eastAsia"/>
                <w:i w:val="0"/>
                <w:iCs w:val="0"/>
                <w:highlight w:val="none"/>
                <w:lang w:val="en-US" w:eastAsia="zh-CN"/>
              </w:rPr>
              <w:t>技术</w:t>
            </w:r>
            <w:r>
              <w:rPr>
                <w:rFonts w:hint="eastAsia"/>
                <w:i w:val="0"/>
                <w:iCs w:val="0"/>
                <w:highlight w:val="none"/>
              </w:rPr>
              <w:t>职称，得</w:t>
            </w:r>
            <w:r>
              <w:rPr>
                <w:rFonts w:hint="eastAsia"/>
                <w:i w:val="0"/>
                <w:iCs w:val="0"/>
                <w:highlight w:val="none"/>
                <w:u w:val="single"/>
              </w:rPr>
              <w:t xml:space="preserve">    </w:t>
            </w:r>
            <w:r>
              <w:rPr>
                <w:rFonts w:hint="eastAsia"/>
                <w:i w:val="0"/>
                <w:iCs w:val="0"/>
                <w:highlight w:val="none"/>
                <w:u w:val="single"/>
                <w:lang w:val="en-US" w:eastAsia="zh-CN"/>
              </w:rPr>
              <w:t xml:space="preserve"> </w:t>
            </w:r>
            <w:r>
              <w:rPr>
                <w:rFonts w:hint="eastAsia"/>
                <w:i w:val="0"/>
                <w:iCs w:val="0"/>
                <w:highlight w:val="none"/>
              </w:rPr>
              <w:t>分；□具有</w:t>
            </w:r>
            <w:r>
              <w:rPr>
                <w:rFonts w:hint="eastAsia"/>
                <w:i w:val="0"/>
                <w:iCs w:val="0"/>
                <w:highlight w:val="none"/>
                <w:u w:val="single"/>
              </w:rPr>
              <w:t xml:space="preserve">    </w:t>
            </w:r>
            <w:r>
              <w:rPr>
                <w:rFonts w:hint="eastAsia"/>
                <w:i w:val="0"/>
                <w:iCs w:val="0"/>
                <w:highlight w:val="none"/>
                <w:u w:val="single"/>
                <w:lang w:val="en-US" w:eastAsia="zh-CN"/>
              </w:rPr>
              <w:t xml:space="preserve"> </w:t>
            </w:r>
            <w:r>
              <w:rPr>
                <w:rFonts w:hint="eastAsia"/>
                <w:i w:val="0"/>
                <w:iCs w:val="0"/>
                <w:highlight w:val="none"/>
              </w:rPr>
              <w:t>执业资格并已在投标人本单位注册，得</w:t>
            </w:r>
            <w:r>
              <w:rPr>
                <w:rFonts w:hint="eastAsia"/>
                <w:i w:val="0"/>
                <w:iCs w:val="0"/>
                <w:highlight w:val="none"/>
                <w:u w:val="single"/>
              </w:rPr>
              <w:t xml:space="preserve">    </w:t>
            </w:r>
            <w:r>
              <w:rPr>
                <w:rFonts w:hint="eastAsia"/>
                <w:i w:val="0"/>
                <w:iCs w:val="0"/>
                <w:highlight w:val="none"/>
              </w:rPr>
              <w:t>分。最多得</w:t>
            </w:r>
            <w:r>
              <w:rPr>
                <w:rFonts w:hint="eastAsia"/>
                <w:i w:val="0"/>
                <w:iCs w:val="0"/>
                <w:highlight w:val="none"/>
                <w:u w:val="single"/>
              </w:rPr>
              <w:t xml:space="preserve">    </w:t>
            </w:r>
            <w:r>
              <w:rPr>
                <w:rFonts w:hint="eastAsia"/>
                <w:i w:val="0"/>
                <w:iCs w:val="0"/>
                <w:highlight w:val="none"/>
              </w:rPr>
              <w:t>分。</w:t>
            </w:r>
          </w:p>
          <w:p>
            <w:pPr>
              <w:suppressLineNumbers w:val="0"/>
              <w:suppressAutoHyphens w:val="0"/>
              <w:spacing w:line="360" w:lineRule="auto"/>
              <w:ind w:firstLine="420" w:firstLineChars="200"/>
              <w:rPr>
                <w:rFonts w:hint="eastAsia"/>
                <w:i w:val="0"/>
                <w:iCs w:val="0"/>
                <w:highlight w:val="none"/>
              </w:rPr>
            </w:pPr>
            <w:r>
              <w:rPr>
                <w:rFonts w:hint="eastAsia"/>
                <w:i w:val="0"/>
                <w:iCs w:val="0"/>
                <w:highlight w:val="none"/>
              </w:rPr>
              <w:t xml:space="preserve">③……     </w:t>
            </w:r>
          </w:p>
          <w:p>
            <w:pPr>
              <w:suppressLineNumbers w:val="0"/>
              <w:suppressAutoHyphens w:val="0"/>
              <w:spacing w:line="360" w:lineRule="auto"/>
              <w:ind w:firstLine="420" w:firstLineChars="200"/>
              <w:rPr>
                <w:rFonts w:hint="eastAsia"/>
                <w:i w:val="0"/>
                <w:iCs w:val="0"/>
                <w:highlight w:val="none"/>
              </w:rPr>
            </w:pPr>
            <w:r>
              <w:rPr>
                <w:rFonts w:hint="eastAsia"/>
                <w:i w:val="0"/>
                <w:iCs w:val="0"/>
                <w:highlight w:val="none"/>
              </w:rPr>
              <w:t>投标人须在投标文件商务部分提供在有效期内的上述其他拟派主要人员的身份证、□职称证（若要求技术职称专业但职称证书无法体现专业的，可以提供学历证书或注册证书）、□注册证（国家未开展注册工作的，投标人提供执业资格证书即可；注册证书未载明注册执业单位的，注册执业单位以养老保险证明材料为准），投标人为其缴纳的养老保险证明材料。</w:t>
            </w:r>
          </w:p>
          <w:p>
            <w:pPr>
              <w:pStyle w:val="2"/>
              <w:spacing w:line="360" w:lineRule="auto"/>
              <w:ind w:firstLine="420" w:firstLineChars="200"/>
              <w:rPr>
                <w:highlight w:val="none"/>
              </w:rPr>
            </w:pPr>
            <w:r>
              <w:rPr>
                <w:rFonts w:hint="eastAsia"/>
                <w:i/>
                <w:iCs/>
                <w:highlight w:val="none"/>
              </w:rPr>
              <w:t>[提示：其他拟派主要人员的身份证、□职称证、□注册证、投标人为其缴纳的养老保险证明材料，若在投标人须知前附表第1.4.1项中“6.其他要求-（1）其他拟派主要人员要求”未要求提供的，招标人在编制商务部分评分办法时应要求其提供；若在投标人须知前附表1.4.1条第6款中已要求提供的，招标人在编制商务部分评分办法时不再要求其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right w:val="single" w:color="auto" w:sz="4" w:space="0"/>
            </w:tcBorders>
          </w:tcPr>
          <w:p>
            <w:pPr>
              <w:spacing w:line="440" w:lineRule="exact"/>
              <w:jc w:val="center"/>
              <w:rPr>
                <w:highlight w:val="none"/>
              </w:rPr>
            </w:pPr>
          </w:p>
        </w:tc>
        <w:tc>
          <w:tcPr>
            <w:tcW w:w="1134" w:type="dxa"/>
            <w:vMerge w:val="continue"/>
            <w:tcBorders>
              <w:left w:val="single" w:color="auto" w:sz="4" w:space="0"/>
              <w:right w:val="single" w:color="auto" w:sz="4" w:space="0"/>
            </w:tcBorders>
          </w:tcPr>
          <w:p>
            <w:pPr>
              <w:spacing w:line="440" w:lineRule="exact"/>
              <w:jc w:val="center"/>
              <w:rPr>
                <w:highlight w:val="none"/>
              </w:rPr>
            </w:pPr>
          </w:p>
        </w:tc>
        <w:tc>
          <w:tcPr>
            <w:tcW w:w="661" w:type="dxa"/>
            <w:vMerge w:val="restart"/>
            <w:tcBorders>
              <w:left w:val="single" w:color="auto" w:sz="4" w:space="0"/>
              <w:right w:val="single" w:color="auto" w:sz="4" w:space="0"/>
            </w:tcBorders>
            <w:vAlign w:val="center"/>
          </w:tcPr>
          <w:p>
            <w:pPr>
              <w:spacing w:line="420" w:lineRule="atLeast"/>
              <w:jc w:val="center"/>
              <w:rPr>
                <w:highlight w:val="none"/>
              </w:rPr>
            </w:pPr>
            <w:r>
              <w:rPr>
                <w:rFonts w:hint="eastAsia" w:ascii="宋体" w:hAnsi="宋体"/>
                <w:kern w:val="0"/>
                <w:szCs w:val="21"/>
                <w:highlight w:val="none"/>
              </w:rPr>
              <w:t>□</w:t>
            </w:r>
            <w:r>
              <w:rPr>
                <w:rFonts w:hint="eastAsia"/>
                <w:szCs w:val="22"/>
                <w:highlight w:val="none"/>
              </w:rPr>
              <w:t>获奖情况</w:t>
            </w:r>
          </w:p>
        </w:tc>
        <w:tc>
          <w:tcPr>
            <w:tcW w:w="10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2"/>
                <w:highlight w:val="none"/>
              </w:rPr>
            </w:pPr>
            <w:r>
              <w:rPr>
                <w:rFonts w:hint="eastAsia" w:ascii="宋体" w:hAnsi="宋体"/>
                <w:szCs w:val="22"/>
                <w:highlight w:val="none"/>
              </w:rPr>
              <w:t>□</w:t>
            </w:r>
          </w:p>
          <w:p>
            <w:pPr>
              <w:jc w:val="center"/>
              <w:rPr>
                <w:szCs w:val="22"/>
                <w:highlight w:val="none"/>
              </w:rPr>
            </w:pPr>
            <w:r>
              <w:rPr>
                <w:szCs w:val="22"/>
                <w:highlight w:val="none"/>
              </w:rPr>
              <w:t>投标人获奖</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napToGrid w:val="0"/>
              <w:spacing w:line="360" w:lineRule="auto"/>
              <w:ind w:firstLine="420" w:firstLineChars="200"/>
              <w:rPr>
                <w:rFonts w:ascii="宋体" w:hAnsi="宋体"/>
                <w:i/>
                <w:iCs/>
                <w:highlight w:val="none"/>
              </w:rPr>
            </w:pPr>
            <w:r>
              <w:rPr>
                <w:rFonts w:ascii="宋体" w:hAnsi="宋体"/>
                <w:i/>
                <w:iCs/>
                <w:highlight w:val="none"/>
              </w:rPr>
              <w:t>[提示：</w:t>
            </w:r>
            <w:r>
              <w:rPr>
                <w:rFonts w:hint="eastAsia" w:ascii="宋体" w:hAnsi="宋体"/>
                <w:i/>
                <w:iCs/>
                <w:highlight w:val="none"/>
              </w:rPr>
              <w:t>当拟建项目的</w:t>
            </w:r>
            <w:r>
              <w:rPr>
                <w:rFonts w:hint="eastAsia" w:ascii="宋体" w:hAnsi="宋体"/>
                <w:i/>
                <w:iCs/>
                <w:highlight w:val="none"/>
                <w:lang w:val="en-US" w:eastAsia="zh-CN"/>
              </w:rPr>
              <w:t>投标人</w:t>
            </w:r>
            <w:r>
              <w:rPr>
                <w:rFonts w:hint="eastAsia" w:ascii="宋体" w:hAnsi="宋体"/>
                <w:i/>
                <w:iCs/>
                <w:highlight w:val="none"/>
              </w:rPr>
              <w:t>资质</w:t>
            </w:r>
            <w:r>
              <w:rPr>
                <w:rFonts w:hint="eastAsia" w:ascii="宋体" w:hAnsi="宋体"/>
                <w:i/>
                <w:iCs/>
                <w:color w:val="auto"/>
                <w:highlight w:val="none"/>
              </w:rPr>
              <w:t>按相应的资质管理规定应设定为甲级</w:t>
            </w:r>
            <w:r>
              <w:rPr>
                <w:rFonts w:hint="eastAsia" w:ascii="宋体" w:hAnsi="宋体"/>
                <w:i/>
                <w:iCs/>
                <w:color w:val="auto"/>
                <w:highlight w:val="none"/>
                <w:lang w:val="en-US" w:eastAsia="zh-CN"/>
              </w:rPr>
              <w:t>及以上</w:t>
            </w:r>
            <w:r>
              <w:rPr>
                <w:rFonts w:hint="eastAsia" w:ascii="宋体" w:hAnsi="宋体"/>
                <w:i/>
                <w:iCs/>
                <w:highlight w:val="none"/>
              </w:rPr>
              <w:t>时，可以用投标人获奖</w:t>
            </w:r>
            <w:r>
              <w:rPr>
                <w:rFonts w:hint="eastAsia" w:ascii="宋体" w:hAnsi="宋体"/>
                <w:i/>
                <w:iCs/>
                <w:highlight w:val="none"/>
                <w:lang w:val="en-US" w:eastAsia="zh-CN"/>
              </w:rPr>
              <w:t>或项目负责人获奖</w:t>
            </w:r>
            <w:r>
              <w:rPr>
                <w:rFonts w:hint="eastAsia" w:ascii="宋体" w:hAnsi="宋体"/>
                <w:i/>
                <w:iCs/>
                <w:highlight w:val="none"/>
              </w:rPr>
              <w:t>进行评分，投标人获奖和项目负责人获奖仅能选择其一进行评分。用于商务部分评分的投标人获奖或项目负责人获奖个数不超过</w:t>
            </w:r>
            <w:r>
              <w:rPr>
                <w:rFonts w:ascii="宋体" w:hAnsi="宋体"/>
                <w:i/>
                <w:iCs/>
                <w:highlight w:val="none"/>
              </w:rPr>
              <w:t>2个，</w:t>
            </w:r>
            <w:r>
              <w:rPr>
                <w:rFonts w:hint="eastAsia" w:ascii="宋体" w:hAnsi="宋体"/>
                <w:i/>
                <w:iCs/>
                <w:color w:val="auto"/>
                <w:highlight w:val="none"/>
              </w:rPr>
              <w:t>奖项总分不超过2分</w:t>
            </w:r>
            <w:r>
              <w:rPr>
                <w:rFonts w:ascii="宋体" w:hAnsi="宋体"/>
                <w:i/>
                <w:iCs/>
                <w:highlight w:val="none"/>
              </w:rPr>
              <w:t>。]</w:t>
            </w:r>
          </w:p>
          <w:p>
            <w:pPr>
              <w:snapToGrid w:val="0"/>
              <w:spacing w:line="360" w:lineRule="auto"/>
              <w:ind w:firstLine="420" w:firstLineChars="200"/>
              <w:rPr>
                <w:rFonts w:ascii="宋体" w:hAnsi="宋体"/>
                <w:highlight w:val="none"/>
              </w:rPr>
            </w:pPr>
            <w:r>
              <w:rPr>
                <w:rFonts w:hint="eastAsia" w:ascii="宋体" w:hAnsi="宋体"/>
                <w:highlight w:val="none"/>
              </w:rPr>
              <w:t>投标人在</w:t>
            </w:r>
            <w:r>
              <w:rPr>
                <w:rFonts w:hint="eastAsia" w:ascii="宋体" w:hAnsi="宋体"/>
                <w:highlight w:val="none"/>
                <w:u w:val="single"/>
              </w:rPr>
              <w:t xml:space="preserve">    </w:t>
            </w:r>
            <w:r>
              <w:rPr>
                <w:rFonts w:hint="eastAsia" w:ascii="宋体" w:hAnsi="宋体"/>
                <w:highlight w:val="none"/>
              </w:rPr>
              <w:t>年1月1日起</w:t>
            </w:r>
            <w:r>
              <w:rPr>
                <w:rFonts w:hint="eastAsia" w:ascii="宋体" w:hAnsi="宋体"/>
                <w:i/>
                <w:iCs/>
                <w:highlight w:val="none"/>
              </w:rPr>
              <w:t>[提示：指投标截止日前5年或者8年（不包含投标截止日当年），有8年以上要求的可自设。]</w:t>
            </w:r>
            <w:r>
              <w:rPr>
                <w:rFonts w:ascii="宋体" w:hAnsi="宋体"/>
                <w:highlight w:val="none"/>
              </w:rPr>
              <w:t>至投标截止日止（以获奖证书颁发时间为准），投标人或投标人勘察</w:t>
            </w:r>
            <w:r>
              <w:rPr>
                <w:rFonts w:hint="eastAsia" w:ascii="宋体" w:hAnsi="宋体"/>
                <w:color w:val="FF0000"/>
                <w:highlight w:val="none"/>
              </w:rPr>
              <w:t>(或勘察设计)</w:t>
            </w:r>
            <w:r>
              <w:rPr>
                <w:rFonts w:ascii="宋体" w:hAnsi="宋体"/>
                <w:highlight w:val="none"/>
              </w:rPr>
              <w:t>的项目获得过国家级奖项，每有1个得</w:t>
            </w:r>
            <w:r>
              <w:rPr>
                <w:rFonts w:ascii="宋体" w:hAnsi="宋体"/>
                <w:highlight w:val="none"/>
                <w:u w:val="single"/>
              </w:rPr>
              <w:t xml:space="preserve">    </w:t>
            </w:r>
            <w:r>
              <w:rPr>
                <w:rFonts w:hint="eastAsia" w:ascii="宋体" w:hAnsi="宋体"/>
                <w:highlight w:val="none"/>
              </w:rPr>
              <w:t>分，最多得</w:t>
            </w:r>
            <w:r>
              <w:rPr>
                <w:rFonts w:ascii="宋体" w:hAnsi="宋体"/>
                <w:highlight w:val="none"/>
                <w:u w:val="single"/>
              </w:rPr>
              <w:t xml:space="preserve">    </w:t>
            </w:r>
            <w:r>
              <w:rPr>
                <w:rFonts w:hint="eastAsia" w:ascii="宋体" w:hAnsi="宋体"/>
                <w:highlight w:val="none"/>
              </w:rPr>
              <w:t>分。</w:t>
            </w:r>
          </w:p>
          <w:p>
            <w:pPr>
              <w:snapToGrid w:val="0"/>
              <w:spacing w:line="360" w:lineRule="auto"/>
              <w:ind w:firstLine="420" w:firstLineChars="200"/>
              <w:rPr>
                <w:rFonts w:ascii="宋体" w:hAnsi="宋体"/>
                <w:highlight w:val="none"/>
              </w:rPr>
            </w:pPr>
            <w:r>
              <w:rPr>
                <w:rFonts w:hint="eastAsia" w:ascii="宋体" w:hAnsi="宋体"/>
                <w:highlight w:val="none"/>
              </w:rPr>
              <w:t>投标人须在投标文件商务部分提供获奖证书。</w:t>
            </w:r>
          </w:p>
          <w:p>
            <w:pPr>
              <w:suppressLineNumbers/>
              <w:suppressAutoHyphens/>
              <w:autoSpaceDE/>
              <w:autoSpaceDN/>
              <w:adjustRightInd/>
              <w:snapToGrid w:val="0"/>
              <w:spacing w:line="360" w:lineRule="auto"/>
              <w:ind w:firstLine="420" w:firstLineChars="200"/>
              <w:rPr>
                <w:rFonts w:ascii="宋体" w:hAnsi="宋体" w:cs="宋体"/>
                <w:kern w:val="0"/>
                <w:szCs w:val="21"/>
                <w:highlight w:val="none"/>
              </w:rPr>
            </w:pPr>
            <w:r>
              <w:rPr>
                <w:rFonts w:hint="eastAsia" w:ascii="宋体" w:hAnsi="宋体"/>
                <w:color w:val="auto"/>
                <w:highlight w:val="none"/>
              </w:rPr>
              <w:t>注：国家级奖项是指：国家住房和城乡建设部评选的《全国优秀工程勘察设计奖》；</w:t>
            </w:r>
            <w:r>
              <w:rPr>
                <w:rFonts w:hint="eastAsia" w:ascii="宋体" w:hAnsi="宋体"/>
                <w:u w:val="none"/>
                <w:lang w:eastAsia="zh-CN"/>
              </w:rPr>
              <w:t>国家住房和城乡建设部评选的《绿色建筑创新奖》；</w:t>
            </w:r>
            <w:r>
              <w:rPr>
                <w:rFonts w:hint="eastAsia" w:ascii="宋体" w:hAnsi="宋体"/>
                <w:color w:val="auto"/>
                <w:highlight w:val="none"/>
              </w:rPr>
              <w:t>国家工程建设质量奖审定委员会评选的《国家优质工程奖》；中国土木工程学会评选的《詹天佑土木工程大奖》；中国建筑业协会评选的《中国建设工程鲁班奖</w:t>
            </w:r>
            <w:r>
              <w:rPr>
                <w:rFonts w:hint="eastAsia" w:ascii="宋体" w:hAnsi="宋体"/>
                <w:color w:val="FF0000"/>
                <w:highlight w:val="none"/>
                <w:lang w:eastAsia="zh-CN"/>
              </w:rPr>
              <w:t>（</w:t>
            </w:r>
            <w:r>
              <w:rPr>
                <w:rFonts w:hint="eastAsia" w:ascii="宋体" w:hAnsi="宋体"/>
                <w:color w:val="FF0000"/>
                <w:highlight w:val="none"/>
                <w:lang w:val="en-US" w:eastAsia="zh-CN"/>
              </w:rPr>
              <w:t>国家优质工程</w:t>
            </w:r>
            <w:r>
              <w:rPr>
                <w:rFonts w:hint="eastAsia" w:ascii="宋体" w:hAnsi="宋体"/>
                <w:color w:val="FF0000"/>
                <w:highlight w:val="none"/>
                <w:lang w:eastAsia="zh-CN"/>
              </w:rPr>
              <w:t>）</w:t>
            </w:r>
            <w:r>
              <w:rPr>
                <w:rFonts w:hint="eastAsia" w:ascii="宋体" w:hAnsi="宋体"/>
                <w:color w:val="auto"/>
                <w:highlight w:val="none"/>
              </w:rPr>
              <w:t>》；中国勘察设计协会评选的《工程勘察、建筑设计行业和市政公用工程优秀勘察设计奖》或《全国优秀工程勘察设计行业奖》。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right w:val="single" w:color="auto" w:sz="4" w:space="0"/>
            </w:tcBorders>
          </w:tcPr>
          <w:p>
            <w:pPr>
              <w:spacing w:line="440" w:lineRule="exact"/>
              <w:jc w:val="center"/>
              <w:rPr>
                <w:highlight w:val="none"/>
              </w:rPr>
            </w:pPr>
          </w:p>
        </w:tc>
        <w:tc>
          <w:tcPr>
            <w:tcW w:w="1134" w:type="dxa"/>
            <w:vMerge w:val="continue"/>
            <w:tcBorders>
              <w:left w:val="single" w:color="auto" w:sz="4" w:space="0"/>
              <w:right w:val="single" w:color="auto" w:sz="4" w:space="0"/>
            </w:tcBorders>
          </w:tcPr>
          <w:p>
            <w:pPr>
              <w:spacing w:line="440" w:lineRule="exact"/>
              <w:jc w:val="center"/>
              <w:rPr>
                <w:highlight w:val="none"/>
              </w:rPr>
            </w:pPr>
          </w:p>
        </w:tc>
        <w:tc>
          <w:tcPr>
            <w:tcW w:w="661" w:type="dxa"/>
            <w:vMerge w:val="continue"/>
            <w:tcBorders>
              <w:left w:val="single" w:color="auto" w:sz="4" w:space="0"/>
              <w:bottom w:val="single" w:color="auto" w:sz="4" w:space="0"/>
              <w:right w:val="single" w:color="auto" w:sz="4" w:space="0"/>
            </w:tcBorders>
            <w:vAlign w:val="center"/>
          </w:tcPr>
          <w:p>
            <w:pPr>
              <w:spacing w:line="420" w:lineRule="atLeast"/>
              <w:jc w:val="center"/>
              <w:rPr>
                <w:highlight w:val="none"/>
              </w:rPr>
            </w:pPr>
          </w:p>
        </w:tc>
        <w:tc>
          <w:tcPr>
            <w:tcW w:w="10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2"/>
                <w:highlight w:val="none"/>
              </w:rPr>
            </w:pPr>
            <w:r>
              <w:rPr>
                <w:rFonts w:hint="eastAsia" w:ascii="宋体" w:hAnsi="宋体"/>
                <w:szCs w:val="22"/>
                <w:highlight w:val="none"/>
              </w:rPr>
              <w:t>□</w:t>
            </w:r>
          </w:p>
          <w:p>
            <w:pPr>
              <w:jc w:val="center"/>
              <w:rPr>
                <w:szCs w:val="22"/>
                <w:highlight w:val="none"/>
              </w:rPr>
            </w:pPr>
            <w:r>
              <w:rPr>
                <w:szCs w:val="22"/>
                <w:highlight w:val="none"/>
              </w:rPr>
              <w:t>项目负责人获奖</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napToGrid w:val="0"/>
              <w:spacing w:line="360" w:lineRule="auto"/>
              <w:ind w:firstLine="420" w:firstLineChars="200"/>
              <w:rPr>
                <w:rFonts w:ascii="宋体" w:hAnsi="宋体"/>
                <w:highlight w:val="none"/>
              </w:rPr>
            </w:pPr>
            <w:r>
              <w:rPr>
                <w:rFonts w:ascii="宋体" w:hAnsi="宋体"/>
                <w:highlight w:val="none"/>
              </w:rPr>
              <w:t>拟派项目负责人或其参与</w:t>
            </w:r>
            <w:r>
              <w:rPr>
                <w:rFonts w:hint="eastAsia" w:ascii="宋体" w:hAnsi="宋体"/>
                <w:highlight w:val="none"/>
              </w:rPr>
              <w:t>勘察</w:t>
            </w:r>
            <w:r>
              <w:rPr>
                <w:rFonts w:hint="eastAsia" w:ascii="宋体" w:hAnsi="宋体"/>
                <w:color w:val="FF0000"/>
                <w:highlight w:val="none"/>
              </w:rPr>
              <w:t>(或勘察设计)</w:t>
            </w:r>
            <w:r>
              <w:rPr>
                <w:rFonts w:hint="eastAsia" w:ascii="宋体" w:hAnsi="宋体"/>
                <w:highlight w:val="none"/>
              </w:rPr>
              <w:t>的项目获得过国家级奖项，每有</w:t>
            </w:r>
            <w:r>
              <w:rPr>
                <w:rFonts w:ascii="宋体" w:hAnsi="宋体"/>
                <w:highlight w:val="none"/>
              </w:rPr>
              <w:t>1个得</w:t>
            </w:r>
            <w:r>
              <w:rPr>
                <w:rFonts w:ascii="宋体" w:hAnsi="宋体"/>
                <w:highlight w:val="none"/>
                <w:u w:val="single"/>
              </w:rPr>
              <w:t xml:space="preserve">    </w:t>
            </w:r>
            <w:r>
              <w:rPr>
                <w:rFonts w:hint="eastAsia" w:ascii="宋体" w:hAnsi="宋体"/>
                <w:highlight w:val="none"/>
              </w:rPr>
              <w:t>分，最多得</w:t>
            </w:r>
            <w:r>
              <w:rPr>
                <w:rFonts w:ascii="宋体" w:hAnsi="宋体"/>
                <w:highlight w:val="none"/>
                <w:u w:val="single"/>
              </w:rPr>
              <w:t xml:space="preserve">    </w:t>
            </w:r>
            <w:r>
              <w:rPr>
                <w:rFonts w:hint="eastAsia" w:ascii="宋体" w:hAnsi="宋体"/>
                <w:highlight w:val="none"/>
              </w:rPr>
              <w:t>分。</w:t>
            </w:r>
          </w:p>
          <w:p>
            <w:pPr>
              <w:suppressLineNumbers w:val="0"/>
              <w:suppressAutoHyphens w:val="0"/>
              <w:snapToGrid w:val="0"/>
              <w:spacing w:line="360" w:lineRule="auto"/>
              <w:ind w:firstLine="210" w:firstLineChars="100"/>
              <w:rPr>
                <w:rFonts w:ascii="宋体" w:hAnsi="宋体"/>
                <w:highlight w:val="none"/>
              </w:rPr>
            </w:pPr>
            <w:r>
              <w:rPr>
                <w:rFonts w:hint="eastAsia" w:ascii="宋体" w:hAnsi="宋体"/>
                <w:highlight w:val="none"/>
              </w:rPr>
              <w:t>投标人须在投标文件商务部分提供获奖证书。</w:t>
            </w:r>
          </w:p>
          <w:p>
            <w:pPr>
              <w:suppressLineNumbers/>
              <w:suppressAutoHyphens/>
              <w:autoSpaceDE/>
              <w:autoSpaceDN/>
              <w:adjustRightInd/>
              <w:snapToGrid w:val="0"/>
              <w:spacing w:line="360" w:lineRule="auto"/>
              <w:ind w:firstLine="420" w:firstLineChars="200"/>
              <w:rPr>
                <w:rFonts w:ascii="宋体" w:hAnsi="宋体" w:cs="宋体"/>
                <w:kern w:val="0"/>
                <w:szCs w:val="21"/>
                <w:highlight w:val="none"/>
              </w:rPr>
            </w:pPr>
            <w:r>
              <w:rPr>
                <w:rFonts w:hint="eastAsia" w:ascii="宋体" w:hAnsi="宋体"/>
                <w:color w:val="auto"/>
                <w:highlight w:val="none"/>
              </w:rPr>
              <w:t>注：国家级奖项是指：国家住房和城乡建设部评选的《全国优秀工程勘察设计奖》；</w:t>
            </w:r>
            <w:r>
              <w:rPr>
                <w:rFonts w:hint="eastAsia" w:ascii="宋体" w:hAnsi="宋体"/>
                <w:u w:val="none"/>
                <w:lang w:eastAsia="zh-CN"/>
              </w:rPr>
              <w:t>国家住房和城乡建设部评选的《绿色建筑创新奖》；</w:t>
            </w:r>
            <w:r>
              <w:rPr>
                <w:rFonts w:hint="eastAsia" w:ascii="宋体" w:hAnsi="宋体"/>
                <w:color w:val="auto"/>
                <w:highlight w:val="none"/>
              </w:rPr>
              <w:t>国家住房和城乡建设部评选的“全国工程勘察设计大师”；国家工程建设质量奖审定委员会评选的《国家优质工程奖》；中国土木工程学会评选的《詹天佑土木工程大奖》；中国建筑业协会评选的《中国建设工程鲁班奖</w:t>
            </w:r>
            <w:r>
              <w:rPr>
                <w:rFonts w:hint="eastAsia" w:ascii="宋体" w:hAnsi="宋体"/>
                <w:color w:val="FF0000"/>
                <w:highlight w:val="none"/>
                <w:lang w:eastAsia="zh-CN"/>
              </w:rPr>
              <w:t>（</w:t>
            </w:r>
            <w:r>
              <w:rPr>
                <w:rFonts w:hint="eastAsia" w:ascii="宋体" w:hAnsi="宋体"/>
                <w:color w:val="FF0000"/>
                <w:highlight w:val="none"/>
                <w:lang w:val="en-US" w:eastAsia="zh-CN"/>
              </w:rPr>
              <w:t>国家优质工程</w:t>
            </w:r>
            <w:r>
              <w:rPr>
                <w:rFonts w:hint="eastAsia" w:ascii="宋体" w:hAnsi="宋体"/>
                <w:color w:val="FF0000"/>
                <w:highlight w:val="none"/>
                <w:lang w:eastAsia="zh-CN"/>
              </w:rPr>
              <w:t>）</w:t>
            </w:r>
            <w:r>
              <w:rPr>
                <w:rFonts w:hint="eastAsia" w:ascii="宋体" w:hAnsi="宋体"/>
                <w:color w:val="auto"/>
                <w:highlight w:val="none"/>
              </w:rPr>
              <w:t>》；中国勘察设计协会评选的《工程勘察、建筑设计行业和市政公用工程优秀勘察设计奖》或《全国优秀工程勘察设计行业奖》。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bottom w:val="single" w:color="auto" w:sz="4" w:space="0"/>
              <w:right w:val="single" w:color="auto" w:sz="4" w:space="0"/>
            </w:tcBorders>
            <w:vAlign w:val="center"/>
          </w:tcPr>
          <w:p>
            <w:pPr>
              <w:spacing w:line="440" w:lineRule="exact"/>
              <w:jc w:val="center"/>
              <w:rPr>
                <w:szCs w:val="22"/>
                <w:highlight w:val="none"/>
              </w:rPr>
            </w:pPr>
          </w:p>
        </w:tc>
        <w:tc>
          <w:tcPr>
            <w:tcW w:w="1134" w:type="dxa"/>
            <w:vMerge w:val="continue"/>
            <w:tcBorders>
              <w:left w:val="single" w:color="auto" w:sz="4" w:space="0"/>
              <w:bottom w:val="single" w:color="auto" w:sz="4" w:space="0"/>
              <w:right w:val="single" w:color="auto" w:sz="4" w:space="0"/>
            </w:tcBorders>
            <w:vAlign w:val="center"/>
          </w:tcPr>
          <w:p>
            <w:pPr>
              <w:spacing w:line="440" w:lineRule="exact"/>
              <w:jc w:val="center"/>
              <w:rPr>
                <w:szCs w:val="22"/>
                <w:highlight w:val="none"/>
              </w:rPr>
            </w:pPr>
          </w:p>
        </w:tc>
        <w:tc>
          <w:tcPr>
            <w:tcW w:w="1719" w:type="dxa"/>
            <w:gridSpan w:val="2"/>
            <w:tcBorders>
              <w:top w:val="single" w:color="auto" w:sz="4" w:space="0"/>
              <w:left w:val="single" w:color="auto" w:sz="4" w:space="0"/>
              <w:bottom w:val="single" w:color="auto" w:sz="4" w:space="0"/>
              <w:right w:val="single" w:color="auto" w:sz="4" w:space="0"/>
            </w:tcBorders>
            <w:vAlign w:val="center"/>
          </w:tcPr>
          <w:p>
            <w:pPr>
              <w:spacing w:line="240" w:lineRule="auto"/>
              <w:jc w:val="center"/>
              <w:rPr>
                <w:szCs w:val="22"/>
                <w:highlight w:val="none"/>
              </w:rPr>
            </w:pPr>
            <w:r>
              <w:rPr>
                <w:rFonts w:hint="eastAsia" w:ascii="宋体" w:hAnsi="宋体"/>
                <w:szCs w:val="22"/>
                <w:highlight w:val="none"/>
              </w:rPr>
              <w:t>□</w:t>
            </w:r>
            <w:r>
              <w:rPr>
                <w:rFonts w:hint="eastAsia"/>
                <w:highlight w:val="none"/>
              </w:rPr>
              <w:t>拟投入的勘察设备</w:t>
            </w:r>
          </w:p>
        </w:tc>
        <w:tc>
          <w:tcPr>
            <w:tcW w:w="6219" w:type="dxa"/>
            <w:tcBorders>
              <w:top w:val="single" w:color="auto" w:sz="4" w:space="0"/>
              <w:left w:val="single" w:color="auto" w:sz="4" w:space="0"/>
              <w:bottom w:val="single" w:color="auto" w:sz="4" w:space="0"/>
              <w:right w:val="single" w:color="auto" w:sz="4" w:space="0"/>
            </w:tcBorders>
            <w:vAlign w:val="center"/>
          </w:tcPr>
          <w:p>
            <w:pPr>
              <w:spacing w:line="312" w:lineRule="auto"/>
              <w:ind w:firstLine="420" w:firstLineChars="200"/>
              <w:rPr>
                <w:rFonts w:ascii="宋体" w:hAnsi="宋体"/>
                <w:szCs w:val="21"/>
                <w:highlight w:val="none"/>
              </w:rPr>
            </w:pPr>
          </w:p>
          <w:p>
            <w:pPr>
              <w:snapToGrid w:val="0"/>
              <w:spacing w:line="312" w:lineRule="auto"/>
              <w:ind w:firstLine="420" w:firstLineChars="200"/>
              <w:rPr>
                <w:rFonts w:ascii="宋体" w:hAnsi="宋体"/>
                <w:i/>
                <w:iCs/>
                <w:kern w:val="0"/>
                <w:highlight w:val="none"/>
              </w:rPr>
            </w:pPr>
            <w:r>
              <w:rPr>
                <w:rFonts w:ascii="宋体" w:hAnsi="宋体"/>
                <w:i/>
                <w:iCs/>
                <w:kern w:val="0"/>
                <w:highlight w:val="none"/>
              </w:rPr>
              <w:t>[提示：</w:t>
            </w:r>
            <w:r>
              <w:rPr>
                <w:rFonts w:hint="eastAsia" w:ascii="宋体" w:hAnsi="宋体"/>
                <w:i/>
                <w:iCs/>
                <w:highlight w:val="none"/>
              </w:rPr>
              <w:t>用于商务部分评分的</w:t>
            </w:r>
            <w:r>
              <w:rPr>
                <w:rFonts w:hint="eastAsia" w:ascii="宋体" w:hAnsi="宋体"/>
                <w:i/>
                <w:iCs/>
                <w:kern w:val="0"/>
                <w:highlight w:val="none"/>
              </w:rPr>
              <w:t>拟投入勘察设备种类</w:t>
            </w:r>
            <w:r>
              <w:rPr>
                <w:rFonts w:ascii="宋体" w:hAnsi="宋体"/>
                <w:i/>
                <w:iCs/>
                <w:kern w:val="0"/>
                <w:highlight w:val="none"/>
              </w:rPr>
              <w:t>不应超过</w:t>
            </w:r>
            <w:r>
              <w:rPr>
                <w:rFonts w:hint="eastAsia" w:ascii="宋体" w:hAnsi="宋体"/>
                <w:i/>
                <w:iCs/>
                <w:kern w:val="0"/>
                <w:highlight w:val="none"/>
              </w:rPr>
              <w:t>3种</w:t>
            </w:r>
            <w:r>
              <w:rPr>
                <w:rFonts w:hint="eastAsia"/>
                <w:i/>
                <w:iCs/>
                <w:highlight w:val="none"/>
              </w:rPr>
              <w:t>。</w:t>
            </w:r>
            <w:r>
              <w:rPr>
                <w:rFonts w:ascii="宋体" w:hAnsi="宋体"/>
                <w:i/>
                <w:iCs/>
                <w:kern w:val="0"/>
                <w:highlight w:val="none"/>
              </w:rPr>
              <w:t>]</w:t>
            </w:r>
          </w:p>
          <w:p>
            <w:pPr>
              <w:spacing w:line="312" w:lineRule="auto"/>
              <w:ind w:firstLine="420" w:firstLineChars="200"/>
              <w:rPr>
                <w:rFonts w:hint="eastAsia" w:ascii="宋体" w:hAnsi="宋体"/>
                <w:szCs w:val="21"/>
                <w:highlight w:val="none"/>
              </w:rPr>
            </w:pPr>
            <w:r>
              <w:rPr>
                <w:rFonts w:hint="eastAsia" w:ascii="宋体" w:hAnsi="宋体"/>
                <w:szCs w:val="21"/>
                <w:highlight w:val="none"/>
              </w:rPr>
              <w:t>拟投入</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，得</w:t>
            </w:r>
            <w:r>
              <w:rPr>
                <w:rFonts w:ascii="宋体" w:hAnsi="宋体"/>
                <w:szCs w:val="21"/>
                <w:highlight w:val="none"/>
                <w:u w:val="single"/>
              </w:rPr>
              <w:t xml:space="preserve">  </w:t>
            </w:r>
            <w:r>
              <w:rPr>
                <w:rFonts w:hint="eastAsia" w:ascii="宋体" w:hAnsi="宋体"/>
                <w:szCs w:val="21"/>
                <w:highlight w:val="none"/>
              </w:rPr>
              <w:t>分；</w:t>
            </w:r>
          </w:p>
          <w:p>
            <w:pPr>
              <w:spacing w:line="312" w:lineRule="auto"/>
              <w:ind w:firstLine="420" w:firstLineChars="200"/>
              <w:rPr>
                <w:rFonts w:hint="eastAsia" w:ascii="宋体" w:hAnsi="宋体"/>
                <w:szCs w:val="21"/>
                <w:highlight w:val="none"/>
              </w:rPr>
            </w:pPr>
            <w:r>
              <w:rPr>
                <w:rFonts w:hint="eastAsia" w:ascii="宋体" w:hAnsi="宋体"/>
                <w:szCs w:val="21"/>
                <w:highlight w:val="none"/>
              </w:rPr>
              <w:t>……</w:t>
            </w:r>
          </w:p>
          <w:p>
            <w:pPr>
              <w:spacing w:line="312" w:lineRule="auto"/>
              <w:ind w:firstLine="420" w:firstLineChars="200"/>
              <w:rPr>
                <w:rFonts w:ascii="宋体" w:hAnsi="宋体"/>
                <w:szCs w:val="21"/>
                <w:highlight w:val="none"/>
              </w:rPr>
            </w:pPr>
            <w:r>
              <w:rPr>
                <w:rFonts w:hint="eastAsia" w:ascii="宋体" w:hAnsi="宋体"/>
                <w:szCs w:val="21"/>
                <w:highlight w:val="none"/>
                <w:lang w:eastAsia="zh-CN"/>
              </w:rPr>
              <w:t>本项</w:t>
            </w:r>
            <w:r>
              <w:rPr>
                <w:rFonts w:hint="eastAsia" w:ascii="宋体" w:hAnsi="宋体"/>
                <w:szCs w:val="21"/>
                <w:highlight w:val="none"/>
              </w:rPr>
              <w:t>最多得</w:t>
            </w:r>
            <w:r>
              <w:rPr>
                <w:rFonts w:hint="eastAsia" w:ascii="宋体" w:hAnsi="宋体"/>
                <w:szCs w:val="21"/>
                <w:highlight w:val="none"/>
                <w:u w:val="single"/>
              </w:rPr>
              <w:t xml:space="preserve">    </w:t>
            </w:r>
            <w:r>
              <w:rPr>
                <w:rFonts w:hint="eastAsia" w:ascii="宋体" w:hAnsi="宋体"/>
                <w:szCs w:val="21"/>
                <w:highlight w:val="none"/>
              </w:rPr>
              <w:t>分。</w:t>
            </w:r>
          </w:p>
          <w:p>
            <w:pPr>
              <w:suppressLineNumbers w:val="0"/>
              <w:suppressAutoHyphens w:val="0"/>
              <w:spacing w:line="312" w:lineRule="auto"/>
              <w:ind w:firstLine="420" w:firstLineChars="200"/>
              <w:rPr>
                <w:color w:val="000000"/>
                <w:szCs w:val="22"/>
                <w:highlight w:val="none"/>
              </w:rPr>
            </w:pPr>
            <w:r>
              <w:rPr>
                <w:rFonts w:hint="eastAsia" w:ascii="宋体" w:hAnsi="宋体"/>
                <w:szCs w:val="22"/>
                <w:highlight w:val="none"/>
              </w:rPr>
              <w:t>投标人须在投标文件商务部分提供拟投入的相关设备清单及购买发票（或租赁合同）。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restart"/>
            <w:tcBorders>
              <w:top w:val="single" w:color="auto" w:sz="4" w:space="0"/>
              <w:left w:val="single" w:color="auto" w:sz="4" w:space="0"/>
              <w:right w:val="single" w:color="auto" w:sz="4" w:space="0"/>
            </w:tcBorders>
            <w:vAlign w:val="center"/>
          </w:tcPr>
          <w:p>
            <w:pPr>
              <w:jc w:val="center"/>
              <w:rPr>
                <w:szCs w:val="22"/>
                <w:highlight w:val="none"/>
              </w:rPr>
            </w:pPr>
            <w:r>
              <w:rPr>
                <w:szCs w:val="22"/>
                <w:highlight w:val="none"/>
              </w:rPr>
              <w:t>2.2.4（3）</w:t>
            </w:r>
          </w:p>
        </w:tc>
        <w:tc>
          <w:tcPr>
            <w:tcW w:w="1134" w:type="dxa"/>
            <w:vMerge w:val="restart"/>
            <w:tcBorders>
              <w:top w:val="single" w:color="auto" w:sz="4" w:space="0"/>
              <w:left w:val="single" w:color="auto" w:sz="4" w:space="0"/>
              <w:right w:val="single" w:color="auto" w:sz="4" w:space="0"/>
            </w:tcBorders>
            <w:vAlign w:val="center"/>
          </w:tcPr>
          <w:p>
            <w:pPr>
              <w:spacing w:line="440" w:lineRule="exact"/>
              <w:jc w:val="center"/>
              <w:rPr>
                <w:szCs w:val="22"/>
                <w:highlight w:val="none"/>
              </w:rPr>
            </w:pPr>
            <w:r>
              <w:rPr>
                <w:rFonts w:hint="eastAsia" w:ascii="宋体" w:hAnsi="宋体"/>
                <w:kern w:val="0"/>
                <w:highlight w:val="none"/>
              </w:rPr>
              <w:t>投标函部分评审标准</w:t>
            </w:r>
          </w:p>
        </w:tc>
        <w:tc>
          <w:tcPr>
            <w:tcW w:w="1719" w:type="dxa"/>
            <w:gridSpan w:val="2"/>
            <w:tcBorders>
              <w:top w:val="single" w:color="auto" w:sz="4" w:space="0"/>
              <w:left w:val="nil"/>
              <w:bottom w:val="single" w:color="auto" w:sz="4" w:space="0"/>
              <w:right w:val="single" w:color="auto" w:sz="4" w:space="0"/>
            </w:tcBorders>
            <w:vAlign w:val="center"/>
          </w:tcPr>
          <w:p>
            <w:pPr>
              <w:suppressLineNumbers w:val="0"/>
              <w:suppressAutoHyphens w:val="0"/>
              <w:spacing w:line="420" w:lineRule="atLeast"/>
              <w:jc w:val="center"/>
              <w:rPr>
                <w:szCs w:val="22"/>
                <w:highlight w:val="none"/>
              </w:rPr>
            </w:pPr>
            <w:r>
              <w:rPr>
                <w:rFonts w:hint="eastAsia" w:ascii="宋体" w:hAnsi="宋体" w:cs="宋体"/>
                <w:kern w:val="0"/>
                <w:highlight w:val="none"/>
              </w:rPr>
              <w:t>投标函部分的签名盖章</w:t>
            </w:r>
          </w:p>
        </w:tc>
        <w:tc>
          <w:tcPr>
            <w:tcW w:w="6219" w:type="dxa"/>
            <w:tcBorders>
              <w:top w:val="single" w:color="auto" w:sz="4" w:space="0"/>
              <w:left w:val="single" w:color="auto" w:sz="4" w:space="0"/>
              <w:bottom w:val="single" w:color="auto" w:sz="4" w:space="0"/>
              <w:right w:val="single" w:color="auto" w:sz="4" w:space="0"/>
            </w:tcBorders>
          </w:tcPr>
          <w:p>
            <w:pPr>
              <w:snapToGrid w:val="0"/>
              <w:spacing w:line="400" w:lineRule="exact"/>
              <w:ind w:firstLine="420" w:firstLineChars="200"/>
              <w:rPr>
                <w:rFonts w:ascii="宋体" w:hAnsi="宋体" w:cs="宋体"/>
                <w:kern w:val="0"/>
                <w:highlight w:val="none"/>
              </w:rPr>
            </w:pPr>
            <w:r>
              <w:rPr>
                <w:rFonts w:hint="eastAsia" w:ascii="宋体" w:hAnsi="宋体" w:cs="宋体"/>
                <w:kern w:val="0"/>
                <w:highlight w:val="none"/>
              </w:rPr>
              <w:t>投标函部分的格式要求法定代表人或其委托代理人签名（或盖章）的须齐全，</w:t>
            </w:r>
            <w:r>
              <w:rPr>
                <w:rFonts w:hint="eastAsia" w:ascii="宋体" w:hAnsi="宋体"/>
                <w:color w:val="auto"/>
                <w:szCs w:val="21"/>
                <w:highlight w:val="none"/>
                <w:lang w:val="en-US" w:eastAsia="zh-CN"/>
              </w:rPr>
              <w:t>要求签名的，</w:t>
            </w:r>
            <w:r>
              <w:rPr>
                <w:rFonts w:hint="eastAsia" w:ascii="宋体" w:hAnsi="宋体"/>
                <w:color w:val="auto"/>
                <w:szCs w:val="21"/>
                <w:highlight w:val="none"/>
              </w:rPr>
              <w:t>签名采用手写签名</w:t>
            </w:r>
            <w:r>
              <w:rPr>
                <w:rFonts w:hint="eastAsia" w:ascii="宋体" w:hAnsi="宋体"/>
                <w:color w:val="auto"/>
                <w:szCs w:val="21"/>
                <w:highlight w:val="none"/>
                <w:lang w:val="en-US" w:eastAsia="zh-CN"/>
              </w:rPr>
              <w:t>或签章</w:t>
            </w:r>
            <w:r>
              <w:rPr>
                <w:rFonts w:hint="eastAsia" w:ascii="宋体" w:hAnsi="宋体"/>
                <w:color w:val="auto"/>
                <w:szCs w:val="21"/>
                <w:highlight w:val="none"/>
              </w:rPr>
              <w:t>或加盖CA数字证书均可</w:t>
            </w:r>
            <w:r>
              <w:rPr>
                <w:rFonts w:hint="eastAsia" w:ascii="宋体" w:hAnsi="宋体"/>
                <w:color w:val="auto"/>
                <w:szCs w:val="21"/>
                <w:highlight w:val="none"/>
                <w:lang w:eastAsia="zh-CN"/>
              </w:rPr>
              <w:t>，</w:t>
            </w:r>
            <w:r>
              <w:rPr>
                <w:rFonts w:hint="eastAsia" w:ascii="宋体" w:hAnsi="宋体" w:cs="宋体"/>
                <w:kern w:val="0"/>
                <w:highlight w:val="none"/>
              </w:rPr>
              <w:t>要求加盖单位法人章的，应使用 CA 数字证书加盖投标人的单位电子印章。</w:t>
            </w:r>
          </w:p>
          <w:p>
            <w:pPr>
              <w:suppressLineNumbers w:val="0"/>
              <w:suppressAutoHyphens/>
              <w:spacing w:line="400" w:lineRule="exact"/>
              <w:ind w:firstLine="420" w:firstLineChars="200"/>
              <w:rPr>
                <w:rFonts w:ascii="宋体" w:hAnsi="宋体"/>
                <w:szCs w:val="21"/>
                <w:highlight w:val="none"/>
              </w:rPr>
            </w:pPr>
            <w:r>
              <w:rPr>
                <w:rFonts w:hint="eastAsia" w:ascii="宋体" w:hAnsi="宋体" w:cs="宋体"/>
                <w:kern w:val="0"/>
                <w:highlight w:val="none"/>
              </w:rPr>
              <w:t>联合体投标的，投标函部分的格式中要求投标人加盖单位法人章的，均由联合体牵头人使用 CA 数字证书加盖其单位电子印章。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top w:val="single" w:color="auto" w:sz="4" w:space="0"/>
              <w:left w:val="single" w:color="auto" w:sz="4" w:space="0"/>
              <w:right w:val="single" w:color="auto" w:sz="4" w:space="0"/>
            </w:tcBorders>
            <w:vAlign w:val="center"/>
          </w:tcPr>
          <w:p>
            <w:pPr>
              <w:jc w:val="center"/>
              <w:rPr>
                <w:szCs w:val="22"/>
                <w:highlight w:val="none"/>
              </w:rPr>
            </w:pPr>
          </w:p>
        </w:tc>
        <w:tc>
          <w:tcPr>
            <w:tcW w:w="113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highlight w:val="none"/>
              </w:rPr>
            </w:pPr>
          </w:p>
        </w:tc>
        <w:tc>
          <w:tcPr>
            <w:tcW w:w="1719" w:type="dxa"/>
            <w:gridSpan w:val="2"/>
            <w:tcBorders>
              <w:top w:val="single" w:color="auto" w:sz="4" w:space="0"/>
              <w:left w:val="nil"/>
              <w:bottom w:val="single" w:color="auto" w:sz="4" w:space="0"/>
              <w:right w:val="single" w:color="auto" w:sz="4" w:space="0"/>
            </w:tcBorders>
            <w:vAlign w:val="center"/>
          </w:tcPr>
          <w:p>
            <w:pPr>
              <w:suppressLineNumbers w:val="0"/>
              <w:suppressAutoHyphens w:val="0"/>
              <w:spacing w:line="400" w:lineRule="exact"/>
              <w:jc w:val="left"/>
              <w:rPr>
                <w:highlight w:val="none"/>
              </w:rPr>
            </w:pPr>
            <w:r>
              <w:rPr>
                <w:rFonts w:hint="eastAsia" w:ascii="Times New Roman" w:hAnsi="Times New Roman" w:cs="Times New Roman"/>
                <w:kern w:val="2"/>
                <w:highlight w:val="none"/>
              </w:rPr>
              <w:t>勘察服务期限</w:t>
            </w:r>
          </w:p>
        </w:tc>
        <w:tc>
          <w:tcPr>
            <w:tcW w:w="6219" w:type="dxa"/>
            <w:tcBorders>
              <w:top w:val="single" w:color="auto" w:sz="4" w:space="0"/>
              <w:left w:val="single" w:color="auto" w:sz="4" w:space="0"/>
              <w:bottom w:val="single" w:color="auto" w:sz="4" w:space="0"/>
              <w:right w:val="single" w:color="auto" w:sz="4" w:space="0"/>
            </w:tcBorders>
          </w:tcPr>
          <w:p>
            <w:pPr>
              <w:suppressLineNumbers w:val="0"/>
              <w:suppressAutoHyphens w:val="0"/>
              <w:spacing w:line="400" w:lineRule="exact"/>
              <w:ind w:firstLine="420" w:firstLineChars="200"/>
              <w:jc w:val="left"/>
              <w:rPr>
                <w:rFonts w:ascii="Times New Roman" w:hAnsi="Times New Roman"/>
                <w:szCs w:val="24"/>
                <w:highlight w:val="none"/>
              </w:rPr>
            </w:pPr>
            <w:r>
              <w:rPr>
                <w:rFonts w:hint="eastAsia" w:ascii="Times New Roman" w:hAnsi="Times New Roman" w:cs="Times New Roman"/>
                <w:kern w:val="2"/>
                <w:highlight w:val="none"/>
              </w:rPr>
              <w:t>符合第二章“投标人须知”第</w:t>
            </w:r>
            <w:r>
              <w:rPr>
                <w:rFonts w:ascii="Times New Roman" w:hAnsi="Times New Roman" w:cs="Times New Roman"/>
                <w:kern w:val="2"/>
                <w:highlight w:val="none"/>
              </w:rPr>
              <w:t>1.3.2</w:t>
            </w:r>
            <w:r>
              <w:rPr>
                <w:rFonts w:hint="eastAsia" w:ascii="Times New Roman" w:hAnsi="Times New Roman" w:cs="Times New Roman"/>
                <w:kern w:val="2"/>
                <w:highlight w:val="none"/>
              </w:rPr>
              <w:t>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top w:val="single" w:color="auto" w:sz="4" w:space="0"/>
              <w:left w:val="single" w:color="auto" w:sz="4" w:space="0"/>
              <w:right w:val="single" w:color="auto" w:sz="4" w:space="0"/>
            </w:tcBorders>
            <w:vAlign w:val="center"/>
          </w:tcPr>
          <w:p>
            <w:pPr>
              <w:jc w:val="center"/>
              <w:rPr>
                <w:szCs w:val="22"/>
                <w:highlight w:val="none"/>
              </w:rPr>
            </w:pPr>
          </w:p>
        </w:tc>
        <w:tc>
          <w:tcPr>
            <w:tcW w:w="113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highlight w:val="none"/>
              </w:rPr>
            </w:pPr>
          </w:p>
        </w:tc>
        <w:tc>
          <w:tcPr>
            <w:tcW w:w="1719" w:type="dxa"/>
            <w:gridSpan w:val="2"/>
            <w:tcBorders>
              <w:top w:val="single" w:color="auto" w:sz="4" w:space="0"/>
              <w:left w:val="nil"/>
              <w:bottom w:val="single" w:color="auto" w:sz="4" w:space="0"/>
              <w:right w:val="single" w:color="auto" w:sz="4" w:space="0"/>
            </w:tcBorders>
            <w:vAlign w:val="center"/>
          </w:tcPr>
          <w:p>
            <w:pPr>
              <w:suppressLineNumbers w:val="0"/>
              <w:suppressAutoHyphens w:val="0"/>
              <w:spacing w:line="420" w:lineRule="atLeast"/>
              <w:jc w:val="center"/>
              <w:rPr>
                <w:szCs w:val="22"/>
                <w:highlight w:val="none"/>
              </w:rPr>
            </w:pPr>
            <w:r>
              <w:rPr>
                <w:rFonts w:hint="eastAsia"/>
                <w:highlight w:val="none"/>
              </w:rPr>
              <w:t>质量标准</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00" w:lineRule="exact"/>
              <w:ind w:firstLine="420" w:firstLineChars="200"/>
              <w:jc w:val="left"/>
              <w:rPr>
                <w:rFonts w:ascii="宋体" w:hAnsi="宋体"/>
                <w:szCs w:val="21"/>
                <w:highlight w:val="none"/>
              </w:rPr>
            </w:pPr>
            <w:r>
              <w:rPr>
                <w:rFonts w:hint="eastAsia"/>
                <w:highlight w:val="none"/>
              </w:rPr>
              <w:t>符合第二章“投标人须知”第1.3.3项规定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top w:val="single" w:color="auto" w:sz="4" w:space="0"/>
              <w:left w:val="single" w:color="auto" w:sz="4" w:space="0"/>
              <w:right w:val="single" w:color="auto" w:sz="4" w:space="0"/>
            </w:tcBorders>
            <w:vAlign w:val="center"/>
          </w:tcPr>
          <w:p>
            <w:pPr>
              <w:jc w:val="center"/>
              <w:rPr>
                <w:szCs w:val="22"/>
                <w:highlight w:val="none"/>
              </w:rPr>
            </w:pPr>
          </w:p>
        </w:tc>
        <w:tc>
          <w:tcPr>
            <w:tcW w:w="113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highlight w:val="none"/>
              </w:rPr>
            </w:pPr>
          </w:p>
        </w:tc>
        <w:tc>
          <w:tcPr>
            <w:tcW w:w="1719" w:type="dxa"/>
            <w:gridSpan w:val="2"/>
            <w:tcBorders>
              <w:top w:val="single" w:color="auto" w:sz="4" w:space="0"/>
              <w:left w:val="nil"/>
              <w:bottom w:val="single" w:color="auto" w:sz="4" w:space="0"/>
              <w:right w:val="single" w:color="auto" w:sz="4" w:space="0"/>
            </w:tcBorders>
            <w:vAlign w:val="center"/>
          </w:tcPr>
          <w:p>
            <w:pPr>
              <w:suppressLineNumbers w:val="0"/>
              <w:suppressAutoHyphens w:val="0"/>
              <w:spacing w:line="420" w:lineRule="atLeast"/>
              <w:jc w:val="center"/>
              <w:rPr>
                <w:szCs w:val="22"/>
                <w:highlight w:val="none"/>
              </w:rPr>
            </w:pPr>
            <w:r>
              <w:rPr>
                <w:rFonts w:hint="eastAsia"/>
                <w:highlight w:val="none"/>
              </w:rPr>
              <w:t>投标有效期</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00" w:lineRule="exact"/>
              <w:ind w:firstLine="420" w:firstLineChars="200"/>
              <w:jc w:val="left"/>
              <w:rPr>
                <w:rFonts w:ascii="宋体" w:hAnsi="宋体"/>
                <w:szCs w:val="21"/>
                <w:highlight w:val="none"/>
              </w:rPr>
            </w:pPr>
            <w:r>
              <w:rPr>
                <w:rFonts w:hint="eastAsia"/>
                <w:highlight w:val="none"/>
              </w:rPr>
              <w:t>符合第二章“投标人须知”第3.3.1项规定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top w:val="single" w:color="auto" w:sz="4" w:space="0"/>
              <w:left w:val="single" w:color="auto" w:sz="4" w:space="0"/>
              <w:right w:val="single" w:color="auto" w:sz="4" w:space="0"/>
            </w:tcBorders>
            <w:vAlign w:val="center"/>
          </w:tcPr>
          <w:p>
            <w:pPr>
              <w:jc w:val="center"/>
              <w:rPr>
                <w:szCs w:val="22"/>
                <w:highlight w:val="none"/>
              </w:rPr>
            </w:pPr>
          </w:p>
        </w:tc>
        <w:tc>
          <w:tcPr>
            <w:tcW w:w="113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highlight w:val="none"/>
              </w:rPr>
            </w:pPr>
          </w:p>
        </w:tc>
        <w:tc>
          <w:tcPr>
            <w:tcW w:w="1719" w:type="dxa"/>
            <w:gridSpan w:val="2"/>
            <w:tcBorders>
              <w:top w:val="single" w:color="auto" w:sz="4" w:space="0"/>
              <w:left w:val="nil"/>
              <w:bottom w:val="single" w:color="auto" w:sz="4" w:space="0"/>
              <w:right w:val="single" w:color="auto" w:sz="4" w:space="0"/>
            </w:tcBorders>
            <w:vAlign w:val="center"/>
          </w:tcPr>
          <w:p>
            <w:pPr>
              <w:suppressLineNumbers w:val="0"/>
              <w:suppressAutoHyphens w:val="0"/>
              <w:spacing w:line="420" w:lineRule="atLeast"/>
              <w:jc w:val="center"/>
              <w:rPr>
                <w:highlight w:val="none"/>
              </w:rPr>
            </w:pPr>
            <w:r>
              <w:rPr>
                <w:rFonts w:hint="eastAsia"/>
                <w:highlight w:val="none"/>
              </w:rPr>
              <w:t>投标报价</w:t>
            </w:r>
          </w:p>
        </w:tc>
        <w:tc>
          <w:tcPr>
            <w:tcW w:w="6219" w:type="dxa"/>
            <w:tcBorders>
              <w:top w:val="single" w:color="auto" w:sz="4" w:space="0"/>
              <w:left w:val="single" w:color="auto" w:sz="4" w:space="0"/>
              <w:bottom w:val="single" w:color="auto" w:sz="4" w:space="0"/>
              <w:right w:val="single" w:color="auto" w:sz="4" w:space="0"/>
            </w:tcBorders>
          </w:tcPr>
          <w:p>
            <w:pPr>
              <w:tabs>
                <w:tab w:val="left" w:pos="1035"/>
              </w:tabs>
              <w:spacing w:line="400" w:lineRule="exact"/>
              <w:ind w:firstLine="420" w:firstLineChars="200"/>
              <w:rPr>
                <w:highlight w:val="none"/>
              </w:rPr>
            </w:pPr>
            <w:r>
              <w:rPr>
                <w:rFonts w:hint="eastAsia"/>
                <w:highlight w:val="none"/>
              </w:rPr>
              <w:t>1.投标函中的投标报价不得高于招标人公布的投标报价最高限价。</w:t>
            </w:r>
          </w:p>
          <w:p>
            <w:pPr>
              <w:tabs>
                <w:tab w:val="left" w:pos="1035"/>
              </w:tabs>
              <w:spacing w:line="400" w:lineRule="exact"/>
              <w:ind w:firstLine="420" w:firstLineChars="200"/>
              <w:rPr>
                <w:highlight w:val="none"/>
              </w:rPr>
            </w:pPr>
            <w:r>
              <w:rPr>
                <w:rFonts w:hint="eastAsia"/>
                <w:highlight w:val="none"/>
              </w:rPr>
              <w:t>2.投标函中的</w:t>
            </w:r>
            <w:r>
              <w:rPr>
                <w:rFonts w:hint="eastAsia"/>
                <w:highlight w:val="none"/>
                <w:lang w:val="en-US" w:eastAsia="zh-CN"/>
              </w:rPr>
              <w:t>投标总</w:t>
            </w:r>
            <w:r>
              <w:rPr>
                <w:rFonts w:hint="eastAsia"/>
                <w:highlight w:val="none"/>
              </w:rPr>
              <w:t>报价必须与依据固定</w:t>
            </w:r>
            <w:r>
              <w:rPr>
                <w:rFonts w:hint="eastAsia"/>
                <w:highlight w:val="none"/>
                <w:lang w:val="en-US" w:eastAsia="zh-CN"/>
              </w:rPr>
              <w:t>费</w:t>
            </w:r>
            <w:r>
              <w:rPr>
                <w:rFonts w:hint="eastAsia"/>
                <w:highlight w:val="none"/>
              </w:rPr>
              <w:t>率</w:t>
            </w:r>
            <w:r>
              <w:rPr>
                <w:rFonts w:hint="eastAsia"/>
                <w:highlight w:val="none"/>
                <w:lang w:eastAsia="zh-CN"/>
              </w:rPr>
              <w:t>（或固定单价）</w:t>
            </w:r>
            <w:r>
              <w:rPr>
                <w:rFonts w:hint="eastAsia"/>
                <w:highlight w:val="none"/>
              </w:rPr>
              <w:t>计算出的结果一致；</w:t>
            </w:r>
          </w:p>
          <w:p>
            <w:pPr>
              <w:suppressLineNumbers w:val="0"/>
              <w:tabs>
                <w:tab w:val="left" w:pos="1035"/>
              </w:tabs>
              <w:suppressAutoHyphens w:val="0"/>
              <w:spacing w:line="400" w:lineRule="exact"/>
              <w:ind w:firstLine="420" w:firstLineChars="200"/>
              <w:rPr>
                <w:highlight w:val="none"/>
              </w:rPr>
            </w:pPr>
            <w:r>
              <w:rPr>
                <w:rFonts w:hint="eastAsia"/>
                <w:highlight w:val="none"/>
              </w:rPr>
              <w:t>3.采用勘察费用清单报价的，投标函中的投标总报价必须与勘察费用清单合计报价一致。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top w:val="single" w:color="auto" w:sz="4" w:space="0"/>
              <w:left w:val="single" w:color="auto" w:sz="4" w:space="0"/>
              <w:right w:val="single" w:color="auto" w:sz="4" w:space="0"/>
            </w:tcBorders>
            <w:vAlign w:val="center"/>
          </w:tcPr>
          <w:p>
            <w:pPr>
              <w:jc w:val="center"/>
              <w:rPr>
                <w:szCs w:val="22"/>
                <w:highlight w:val="none"/>
              </w:rPr>
            </w:pPr>
          </w:p>
        </w:tc>
        <w:tc>
          <w:tcPr>
            <w:tcW w:w="113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highlight w:val="none"/>
              </w:rPr>
            </w:pPr>
          </w:p>
        </w:tc>
        <w:tc>
          <w:tcPr>
            <w:tcW w:w="1719" w:type="dxa"/>
            <w:gridSpan w:val="2"/>
            <w:tcBorders>
              <w:top w:val="single" w:color="auto" w:sz="4" w:space="0"/>
              <w:left w:val="nil"/>
              <w:bottom w:val="single" w:color="auto" w:sz="4" w:space="0"/>
              <w:right w:val="single" w:color="auto" w:sz="4" w:space="0"/>
            </w:tcBorders>
          </w:tcPr>
          <w:p>
            <w:pPr>
              <w:spacing w:line="420" w:lineRule="atLeast"/>
              <w:jc w:val="center"/>
              <w:rPr>
                <w:highlight w:val="none"/>
              </w:rPr>
            </w:pPr>
            <w:r>
              <w:rPr>
                <w:rFonts w:hint="eastAsia"/>
                <w:highlight w:val="none"/>
              </w:rPr>
              <w:t>报价唯一</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00" w:lineRule="exact"/>
              <w:ind w:firstLine="420" w:firstLineChars="200"/>
              <w:rPr>
                <w:highlight w:val="none"/>
              </w:rPr>
            </w:pPr>
            <w:r>
              <w:rPr>
                <w:rFonts w:hint="eastAsia"/>
                <w:highlight w:val="none"/>
              </w:rPr>
              <w:t>只能有一个有效报价，在招标文件没有规定的情况下，不得提交选择性报价。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top w:val="single" w:color="auto" w:sz="4" w:space="0"/>
              <w:left w:val="single" w:color="auto" w:sz="4" w:space="0"/>
              <w:right w:val="single" w:color="auto" w:sz="4" w:space="0"/>
            </w:tcBorders>
            <w:vAlign w:val="center"/>
          </w:tcPr>
          <w:p>
            <w:pPr>
              <w:jc w:val="center"/>
              <w:rPr>
                <w:szCs w:val="22"/>
                <w:highlight w:val="none"/>
              </w:rPr>
            </w:pPr>
          </w:p>
        </w:tc>
        <w:tc>
          <w:tcPr>
            <w:tcW w:w="113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highlight w:val="none"/>
              </w:rPr>
            </w:pPr>
          </w:p>
        </w:tc>
        <w:tc>
          <w:tcPr>
            <w:tcW w:w="1719" w:type="dxa"/>
            <w:gridSpan w:val="2"/>
            <w:tcBorders>
              <w:top w:val="single" w:color="auto" w:sz="4" w:space="0"/>
              <w:left w:val="nil"/>
              <w:bottom w:val="single" w:color="auto" w:sz="4" w:space="0"/>
              <w:right w:val="single" w:color="auto" w:sz="4" w:space="0"/>
            </w:tcBorders>
            <w:vAlign w:val="center"/>
          </w:tcPr>
          <w:p>
            <w:pPr>
              <w:spacing w:line="420" w:lineRule="atLeast"/>
              <w:jc w:val="center"/>
              <w:rPr>
                <w:rFonts w:hint="eastAsia"/>
                <w:highlight w:val="none"/>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00" w:lineRule="exact"/>
              <w:ind w:firstLine="420" w:firstLineChars="200"/>
              <w:jc w:val="left"/>
              <w:rPr>
                <w:rFonts w:hint="eastAsia"/>
                <w:highlight w:val="none"/>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Theme="minorEastAsia" w:hAnsiTheme="minorEastAsia" w:eastAsiaTheme="minorEastAsia" w:cstheme="minorEastAsia"/>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top w:val="single" w:color="auto" w:sz="4" w:space="0"/>
              <w:left w:val="single" w:color="auto" w:sz="4" w:space="0"/>
              <w:right w:val="single" w:color="auto" w:sz="4" w:space="0"/>
            </w:tcBorders>
            <w:vAlign w:val="center"/>
          </w:tcPr>
          <w:p>
            <w:pPr>
              <w:jc w:val="center"/>
              <w:rPr>
                <w:szCs w:val="22"/>
                <w:highlight w:val="none"/>
              </w:rPr>
            </w:pPr>
          </w:p>
        </w:tc>
        <w:tc>
          <w:tcPr>
            <w:tcW w:w="1134" w:type="dxa"/>
            <w:vMerge w:val="continue"/>
            <w:tcBorders>
              <w:top w:val="single" w:color="auto" w:sz="4" w:space="0"/>
              <w:left w:val="single" w:color="auto" w:sz="4" w:space="0"/>
              <w:right w:val="single" w:color="auto" w:sz="4" w:space="0"/>
            </w:tcBorders>
            <w:vAlign w:val="center"/>
          </w:tcPr>
          <w:p>
            <w:pPr>
              <w:spacing w:line="440" w:lineRule="exact"/>
              <w:jc w:val="center"/>
              <w:rPr>
                <w:rFonts w:ascii="宋体" w:hAnsi="宋体"/>
                <w:kern w:val="0"/>
                <w:highlight w:val="none"/>
              </w:rPr>
            </w:pPr>
          </w:p>
        </w:tc>
        <w:tc>
          <w:tcPr>
            <w:tcW w:w="1719" w:type="dxa"/>
            <w:gridSpan w:val="2"/>
            <w:tcBorders>
              <w:top w:val="single" w:color="auto" w:sz="4" w:space="0"/>
              <w:left w:val="nil"/>
              <w:bottom w:val="single" w:color="auto" w:sz="4" w:space="0"/>
              <w:right w:val="single" w:color="auto" w:sz="4" w:space="0"/>
            </w:tcBorders>
          </w:tcPr>
          <w:p>
            <w:pPr>
              <w:spacing w:line="420" w:lineRule="atLeast"/>
              <w:jc w:val="center"/>
              <w:rPr>
                <w:highlight w:val="none"/>
              </w:rPr>
            </w:pPr>
            <w:r>
              <w:rPr>
                <w:rFonts w:hint="eastAsia"/>
                <w:highlight w:val="none"/>
              </w:rPr>
              <w:t>暂定金额</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00" w:lineRule="exact"/>
              <w:ind w:firstLine="420" w:firstLineChars="200"/>
              <w:rPr>
                <w:highlight w:val="none"/>
              </w:rPr>
            </w:pPr>
            <w:r>
              <w:rPr>
                <w:rFonts w:hint="eastAsia"/>
                <w:highlight w:val="none"/>
              </w:rPr>
              <w:t>暂列金额、暂估价等暂定金额必须按照招标文件给定的金额填报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jc w:val="center"/>
              <w:rPr>
                <w:szCs w:val="22"/>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hAnsi="宋体"/>
                <w:kern w:val="0"/>
                <w:highlight w:val="none"/>
              </w:rPr>
            </w:pPr>
          </w:p>
        </w:tc>
        <w:tc>
          <w:tcPr>
            <w:tcW w:w="1719" w:type="dxa"/>
            <w:gridSpan w:val="2"/>
            <w:tcBorders>
              <w:top w:val="single" w:color="auto" w:sz="4" w:space="0"/>
              <w:left w:val="nil"/>
              <w:bottom w:val="single" w:color="auto" w:sz="4" w:space="0"/>
              <w:right w:val="single" w:color="auto" w:sz="4" w:space="0"/>
            </w:tcBorders>
          </w:tcPr>
          <w:p>
            <w:pPr>
              <w:spacing w:line="420" w:lineRule="atLeast"/>
              <w:jc w:val="center"/>
              <w:rPr>
                <w:szCs w:val="22"/>
                <w:highlight w:val="none"/>
              </w:rPr>
            </w:pPr>
            <w:r>
              <w:rPr>
                <w:rFonts w:hint="eastAsia"/>
                <w:highlight w:val="none"/>
              </w:rPr>
              <w:t>投标报价算术错误修正</w:t>
            </w:r>
          </w:p>
        </w:tc>
        <w:tc>
          <w:tcPr>
            <w:tcW w:w="6219"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00" w:lineRule="exact"/>
              <w:ind w:firstLine="420" w:firstLineChars="200"/>
              <w:rPr>
                <w:rFonts w:ascii="宋体" w:hAnsi="宋体"/>
                <w:szCs w:val="21"/>
                <w:highlight w:val="none"/>
              </w:rPr>
            </w:pPr>
            <w:r>
              <w:rPr>
                <w:rFonts w:hint="eastAsia"/>
                <w:highlight w:val="none"/>
              </w:rPr>
              <w:t>符合第三章3.评标程序第3.1.3项规定。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tcBorders>
              <w:top w:val="single" w:color="auto" w:sz="4" w:space="0"/>
              <w:left w:val="single" w:color="auto" w:sz="4" w:space="0"/>
              <w:right w:val="single" w:color="auto" w:sz="4" w:space="0"/>
            </w:tcBorders>
            <w:vAlign w:val="center"/>
          </w:tcPr>
          <w:p>
            <w:pPr>
              <w:rPr>
                <w:szCs w:val="22"/>
                <w:highlight w:val="none"/>
              </w:rPr>
            </w:pPr>
            <w:r>
              <w:rPr>
                <w:szCs w:val="22"/>
                <w:highlight w:val="none"/>
              </w:rPr>
              <w:t>2.2.4（</w:t>
            </w:r>
            <w:r>
              <w:rPr>
                <w:rFonts w:hint="eastAsia"/>
                <w:szCs w:val="22"/>
                <w:highlight w:val="none"/>
              </w:rPr>
              <w:t>4</w:t>
            </w:r>
            <w:r>
              <w:rPr>
                <w:szCs w:val="22"/>
                <w:highlight w:val="none"/>
              </w:rPr>
              <w:t>）</w:t>
            </w:r>
          </w:p>
        </w:tc>
        <w:tc>
          <w:tcPr>
            <w:tcW w:w="1134" w:type="dxa"/>
            <w:tcBorders>
              <w:top w:val="single" w:color="auto" w:sz="4" w:space="0"/>
              <w:left w:val="single" w:color="auto" w:sz="4" w:space="0"/>
              <w:right w:val="single" w:color="auto" w:sz="4" w:space="0"/>
            </w:tcBorders>
            <w:vAlign w:val="center"/>
          </w:tcPr>
          <w:p>
            <w:pPr>
              <w:spacing w:line="440" w:lineRule="exact"/>
              <w:jc w:val="center"/>
              <w:rPr>
                <w:szCs w:val="22"/>
                <w:highlight w:val="none"/>
              </w:rPr>
            </w:pPr>
            <w:r>
              <w:rPr>
                <w:szCs w:val="22"/>
                <w:highlight w:val="none"/>
              </w:rPr>
              <w:t>投标总报价评分</w:t>
            </w:r>
            <w:r>
              <w:rPr>
                <w:rFonts w:hint="eastAsia" w:asciiTheme="minorEastAsia" w:hAnsiTheme="minorEastAsia" w:eastAsiaTheme="minorEastAsia" w:cstheme="minorEastAsia"/>
                <w:szCs w:val="22"/>
                <w:highlight w:val="none"/>
                <w:lang w:eastAsia="zh-CN"/>
              </w:rPr>
              <w:t>（</w:t>
            </w:r>
            <w:r>
              <w:rPr>
                <w:rFonts w:hint="eastAsia" w:asciiTheme="minorEastAsia" w:hAnsiTheme="minorEastAsia" w:eastAsiaTheme="minorEastAsia" w:cstheme="minorEastAsia"/>
                <w:szCs w:val="22"/>
                <w:highlight w:val="none"/>
                <w:lang w:val="en-US" w:eastAsia="zh-CN"/>
              </w:rPr>
              <w:t>C</w:t>
            </w:r>
            <w:r>
              <w:rPr>
                <w:rFonts w:hint="eastAsia" w:asciiTheme="minorEastAsia" w:hAnsiTheme="minorEastAsia" w:eastAsiaTheme="minorEastAsia" w:cstheme="minorEastAsia"/>
                <w:szCs w:val="22"/>
                <w:highlight w:val="none"/>
                <w:lang w:eastAsia="zh-CN"/>
              </w:rPr>
              <w:t>）</w:t>
            </w:r>
            <w:r>
              <w:rPr>
                <w:szCs w:val="22"/>
                <w:highlight w:val="none"/>
              </w:rPr>
              <w:t>标准</w:t>
            </w:r>
          </w:p>
        </w:tc>
        <w:tc>
          <w:tcPr>
            <w:tcW w:w="1719" w:type="dxa"/>
            <w:gridSpan w:val="2"/>
            <w:tcBorders>
              <w:top w:val="single" w:color="auto" w:sz="4" w:space="0"/>
              <w:left w:val="nil"/>
              <w:right w:val="single" w:color="auto" w:sz="4" w:space="0"/>
            </w:tcBorders>
            <w:vAlign w:val="center"/>
          </w:tcPr>
          <w:p>
            <w:pPr>
              <w:spacing w:line="420" w:lineRule="atLeast"/>
              <w:jc w:val="center"/>
              <w:rPr>
                <w:rFonts w:ascii="Times New Roman" w:hAnsi="Times New Roman" w:eastAsia="宋体" w:cs="Times New Roman"/>
                <w:kern w:val="2"/>
                <w:sz w:val="21"/>
                <w:szCs w:val="22"/>
                <w:highlight w:val="none"/>
                <w:lang w:val="en-US" w:eastAsia="zh-CN" w:bidi="ar-SA"/>
              </w:rPr>
            </w:pPr>
            <w:r>
              <w:rPr>
                <w:rFonts w:hint="eastAsia"/>
                <w:szCs w:val="22"/>
                <w:highlight w:val="none"/>
              </w:rPr>
              <w:t>投标总报价得分</w:t>
            </w:r>
          </w:p>
        </w:tc>
        <w:tc>
          <w:tcPr>
            <w:tcW w:w="6219" w:type="dxa"/>
            <w:tcBorders>
              <w:top w:val="single" w:color="auto" w:sz="4" w:space="0"/>
              <w:left w:val="single" w:color="auto" w:sz="4" w:space="0"/>
              <w:bottom w:val="single" w:color="auto" w:sz="4" w:space="0"/>
              <w:right w:val="single" w:color="auto" w:sz="4" w:space="0"/>
            </w:tcBorders>
            <w:vAlign w:val="top"/>
          </w:tcPr>
          <w:p>
            <w:pPr>
              <w:snapToGrid w:val="0"/>
              <w:spacing w:line="400" w:lineRule="exact"/>
              <w:ind w:firstLine="422" w:firstLineChars="200"/>
              <w:jc w:val="left"/>
              <w:rPr>
                <w:rFonts w:hint="eastAsia" w:ascii="宋体" w:hAnsi="宋体"/>
                <w:b/>
                <w:bCs/>
                <w:color w:val="auto"/>
                <w:kern w:val="0"/>
                <w:highlight w:val="none"/>
                <w:lang w:val="en-US" w:eastAsia="zh-CN"/>
              </w:rPr>
            </w:pPr>
            <w:r>
              <w:rPr>
                <w:rFonts w:hint="eastAsia" w:ascii="宋体" w:hAnsi="宋体"/>
                <w:b/>
                <w:bCs/>
                <w:color w:val="auto"/>
                <w:kern w:val="0"/>
                <w:highlight w:val="none"/>
              </w:rPr>
              <w:t>□</w:t>
            </w:r>
            <w:r>
              <w:rPr>
                <w:rFonts w:hint="eastAsia" w:ascii="宋体" w:hAnsi="宋体"/>
                <w:b/>
                <w:bCs/>
                <w:color w:val="auto"/>
                <w:kern w:val="0"/>
                <w:highlight w:val="none"/>
                <w:lang w:val="en-US" w:eastAsia="zh-CN"/>
              </w:rPr>
              <w:t>方式一</w:t>
            </w:r>
          </w:p>
          <w:p>
            <w:pPr>
              <w:spacing w:line="400" w:lineRule="exact"/>
              <w:ind w:firstLine="420" w:firstLineChars="200"/>
              <w:rPr>
                <w:rFonts w:ascii="宋体" w:hAnsi="宋体"/>
                <w:szCs w:val="21"/>
                <w:highlight w:val="none"/>
              </w:rPr>
            </w:pPr>
            <w:r>
              <w:rPr>
                <w:rFonts w:hint="eastAsia" w:ascii="宋体" w:hAnsi="宋体"/>
                <w:kern w:val="0"/>
                <w:szCs w:val="21"/>
                <w:highlight w:val="none"/>
              </w:rPr>
              <w:t>所有通过初步评审和本章第</w:t>
            </w:r>
            <w:r>
              <w:rPr>
                <w:rFonts w:ascii="宋体" w:hAnsi="宋体"/>
                <w:kern w:val="0"/>
                <w:szCs w:val="21"/>
                <w:highlight w:val="none"/>
              </w:rPr>
              <w:t>2.2.4（3）目评审合格</w:t>
            </w:r>
            <w:r>
              <w:rPr>
                <w:rFonts w:hint="eastAsia" w:ascii="宋体" w:hAnsi="宋体"/>
                <w:kern w:val="0"/>
                <w:szCs w:val="21"/>
                <w:highlight w:val="none"/>
              </w:rPr>
              <w:t>的投标人</w:t>
            </w:r>
            <w:r>
              <w:rPr>
                <w:rFonts w:hint="eastAsia" w:ascii="宋体" w:hAnsi="宋体"/>
                <w:szCs w:val="21"/>
                <w:highlight w:val="none"/>
              </w:rPr>
              <w:t>的投标总报</w:t>
            </w:r>
            <w:r>
              <w:rPr>
                <w:rFonts w:hint="eastAsia" w:ascii="宋体" w:hAnsi="宋体"/>
                <w:kern w:val="0"/>
                <w:szCs w:val="21"/>
                <w:highlight w:val="none"/>
              </w:rPr>
              <w:t>价</w:t>
            </w:r>
            <w:r>
              <w:rPr>
                <w:rFonts w:hint="eastAsia" w:ascii="宋体" w:hAnsi="宋体"/>
                <w:szCs w:val="21"/>
                <w:highlight w:val="none"/>
              </w:rPr>
              <w:t>得</w:t>
            </w:r>
            <w:r>
              <w:rPr>
                <w:rFonts w:hint="eastAsia" w:ascii="宋体" w:hAnsi="宋体"/>
                <w:bCs/>
                <w:szCs w:val="28"/>
                <w:highlight w:val="none"/>
              </w:rPr>
              <w:t>本附表第2.2.1项规定分值的满分</w:t>
            </w:r>
            <w:r>
              <w:rPr>
                <w:rFonts w:hint="eastAsia" w:ascii="宋体" w:hAnsi="宋体"/>
                <w:bCs/>
                <w:szCs w:val="28"/>
                <w:highlight w:val="none"/>
                <w:u w:val="single"/>
                <w:lang w:val="en-US" w:eastAsia="zh-CN"/>
              </w:rPr>
              <w:t xml:space="preserve">    </w:t>
            </w:r>
            <w:r>
              <w:rPr>
                <w:rFonts w:hint="eastAsia" w:ascii="宋体" w:hAnsi="宋体"/>
                <w:szCs w:val="21"/>
                <w:highlight w:val="none"/>
              </w:rPr>
              <w:t>分。在此基础上，投标总报价与评标基准价相比，每增加1%扣</w:t>
            </w:r>
            <w:r>
              <w:rPr>
                <w:rFonts w:hint="eastAsia" w:ascii="宋体" w:hAnsi="宋体"/>
                <w:szCs w:val="21"/>
                <w:highlight w:val="none"/>
                <w:u w:val="single"/>
              </w:rPr>
              <w:t>　   　</w:t>
            </w:r>
            <w:r>
              <w:rPr>
                <w:rFonts w:hint="eastAsia" w:ascii="宋体" w:hAnsi="宋体"/>
                <w:i/>
                <w:iCs/>
                <w:szCs w:val="21"/>
                <w:highlight w:val="none"/>
              </w:rPr>
              <w:t>[提示：本空格填写数值0.5～1]</w:t>
            </w:r>
            <w:r>
              <w:rPr>
                <w:rFonts w:hint="eastAsia" w:ascii="宋体" w:hAnsi="宋体"/>
                <w:szCs w:val="21"/>
                <w:highlight w:val="none"/>
              </w:rPr>
              <w:t>分，每减少1%扣</w:t>
            </w:r>
            <w:r>
              <w:rPr>
                <w:rFonts w:hint="eastAsia" w:ascii="宋体" w:hAnsi="宋体"/>
                <w:szCs w:val="21"/>
                <w:highlight w:val="none"/>
                <w:u w:val="single"/>
              </w:rPr>
              <w:t>　  　</w:t>
            </w:r>
            <w:r>
              <w:rPr>
                <w:rFonts w:hint="eastAsia" w:ascii="宋体" w:hAnsi="宋体"/>
                <w:i/>
                <w:iCs/>
                <w:szCs w:val="21"/>
                <w:highlight w:val="none"/>
              </w:rPr>
              <w:t>[提示：本空格填写数值0.25～0.5]</w:t>
            </w:r>
            <w:r>
              <w:rPr>
                <w:rFonts w:hint="eastAsia" w:ascii="宋体" w:hAnsi="宋体"/>
                <w:szCs w:val="21"/>
                <w:highlight w:val="none"/>
              </w:rPr>
              <w:t>分。</w:t>
            </w:r>
          </w:p>
          <w:p>
            <w:pPr>
              <w:spacing w:line="400" w:lineRule="exact"/>
              <w:ind w:firstLine="420" w:firstLineChars="200"/>
              <w:rPr>
                <w:rFonts w:ascii="宋体" w:hAnsi="宋体"/>
                <w:szCs w:val="21"/>
                <w:highlight w:val="none"/>
              </w:rPr>
            </w:pPr>
            <w:r>
              <w:rPr>
                <w:rFonts w:hint="eastAsia" w:ascii="宋体" w:hAnsi="宋体"/>
                <w:szCs w:val="21"/>
                <w:highlight w:val="none"/>
              </w:rPr>
              <w:t>按插入法计算得分。</w:t>
            </w:r>
          </w:p>
          <w:p>
            <w:pPr>
              <w:spacing w:line="400" w:lineRule="exact"/>
              <w:ind w:firstLine="420" w:firstLineChars="200"/>
              <w:rPr>
                <w:rFonts w:ascii="宋体" w:hAnsi="宋体"/>
                <w:szCs w:val="21"/>
                <w:highlight w:val="none"/>
              </w:rPr>
            </w:pPr>
            <w:r>
              <w:rPr>
                <w:rFonts w:hint="eastAsia" w:ascii="宋体" w:hAnsi="宋体"/>
                <w:szCs w:val="21"/>
                <w:highlight w:val="none"/>
              </w:rPr>
              <w:t>在偏差范围内，未参与评标基准价计算的投标</w:t>
            </w:r>
            <w:r>
              <w:rPr>
                <w:rFonts w:hint="eastAsia" w:ascii="宋体" w:hAnsi="宋体"/>
                <w:szCs w:val="21"/>
                <w:highlight w:val="none"/>
                <w:lang w:val="en-US" w:eastAsia="zh-CN"/>
              </w:rPr>
              <w:t>总</w:t>
            </w:r>
            <w:r>
              <w:rPr>
                <w:rFonts w:hint="eastAsia" w:ascii="宋体" w:hAnsi="宋体"/>
                <w:szCs w:val="21"/>
                <w:highlight w:val="none"/>
              </w:rPr>
              <w:t>报价，仍应参加计算相应分值。</w:t>
            </w:r>
          </w:p>
          <w:p>
            <w:pPr>
              <w:suppressLineNumbers w:val="0"/>
              <w:suppressAutoHyphens w:val="0"/>
              <w:spacing w:line="400" w:lineRule="exact"/>
              <w:ind w:firstLine="420" w:firstLineChars="200"/>
              <w:rPr>
                <w:rFonts w:hint="eastAsia" w:ascii="宋体" w:hAnsi="宋体"/>
                <w:szCs w:val="21"/>
                <w:highlight w:val="none"/>
              </w:rPr>
            </w:pPr>
            <w:r>
              <w:rPr>
                <w:rFonts w:hint="eastAsia" w:ascii="宋体" w:hAnsi="宋体"/>
                <w:szCs w:val="21"/>
                <w:highlight w:val="none"/>
              </w:rPr>
              <w:t>投标总报价</w:t>
            </w:r>
            <w:r>
              <w:rPr>
                <w:rFonts w:hint="eastAsia" w:ascii="宋体" w:hAnsi="宋体"/>
                <w:szCs w:val="21"/>
                <w:highlight w:val="none"/>
                <w:lang w:val="en-US" w:eastAsia="zh-CN"/>
              </w:rPr>
              <w:t>得分</w:t>
            </w:r>
            <w:r>
              <w:rPr>
                <w:rFonts w:hint="eastAsia" w:ascii="宋体" w:hAnsi="宋体"/>
                <w:szCs w:val="21"/>
                <w:highlight w:val="none"/>
              </w:rPr>
              <w:t>最终结果</w:t>
            </w:r>
            <w:r>
              <w:rPr>
                <w:rFonts w:hint="eastAsia"/>
              </w:rPr>
              <w:t>保留两位小数</w:t>
            </w:r>
            <w:r>
              <w:t>，</w:t>
            </w:r>
            <w:r>
              <w:rPr>
                <w:rFonts w:hint="eastAsia"/>
                <w:lang w:val="en-US" w:eastAsia="zh-CN"/>
              </w:rPr>
              <w:t>小数点后</w:t>
            </w:r>
            <w:r>
              <w:rPr>
                <w:rFonts w:hint="eastAsia" w:ascii="宋体" w:hAnsi="宋体"/>
                <w:szCs w:val="21"/>
                <w:highlight w:val="none"/>
              </w:rPr>
              <w:t>第三位四舍五入。</w:t>
            </w:r>
          </w:p>
          <w:p>
            <w:pPr>
              <w:snapToGrid w:val="0"/>
              <w:spacing w:line="400" w:lineRule="exact"/>
              <w:ind w:firstLine="422" w:firstLineChars="200"/>
              <w:jc w:val="left"/>
              <w:rPr>
                <w:rFonts w:hint="eastAsia" w:ascii="宋体" w:hAnsi="宋体"/>
                <w:b/>
                <w:bCs/>
                <w:color w:val="auto"/>
                <w:kern w:val="0"/>
                <w:highlight w:val="none"/>
                <w:lang w:val="en-US" w:eastAsia="zh-CN"/>
              </w:rPr>
            </w:pPr>
            <w:r>
              <w:rPr>
                <w:rFonts w:hint="eastAsia" w:ascii="宋体" w:hAnsi="宋体"/>
                <w:b/>
                <w:bCs/>
                <w:color w:val="auto"/>
                <w:kern w:val="0"/>
                <w:highlight w:val="none"/>
              </w:rPr>
              <w:t>□</w:t>
            </w:r>
            <w:r>
              <w:rPr>
                <w:rFonts w:hint="eastAsia" w:ascii="宋体" w:hAnsi="宋体"/>
                <w:b/>
                <w:bCs/>
                <w:color w:val="auto"/>
                <w:kern w:val="0"/>
                <w:highlight w:val="none"/>
                <w:lang w:val="en-US" w:eastAsia="zh-CN"/>
              </w:rPr>
              <w:t>方式二</w:t>
            </w:r>
          </w:p>
          <w:p>
            <w:pPr>
              <w:spacing w:line="400" w:lineRule="exact"/>
              <w:ind w:firstLine="420" w:firstLineChars="200"/>
              <w:rPr>
                <w:rFonts w:ascii="宋体" w:hAnsi="宋体"/>
                <w:szCs w:val="21"/>
                <w:highlight w:val="none"/>
              </w:rPr>
            </w:pPr>
            <w:r>
              <w:rPr>
                <w:rFonts w:hint="eastAsia" w:ascii="宋体" w:hAnsi="宋体"/>
                <w:kern w:val="0"/>
                <w:szCs w:val="21"/>
                <w:highlight w:val="none"/>
              </w:rPr>
              <w:t>所有通过初步评审和本章第</w:t>
            </w:r>
            <w:r>
              <w:rPr>
                <w:rFonts w:ascii="宋体" w:hAnsi="宋体"/>
                <w:kern w:val="0"/>
                <w:szCs w:val="21"/>
                <w:highlight w:val="none"/>
              </w:rPr>
              <w:t>2.2.4（3）目评审合格</w:t>
            </w:r>
            <w:r>
              <w:rPr>
                <w:rFonts w:hint="eastAsia" w:ascii="宋体" w:hAnsi="宋体"/>
                <w:kern w:val="0"/>
                <w:szCs w:val="21"/>
                <w:highlight w:val="none"/>
              </w:rPr>
              <w:t>的投标人</w:t>
            </w:r>
            <w:r>
              <w:rPr>
                <w:rFonts w:hint="eastAsia" w:ascii="宋体" w:hAnsi="宋体"/>
                <w:szCs w:val="21"/>
                <w:highlight w:val="none"/>
              </w:rPr>
              <w:t>的投标总报</w:t>
            </w:r>
            <w:r>
              <w:rPr>
                <w:rFonts w:hint="eastAsia" w:ascii="宋体" w:hAnsi="宋体"/>
                <w:kern w:val="0"/>
                <w:szCs w:val="21"/>
                <w:highlight w:val="none"/>
              </w:rPr>
              <w:t>价</w:t>
            </w:r>
            <w:r>
              <w:rPr>
                <w:rFonts w:hint="eastAsia" w:ascii="宋体" w:hAnsi="宋体"/>
                <w:szCs w:val="21"/>
                <w:highlight w:val="none"/>
              </w:rPr>
              <w:t>得</w:t>
            </w:r>
            <w:r>
              <w:rPr>
                <w:rFonts w:hint="eastAsia" w:ascii="宋体" w:hAnsi="宋体"/>
                <w:bCs/>
                <w:szCs w:val="28"/>
                <w:highlight w:val="none"/>
              </w:rPr>
              <w:t>本附表第2.2.1项规定分值的基本分</w:t>
            </w:r>
            <w:r>
              <w:rPr>
                <w:rFonts w:hint="eastAsia" w:ascii="宋体" w:hAnsi="宋体"/>
                <w:bCs/>
                <w:szCs w:val="28"/>
                <w:highlight w:val="none"/>
                <w:u w:val="single"/>
                <w:lang w:val="en-US" w:eastAsia="zh-CN"/>
              </w:rPr>
              <w:t xml:space="preserve">    </w:t>
            </w:r>
            <w:r>
              <w:rPr>
                <w:rFonts w:hint="eastAsia" w:ascii="宋体" w:hAnsi="宋体"/>
                <w:szCs w:val="21"/>
                <w:highlight w:val="none"/>
              </w:rPr>
              <w:t>分。在此基础上，投标总报价与评标基准价相比，每增加1%扣</w:t>
            </w:r>
            <w:r>
              <w:rPr>
                <w:rFonts w:hint="eastAsia" w:ascii="宋体" w:hAnsi="宋体"/>
                <w:szCs w:val="21"/>
                <w:highlight w:val="none"/>
                <w:u w:val="single"/>
                <w:lang w:val="en-US" w:eastAsia="zh-CN"/>
              </w:rPr>
              <w:t xml:space="preserve">     </w:t>
            </w:r>
            <w:r>
              <w:rPr>
                <w:rFonts w:hint="eastAsia" w:ascii="宋体" w:hAnsi="宋体"/>
                <w:i/>
                <w:iCs/>
                <w:szCs w:val="21"/>
                <w:highlight w:val="none"/>
              </w:rPr>
              <w:t>[提示：本空格填写数值0.25～0.5]</w:t>
            </w:r>
            <w:r>
              <w:rPr>
                <w:rFonts w:hint="eastAsia" w:ascii="宋体" w:hAnsi="宋体"/>
                <w:szCs w:val="21"/>
                <w:highlight w:val="none"/>
              </w:rPr>
              <w:t>分；每减少1%加</w:t>
            </w:r>
            <w:r>
              <w:rPr>
                <w:rFonts w:hint="eastAsia" w:ascii="宋体" w:hAnsi="宋体"/>
                <w:szCs w:val="21"/>
                <w:highlight w:val="none"/>
                <w:u w:val="single"/>
                <w:lang w:val="en-US" w:eastAsia="zh-CN"/>
              </w:rPr>
              <w:t xml:space="preserve">    </w:t>
            </w:r>
            <w:r>
              <w:rPr>
                <w:rFonts w:hint="eastAsia" w:ascii="宋体" w:hAnsi="宋体"/>
                <w:i/>
                <w:iCs/>
                <w:szCs w:val="21"/>
                <w:highlight w:val="none"/>
              </w:rPr>
              <w:t>[提示：本空格填写数值0.25～0.5]</w:t>
            </w:r>
            <w:r>
              <w:rPr>
                <w:rFonts w:hint="eastAsia" w:ascii="宋体" w:hAnsi="宋体"/>
                <w:szCs w:val="21"/>
                <w:highlight w:val="none"/>
              </w:rPr>
              <w:t>分，。</w:t>
            </w:r>
          </w:p>
          <w:p>
            <w:pPr>
              <w:spacing w:line="400" w:lineRule="exact"/>
              <w:ind w:firstLine="420" w:firstLineChars="200"/>
              <w:rPr>
                <w:rFonts w:ascii="宋体" w:hAnsi="宋体"/>
                <w:szCs w:val="21"/>
                <w:highlight w:val="none"/>
              </w:rPr>
            </w:pPr>
            <w:r>
              <w:rPr>
                <w:rFonts w:hint="eastAsia" w:ascii="宋体" w:hAnsi="宋体"/>
                <w:szCs w:val="21"/>
                <w:highlight w:val="none"/>
              </w:rPr>
              <w:t>按插入法计算得分。</w:t>
            </w:r>
          </w:p>
          <w:p>
            <w:pPr>
              <w:spacing w:line="400" w:lineRule="exact"/>
              <w:ind w:firstLine="420" w:firstLineChars="200"/>
              <w:rPr>
                <w:rFonts w:ascii="宋体" w:hAnsi="宋体"/>
                <w:szCs w:val="21"/>
                <w:highlight w:val="none"/>
              </w:rPr>
            </w:pPr>
            <w:r>
              <w:rPr>
                <w:rFonts w:hint="eastAsia" w:ascii="宋体" w:hAnsi="宋体"/>
                <w:szCs w:val="21"/>
                <w:highlight w:val="none"/>
              </w:rPr>
              <w:t>在偏差范围内，未参与评标基准价计算的投标</w:t>
            </w:r>
            <w:r>
              <w:rPr>
                <w:rFonts w:hint="eastAsia" w:ascii="宋体" w:hAnsi="宋体"/>
                <w:szCs w:val="21"/>
                <w:highlight w:val="none"/>
                <w:lang w:val="en-US" w:eastAsia="zh-CN"/>
              </w:rPr>
              <w:t>总</w:t>
            </w:r>
            <w:r>
              <w:rPr>
                <w:rFonts w:hint="eastAsia" w:ascii="宋体" w:hAnsi="宋体"/>
                <w:szCs w:val="21"/>
                <w:highlight w:val="none"/>
              </w:rPr>
              <w:t>报价，仍应参加计算相应分值。</w:t>
            </w:r>
          </w:p>
          <w:p>
            <w:pPr>
              <w:pStyle w:val="2"/>
              <w:suppressLineNumbers/>
              <w:suppressAutoHyphens/>
              <w:spacing w:line="400" w:lineRule="exact"/>
              <w:ind w:firstLine="420" w:firstLineChars="200"/>
              <w:rPr>
                <w:rFonts w:ascii="宋体" w:hAnsi="宋体" w:eastAsia="宋体" w:cs="Times New Roman"/>
                <w:kern w:val="2"/>
                <w:sz w:val="21"/>
                <w:szCs w:val="21"/>
                <w:highlight w:val="none"/>
                <w:lang w:val="en-US" w:eastAsia="zh-CN" w:bidi="ar-SA"/>
              </w:rPr>
            </w:pPr>
            <w:r>
              <w:rPr>
                <w:rFonts w:hint="eastAsia" w:ascii="宋体" w:hAnsi="宋体"/>
                <w:szCs w:val="21"/>
                <w:highlight w:val="none"/>
              </w:rPr>
              <w:t>投标总报价</w:t>
            </w:r>
            <w:r>
              <w:rPr>
                <w:rFonts w:hint="eastAsia" w:ascii="宋体" w:hAnsi="宋体"/>
                <w:szCs w:val="21"/>
                <w:highlight w:val="none"/>
                <w:lang w:val="en-US" w:eastAsia="zh-CN"/>
              </w:rPr>
              <w:t>得分</w:t>
            </w:r>
            <w:r>
              <w:rPr>
                <w:rFonts w:hint="eastAsia" w:ascii="宋体" w:hAnsi="宋体"/>
                <w:szCs w:val="21"/>
                <w:highlight w:val="none"/>
              </w:rPr>
              <w:t>最终结果</w:t>
            </w:r>
            <w:r>
              <w:rPr>
                <w:rFonts w:hint="eastAsia"/>
              </w:rPr>
              <w:t>保留两位小数</w:t>
            </w:r>
            <w:r>
              <w:t>，</w:t>
            </w:r>
            <w:r>
              <w:rPr>
                <w:rFonts w:hint="eastAsia"/>
                <w:lang w:val="en-US" w:eastAsia="zh-CN"/>
              </w:rPr>
              <w:t>小数点后</w:t>
            </w:r>
            <w:r>
              <w:rPr>
                <w:rFonts w:hint="eastAsia" w:ascii="宋体" w:hAnsi="宋体"/>
                <w:szCs w:val="21"/>
                <w:highlight w:val="none"/>
              </w:rPr>
              <w:t>第三位四舍五入。</w:t>
            </w:r>
          </w:p>
          <w:p>
            <w:pPr>
              <w:snapToGrid w:val="0"/>
              <w:spacing w:line="400" w:lineRule="exact"/>
              <w:ind w:firstLine="422" w:firstLineChars="200"/>
              <w:jc w:val="left"/>
              <w:rPr>
                <w:rFonts w:hint="eastAsia" w:ascii="宋体" w:hAnsi="宋体"/>
                <w:b/>
                <w:bCs/>
                <w:color w:val="auto"/>
                <w:kern w:val="0"/>
                <w:highlight w:val="none"/>
                <w:lang w:val="en-US" w:eastAsia="zh-CN"/>
              </w:rPr>
            </w:pPr>
            <w:r>
              <w:rPr>
                <w:rFonts w:hint="eastAsia" w:ascii="宋体" w:hAnsi="宋体"/>
                <w:b/>
                <w:bCs/>
                <w:color w:val="auto"/>
                <w:kern w:val="0"/>
                <w:highlight w:val="none"/>
              </w:rPr>
              <w:t>□</w:t>
            </w:r>
            <w:r>
              <w:rPr>
                <w:rFonts w:hint="eastAsia" w:ascii="宋体" w:hAnsi="宋体"/>
                <w:b/>
                <w:bCs/>
                <w:color w:val="auto"/>
                <w:kern w:val="0"/>
                <w:highlight w:val="none"/>
                <w:lang w:val="en-US" w:eastAsia="zh-CN"/>
              </w:rPr>
              <w:t>方式三</w:t>
            </w:r>
            <w:r>
              <w:rPr>
                <w:rFonts w:hint="eastAsia" w:ascii="宋体" w:hAnsi="宋体"/>
                <w:i/>
                <w:color w:val="auto"/>
                <w:kern w:val="0"/>
                <w:szCs w:val="21"/>
                <w:highlight w:val="none"/>
              </w:rPr>
              <w:t>[提示：</w:t>
            </w:r>
            <w:r>
              <w:rPr>
                <w:rFonts w:hint="eastAsia" w:ascii="宋体" w:hAnsi="宋体"/>
                <w:i/>
                <w:color w:val="auto"/>
                <w:kern w:val="0"/>
                <w:szCs w:val="21"/>
                <w:highlight w:val="none"/>
                <w:lang w:val="en-US" w:eastAsia="zh-CN"/>
              </w:rPr>
              <w:t>适用于</w:t>
            </w:r>
            <w:r>
              <w:rPr>
                <w:rFonts w:hint="eastAsia" w:ascii="宋体" w:hAnsi="宋体"/>
                <w:i/>
                <w:color w:val="auto"/>
                <w:kern w:val="0"/>
                <w:szCs w:val="21"/>
                <w:highlight w:val="none"/>
              </w:rPr>
              <w:t>第2.2.</w:t>
            </w:r>
            <w:r>
              <w:rPr>
                <w:rFonts w:hint="eastAsia" w:ascii="宋体" w:hAnsi="宋体"/>
                <w:i/>
                <w:color w:val="auto"/>
                <w:kern w:val="0"/>
                <w:szCs w:val="21"/>
                <w:highlight w:val="none"/>
                <w:lang w:val="en-US" w:eastAsia="zh-CN"/>
              </w:rPr>
              <w:t>2</w:t>
            </w:r>
            <w:r>
              <w:rPr>
                <w:rFonts w:hint="eastAsia" w:ascii="宋体" w:hAnsi="宋体"/>
                <w:i/>
                <w:color w:val="auto"/>
                <w:kern w:val="0"/>
                <w:szCs w:val="21"/>
                <w:highlight w:val="none"/>
              </w:rPr>
              <w:t>项“评标基准价计算方法”选择</w:t>
            </w:r>
            <w:r>
              <w:rPr>
                <w:rFonts w:hint="eastAsia" w:ascii="宋体" w:hAnsi="宋体"/>
                <w:i/>
                <w:color w:val="auto"/>
                <w:kern w:val="0"/>
                <w:szCs w:val="21"/>
                <w:highlight w:val="none"/>
                <w:lang w:val="en-US" w:eastAsia="zh-CN"/>
              </w:rPr>
              <w:t>方式五的</w:t>
            </w:r>
            <w:r>
              <w:rPr>
                <w:rFonts w:hint="eastAsia" w:ascii="宋体" w:hAnsi="宋体"/>
                <w:i/>
                <w:color w:val="auto"/>
                <w:kern w:val="0"/>
                <w:szCs w:val="21"/>
                <w:highlight w:val="none"/>
              </w:rPr>
              <w:t>。]</w:t>
            </w:r>
          </w:p>
          <w:p>
            <w:pPr>
              <w:spacing w:line="400" w:lineRule="exact"/>
              <w:ind w:firstLine="420" w:firstLineChars="200"/>
              <w:rPr>
                <w:rFonts w:ascii="宋体" w:hAnsi="宋体"/>
                <w:szCs w:val="21"/>
                <w:highlight w:val="none"/>
              </w:rPr>
            </w:pPr>
            <w:r>
              <w:rPr>
                <w:rFonts w:hint="eastAsia" w:ascii="宋体" w:hAnsi="宋体"/>
                <w:kern w:val="0"/>
                <w:szCs w:val="21"/>
                <w:highlight w:val="none"/>
              </w:rPr>
              <w:t>所有通过初步评审和本章第</w:t>
            </w:r>
            <w:r>
              <w:rPr>
                <w:rFonts w:ascii="宋体" w:hAnsi="宋体"/>
                <w:kern w:val="0"/>
                <w:szCs w:val="21"/>
                <w:highlight w:val="none"/>
              </w:rPr>
              <w:t>2.2.4（3）目评审合格</w:t>
            </w:r>
            <w:r>
              <w:rPr>
                <w:rFonts w:hint="eastAsia" w:ascii="宋体" w:hAnsi="宋体"/>
                <w:kern w:val="0"/>
                <w:szCs w:val="21"/>
                <w:highlight w:val="none"/>
              </w:rPr>
              <w:t>的投标人</w:t>
            </w:r>
            <w:r>
              <w:rPr>
                <w:rFonts w:hint="eastAsia" w:ascii="宋体" w:hAnsi="宋体"/>
                <w:szCs w:val="21"/>
                <w:highlight w:val="none"/>
              </w:rPr>
              <w:t>的投标总报</w:t>
            </w:r>
            <w:r>
              <w:rPr>
                <w:rFonts w:hint="eastAsia" w:ascii="宋体" w:hAnsi="宋体"/>
                <w:kern w:val="0"/>
                <w:szCs w:val="21"/>
                <w:highlight w:val="none"/>
              </w:rPr>
              <w:t>价</w:t>
            </w:r>
            <w:r>
              <w:rPr>
                <w:rFonts w:hint="eastAsia" w:ascii="宋体" w:hAnsi="宋体"/>
                <w:szCs w:val="21"/>
                <w:highlight w:val="none"/>
              </w:rPr>
              <w:t>得</w:t>
            </w:r>
            <w:r>
              <w:rPr>
                <w:rFonts w:hint="eastAsia" w:ascii="宋体" w:hAnsi="宋体"/>
                <w:bCs/>
                <w:szCs w:val="28"/>
                <w:highlight w:val="none"/>
              </w:rPr>
              <w:t>本附表第2.2.1项规定分值的满分</w:t>
            </w:r>
            <w:r>
              <w:rPr>
                <w:rFonts w:hint="eastAsia" w:ascii="宋体" w:hAnsi="宋体"/>
                <w:bCs/>
                <w:szCs w:val="28"/>
                <w:highlight w:val="none"/>
                <w:u w:val="single"/>
                <w:lang w:val="en-US" w:eastAsia="zh-CN"/>
              </w:rPr>
              <w:t xml:space="preserve">    </w:t>
            </w:r>
            <w:r>
              <w:rPr>
                <w:rFonts w:hint="eastAsia" w:ascii="宋体" w:hAnsi="宋体"/>
                <w:szCs w:val="21"/>
                <w:highlight w:val="none"/>
              </w:rPr>
              <w:t>分。在此基础上，投标总报价与评标基准价相比，每增加1%扣</w:t>
            </w:r>
            <w:r>
              <w:rPr>
                <w:rFonts w:hint="eastAsia" w:ascii="宋体" w:hAnsi="宋体"/>
                <w:szCs w:val="21"/>
                <w:highlight w:val="none"/>
                <w:u w:val="single"/>
                <w:lang w:val="en-US" w:eastAsia="zh-CN"/>
              </w:rPr>
              <w:t xml:space="preserve">    </w:t>
            </w:r>
            <w:r>
              <w:rPr>
                <w:rFonts w:hint="eastAsia" w:ascii="宋体" w:hAnsi="宋体"/>
                <w:i/>
                <w:iCs/>
                <w:szCs w:val="21"/>
                <w:highlight w:val="none"/>
              </w:rPr>
              <w:t>[提示：本空格填写数值0.25～1]</w:t>
            </w:r>
            <w:r>
              <w:rPr>
                <w:rFonts w:hint="eastAsia" w:ascii="宋体" w:hAnsi="宋体"/>
                <w:szCs w:val="21"/>
                <w:highlight w:val="none"/>
              </w:rPr>
              <w:t>分。</w:t>
            </w:r>
          </w:p>
          <w:p>
            <w:pPr>
              <w:spacing w:line="400" w:lineRule="exact"/>
              <w:ind w:firstLine="420" w:firstLineChars="200"/>
              <w:rPr>
                <w:rFonts w:ascii="宋体" w:hAnsi="宋体"/>
                <w:szCs w:val="21"/>
                <w:highlight w:val="none"/>
              </w:rPr>
            </w:pPr>
            <w:r>
              <w:rPr>
                <w:rFonts w:hint="eastAsia" w:ascii="宋体" w:hAnsi="宋体"/>
                <w:szCs w:val="21"/>
                <w:highlight w:val="none"/>
              </w:rPr>
              <w:t>按插入法计算得分。</w:t>
            </w:r>
          </w:p>
          <w:p>
            <w:pPr>
              <w:spacing w:line="400" w:lineRule="exact"/>
              <w:ind w:firstLine="420" w:firstLineChars="200"/>
              <w:rPr>
                <w:rFonts w:ascii="宋体" w:hAnsi="宋体"/>
                <w:szCs w:val="21"/>
                <w:highlight w:val="none"/>
              </w:rPr>
            </w:pPr>
            <w:r>
              <w:rPr>
                <w:rFonts w:hint="eastAsia" w:ascii="宋体" w:hAnsi="宋体"/>
                <w:szCs w:val="21"/>
                <w:highlight w:val="none"/>
              </w:rPr>
              <w:t>在偏差范围内，未参与评标基准价计算的投标</w:t>
            </w:r>
            <w:r>
              <w:rPr>
                <w:rFonts w:hint="eastAsia" w:ascii="宋体" w:hAnsi="宋体"/>
                <w:szCs w:val="21"/>
                <w:highlight w:val="none"/>
                <w:lang w:val="en-US" w:eastAsia="zh-CN"/>
              </w:rPr>
              <w:t>总</w:t>
            </w:r>
            <w:r>
              <w:rPr>
                <w:rFonts w:hint="eastAsia" w:ascii="宋体" w:hAnsi="宋体"/>
                <w:szCs w:val="21"/>
                <w:highlight w:val="none"/>
              </w:rPr>
              <w:t>报价，仍应参加计算相应分值。</w:t>
            </w:r>
          </w:p>
          <w:p>
            <w:pPr>
              <w:spacing w:line="400" w:lineRule="exact"/>
              <w:ind w:firstLine="420" w:firstLineChars="200"/>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投标总报价</w:t>
            </w:r>
            <w:r>
              <w:rPr>
                <w:rFonts w:hint="eastAsia" w:ascii="宋体" w:hAnsi="宋体"/>
                <w:szCs w:val="21"/>
                <w:highlight w:val="none"/>
                <w:lang w:val="en-US" w:eastAsia="zh-CN"/>
              </w:rPr>
              <w:t>得分</w:t>
            </w:r>
            <w:r>
              <w:rPr>
                <w:rFonts w:hint="eastAsia" w:ascii="宋体" w:hAnsi="宋体"/>
                <w:szCs w:val="21"/>
                <w:highlight w:val="none"/>
              </w:rPr>
              <w:t>最终结果</w:t>
            </w:r>
            <w:r>
              <w:rPr>
                <w:rFonts w:hint="eastAsia"/>
              </w:rPr>
              <w:t>保留两位小数</w:t>
            </w:r>
            <w:r>
              <w:t>，</w:t>
            </w:r>
            <w:r>
              <w:rPr>
                <w:rFonts w:hint="eastAsia"/>
                <w:lang w:val="en-US" w:eastAsia="zh-CN"/>
              </w:rPr>
              <w:t>小数点后</w:t>
            </w:r>
            <w:r>
              <w:rPr>
                <w:rFonts w:hint="eastAsia" w:ascii="宋体" w:hAnsi="宋体"/>
                <w:szCs w:val="21"/>
                <w:highlight w:val="none"/>
              </w:rPr>
              <w:t>第三位四舍五入。</w:t>
            </w:r>
          </w:p>
          <w:p>
            <w:pPr>
              <w:snapToGrid w:val="0"/>
              <w:spacing w:line="400" w:lineRule="exact"/>
              <w:ind w:firstLine="422" w:firstLineChars="200"/>
              <w:jc w:val="left"/>
              <w:rPr>
                <w:rFonts w:hint="eastAsia" w:ascii="宋体" w:hAnsi="宋体"/>
                <w:color w:val="auto"/>
                <w:kern w:val="0"/>
                <w:szCs w:val="21"/>
                <w:highlight w:val="none"/>
                <w:lang w:eastAsia="zh-CN"/>
              </w:rPr>
            </w:pPr>
            <w:r>
              <w:rPr>
                <w:rFonts w:hint="eastAsia" w:ascii="宋体" w:hAnsi="宋体"/>
                <w:b/>
                <w:bCs/>
                <w:color w:val="auto"/>
                <w:kern w:val="0"/>
                <w:highlight w:val="none"/>
              </w:rPr>
              <w:t>□</w:t>
            </w:r>
            <w:r>
              <w:rPr>
                <w:rFonts w:hint="eastAsia" w:ascii="宋体" w:hAnsi="宋体"/>
                <w:b/>
                <w:bCs/>
                <w:color w:val="auto"/>
                <w:kern w:val="0"/>
                <w:highlight w:val="none"/>
                <w:lang w:val="en-US" w:eastAsia="zh-CN"/>
              </w:rPr>
              <w:t>方式四</w:t>
            </w:r>
            <w:r>
              <w:rPr>
                <w:rFonts w:hint="eastAsia" w:ascii="宋体" w:hAnsi="宋体"/>
                <w:i/>
                <w:color w:val="auto"/>
                <w:kern w:val="0"/>
                <w:szCs w:val="21"/>
                <w:highlight w:val="none"/>
              </w:rPr>
              <w:t>[提示：</w:t>
            </w:r>
            <w:r>
              <w:rPr>
                <w:rFonts w:hint="eastAsia" w:ascii="宋体" w:hAnsi="宋体"/>
                <w:i/>
                <w:color w:val="auto"/>
                <w:kern w:val="0"/>
                <w:szCs w:val="21"/>
                <w:highlight w:val="none"/>
                <w:lang w:val="en-US" w:eastAsia="zh-CN"/>
              </w:rPr>
              <w:t>适用于</w:t>
            </w:r>
            <w:r>
              <w:rPr>
                <w:rFonts w:hint="eastAsia" w:ascii="宋体" w:hAnsi="宋体"/>
                <w:i/>
                <w:color w:val="auto"/>
                <w:kern w:val="0"/>
                <w:szCs w:val="21"/>
                <w:highlight w:val="none"/>
              </w:rPr>
              <w:t>第2.2.</w:t>
            </w:r>
            <w:r>
              <w:rPr>
                <w:rFonts w:hint="eastAsia" w:ascii="宋体" w:hAnsi="宋体"/>
                <w:i/>
                <w:color w:val="auto"/>
                <w:kern w:val="0"/>
                <w:szCs w:val="21"/>
                <w:highlight w:val="none"/>
                <w:lang w:val="en-US" w:eastAsia="zh-CN"/>
              </w:rPr>
              <w:t>2</w:t>
            </w:r>
            <w:r>
              <w:rPr>
                <w:rFonts w:hint="eastAsia" w:ascii="宋体" w:hAnsi="宋体"/>
                <w:i/>
                <w:color w:val="auto"/>
                <w:kern w:val="0"/>
                <w:szCs w:val="21"/>
                <w:highlight w:val="none"/>
              </w:rPr>
              <w:t>项“评标基准价计算方法”选择</w:t>
            </w:r>
            <w:r>
              <w:rPr>
                <w:rFonts w:hint="eastAsia" w:ascii="宋体" w:hAnsi="宋体"/>
                <w:i/>
                <w:color w:val="auto"/>
                <w:kern w:val="0"/>
                <w:szCs w:val="21"/>
                <w:highlight w:val="none"/>
                <w:lang w:val="en-US" w:eastAsia="zh-CN"/>
              </w:rPr>
              <w:t>方式六的</w:t>
            </w:r>
            <w:r>
              <w:rPr>
                <w:rFonts w:hint="eastAsia" w:ascii="宋体" w:hAnsi="宋体"/>
                <w:i/>
                <w:color w:val="auto"/>
                <w:kern w:val="0"/>
                <w:szCs w:val="21"/>
                <w:highlight w:val="none"/>
              </w:rPr>
              <w:t>。]</w:t>
            </w:r>
          </w:p>
          <w:p>
            <w:pPr>
              <w:snapToGrid w:val="0"/>
              <w:spacing w:line="400" w:lineRule="exact"/>
              <w:ind w:firstLine="420" w:firstLineChars="200"/>
              <w:rPr>
                <w:rFonts w:hint="default" w:ascii="宋体" w:hAnsi="宋体"/>
                <w:color w:val="auto"/>
                <w:kern w:val="0"/>
                <w:szCs w:val="21"/>
                <w:highlight w:val="none"/>
                <w:lang w:val="en-US" w:eastAsia="zh-CN"/>
              </w:rPr>
            </w:pPr>
            <w:r>
              <w:rPr>
                <w:rFonts w:hint="default" w:ascii="宋体" w:hAnsi="宋体"/>
                <w:color w:val="auto"/>
                <w:kern w:val="0"/>
                <w:szCs w:val="21"/>
                <w:highlight w:val="none"/>
                <w:u w:val="single"/>
                <w:lang w:eastAsia="zh-CN"/>
              </w:rPr>
              <w:t>……</w:t>
            </w:r>
          </w:p>
          <w:p>
            <w:pPr>
              <w:spacing w:line="400" w:lineRule="exact"/>
              <w:ind w:firstLine="420" w:firstLineChars="200"/>
              <w:rPr>
                <w:rFonts w:ascii="宋体" w:hAnsi="宋体" w:eastAsia="宋体" w:cs="Times New Roman"/>
                <w:kern w:val="2"/>
                <w:sz w:val="21"/>
                <w:szCs w:val="21"/>
                <w:highlight w:val="none"/>
                <w:lang w:val="en-US" w:eastAsia="zh-CN" w:bidi="ar-SA"/>
              </w:rPr>
            </w:pPr>
            <w:r>
              <w:rPr>
                <w:rFonts w:hint="eastAsia" w:ascii="宋体" w:hAnsi="宋体"/>
                <w:i/>
                <w:iCs/>
                <w:color w:val="auto"/>
                <w:kern w:val="0"/>
                <w:szCs w:val="21"/>
                <w:highlight w:val="none"/>
                <w:lang w:val="en-US" w:eastAsia="zh-CN"/>
              </w:rPr>
              <w:t>[提示：</w:t>
            </w:r>
            <w:r>
              <w:rPr>
                <w:rFonts w:hint="eastAsia" w:ascii="宋体" w:hAnsi="宋体" w:cs="宋体"/>
                <w:i/>
                <w:color w:val="auto"/>
                <w:szCs w:val="21"/>
                <w:highlight w:val="none"/>
              </w:rPr>
              <w:t>招标人在编制招标文件时，可根据实际情况</w:t>
            </w:r>
            <w:r>
              <w:rPr>
                <w:rFonts w:hint="eastAsia" w:ascii="宋体" w:hAnsi="宋体"/>
                <w:i/>
                <w:iCs/>
                <w:color w:val="auto"/>
                <w:kern w:val="0"/>
                <w:szCs w:val="21"/>
                <w:highlight w:val="none"/>
                <w:lang w:val="en-US" w:eastAsia="zh-CN"/>
              </w:rPr>
              <w:t>填写本项目投标报价得分的要求</w:t>
            </w:r>
            <w:r>
              <w:rPr>
                <w:rFonts w:hint="eastAsia" w:ascii="宋体" w:hAnsi="宋体" w:cs="宋体"/>
                <w:i/>
                <w:color w:val="auto"/>
                <w:szCs w:val="21"/>
                <w:highlight w:val="none"/>
                <w:lang w:val="en-US" w:eastAsia="zh-CN"/>
              </w:rPr>
              <w:t>，填写</w:t>
            </w:r>
            <w:r>
              <w:rPr>
                <w:rFonts w:hint="eastAsia" w:ascii="宋体" w:hAnsi="宋体" w:cs="宋体"/>
                <w:i/>
                <w:color w:val="auto"/>
                <w:szCs w:val="21"/>
                <w:highlight w:val="none"/>
              </w:rPr>
              <w:t>的内容不得违背法律、法规及规范性文件的规定</w:t>
            </w:r>
            <w:r>
              <w:rPr>
                <w:rFonts w:hint="eastAsia" w:ascii="宋体" w:hAnsi="宋体"/>
                <w:i/>
                <w:iCs/>
                <w:color w:val="auto"/>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color w:val="000000"/>
                <w:szCs w:val="22"/>
                <w:highlight w:val="none"/>
              </w:rPr>
            </w:pPr>
            <w:r>
              <w:rPr>
                <w:rFonts w:hint="eastAsia"/>
                <w:color w:val="000000"/>
                <w:szCs w:val="22"/>
                <w:highlight w:val="none"/>
              </w:rPr>
              <w:t>3</w:t>
            </w:r>
          </w:p>
        </w:tc>
        <w:tc>
          <w:tcPr>
            <w:tcW w:w="1134"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40" w:lineRule="exact"/>
              <w:jc w:val="center"/>
              <w:rPr>
                <w:color w:val="000000"/>
                <w:szCs w:val="22"/>
                <w:highlight w:val="none"/>
              </w:rPr>
            </w:pPr>
            <w:r>
              <w:rPr>
                <w:color w:val="000000"/>
                <w:szCs w:val="22"/>
                <w:highlight w:val="none"/>
              </w:rPr>
              <w:t>评标程序</w:t>
            </w:r>
          </w:p>
        </w:tc>
        <w:tc>
          <w:tcPr>
            <w:tcW w:w="7938" w:type="dxa"/>
            <w:gridSpan w:val="3"/>
            <w:tcBorders>
              <w:top w:val="single" w:color="auto" w:sz="4" w:space="0"/>
              <w:left w:val="single" w:color="auto" w:sz="4" w:space="0"/>
              <w:bottom w:val="single" w:color="auto" w:sz="4" w:space="0"/>
              <w:right w:val="single" w:color="auto" w:sz="4" w:space="0"/>
            </w:tcBorders>
          </w:tcPr>
          <w:p>
            <w:pPr>
              <w:spacing w:line="400" w:lineRule="exact"/>
              <w:ind w:firstLine="420" w:firstLineChars="200"/>
              <w:rPr>
                <w:rFonts w:ascii="宋体" w:hAnsi="宋体"/>
                <w:kern w:val="0"/>
                <w:szCs w:val="21"/>
                <w:highlight w:val="none"/>
              </w:rPr>
            </w:pPr>
            <w:r>
              <w:rPr>
                <w:rFonts w:hint="eastAsia" w:ascii="宋体" w:hAnsi="宋体"/>
                <w:kern w:val="0"/>
                <w:szCs w:val="21"/>
                <w:highlight w:val="none"/>
              </w:rPr>
              <w:t>1.按本章评标办法第3.1款进行初步评审。未通过初步评审或评标委员会认定为无效的投标文件的不再进行后续评审。</w:t>
            </w:r>
          </w:p>
          <w:p>
            <w:pPr>
              <w:spacing w:line="400" w:lineRule="exact"/>
              <w:ind w:firstLine="420" w:firstLineChars="200"/>
              <w:rPr>
                <w:rFonts w:ascii="宋体" w:hAnsi="宋体"/>
                <w:kern w:val="0"/>
                <w:szCs w:val="21"/>
                <w:highlight w:val="none"/>
              </w:rPr>
            </w:pPr>
            <w:r>
              <w:rPr>
                <w:rFonts w:hint="eastAsia" w:ascii="宋体" w:hAnsi="宋体"/>
                <w:kern w:val="0"/>
                <w:szCs w:val="21"/>
                <w:highlight w:val="none"/>
              </w:rPr>
              <w:t>2.按本章评标办法前附表第2.2.</w:t>
            </w:r>
            <w:r>
              <w:rPr>
                <w:rFonts w:ascii="宋体" w:hAnsi="宋体"/>
                <w:kern w:val="0"/>
                <w:szCs w:val="21"/>
                <w:highlight w:val="none"/>
              </w:rPr>
              <w:t>4</w:t>
            </w:r>
            <w:r>
              <w:rPr>
                <w:rFonts w:hint="eastAsia" w:ascii="宋体" w:hAnsi="宋体"/>
                <w:kern w:val="0"/>
                <w:szCs w:val="21"/>
                <w:highlight w:val="none"/>
              </w:rPr>
              <w:t>（1）目的规定对技术部分进行评审。</w:t>
            </w:r>
          </w:p>
          <w:p>
            <w:pPr>
              <w:spacing w:line="400" w:lineRule="exact"/>
              <w:ind w:firstLine="420" w:firstLineChars="200"/>
              <w:rPr>
                <w:rFonts w:ascii="宋体" w:hAnsi="宋体"/>
                <w:kern w:val="0"/>
                <w:szCs w:val="21"/>
                <w:highlight w:val="none"/>
              </w:rPr>
            </w:pPr>
            <w:r>
              <w:rPr>
                <w:rFonts w:ascii="宋体" w:hAnsi="宋体"/>
                <w:kern w:val="0"/>
                <w:szCs w:val="21"/>
                <w:highlight w:val="none"/>
              </w:rPr>
              <w:t>3</w:t>
            </w:r>
            <w:r>
              <w:rPr>
                <w:rFonts w:hint="eastAsia" w:ascii="宋体" w:hAnsi="宋体"/>
                <w:kern w:val="0"/>
                <w:szCs w:val="21"/>
                <w:highlight w:val="none"/>
              </w:rPr>
              <w:t>.按本章评标办法前附表第2.2.</w:t>
            </w:r>
            <w:r>
              <w:rPr>
                <w:rFonts w:ascii="宋体" w:hAnsi="宋体"/>
                <w:kern w:val="0"/>
                <w:szCs w:val="21"/>
                <w:highlight w:val="none"/>
              </w:rPr>
              <w:t>4</w:t>
            </w:r>
            <w:r>
              <w:rPr>
                <w:rFonts w:hint="eastAsia" w:ascii="宋体" w:hAnsi="宋体"/>
                <w:kern w:val="0"/>
                <w:szCs w:val="21"/>
                <w:highlight w:val="none"/>
              </w:rPr>
              <w:t>（2）目的规定对商务部分进行评审。</w:t>
            </w:r>
          </w:p>
          <w:p>
            <w:pPr>
              <w:spacing w:line="400" w:lineRule="exact"/>
              <w:ind w:firstLine="420" w:firstLineChars="200"/>
              <w:rPr>
                <w:rFonts w:ascii="宋体" w:hAnsi="宋体"/>
                <w:kern w:val="0"/>
                <w:szCs w:val="21"/>
                <w:highlight w:val="none"/>
              </w:rPr>
            </w:pPr>
            <w:r>
              <w:rPr>
                <w:rFonts w:ascii="宋体" w:hAnsi="宋体"/>
                <w:kern w:val="0"/>
                <w:szCs w:val="21"/>
                <w:highlight w:val="none"/>
              </w:rPr>
              <w:t>4</w:t>
            </w:r>
            <w:r>
              <w:rPr>
                <w:rFonts w:hint="eastAsia" w:ascii="宋体" w:hAnsi="宋体"/>
                <w:kern w:val="0"/>
                <w:szCs w:val="21"/>
                <w:highlight w:val="none"/>
              </w:rPr>
              <w:t>.按本章评标办法前附表第2.2.</w:t>
            </w:r>
            <w:r>
              <w:rPr>
                <w:rFonts w:ascii="宋体" w:hAnsi="宋体"/>
                <w:kern w:val="0"/>
                <w:szCs w:val="21"/>
                <w:highlight w:val="none"/>
              </w:rPr>
              <w:t>4</w:t>
            </w:r>
            <w:r>
              <w:rPr>
                <w:rFonts w:hint="eastAsia" w:ascii="宋体" w:hAnsi="宋体"/>
                <w:kern w:val="0"/>
                <w:szCs w:val="21"/>
                <w:highlight w:val="none"/>
              </w:rPr>
              <w:t>（3）目的规定对投标函部分进行评审，经评审不合格的投标文件不再参与后续评审。</w:t>
            </w:r>
          </w:p>
          <w:p>
            <w:pPr>
              <w:spacing w:line="400" w:lineRule="exact"/>
              <w:ind w:firstLine="420" w:firstLineChars="200"/>
              <w:rPr>
                <w:rFonts w:ascii="宋体" w:hAnsi="宋体"/>
                <w:kern w:val="0"/>
                <w:szCs w:val="21"/>
                <w:highlight w:val="none"/>
              </w:rPr>
            </w:pPr>
            <w:r>
              <w:rPr>
                <w:rFonts w:ascii="宋体" w:hAnsi="宋体"/>
                <w:kern w:val="0"/>
                <w:szCs w:val="21"/>
                <w:highlight w:val="none"/>
              </w:rPr>
              <w:t>5</w:t>
            </w:r>
            <w:r>
              <w:rPr>
                <w:rFonts w:hint="eastAsia" w:ascii="宋体" w:hAnsi="宋体"/>
                <w:kern w:val="0"/>
                <w:szCs w:val="21"/>
                <w:highlight w:val="none"/>
              </w:rPr>
              <w:t>.因评标委员会作否决投标处理导致有效投标人不足三个的，评标委员会应当否决所有投标。但是有效投标人的经济、技术等指标仍然具有市场竞争力，能够满足招标文件要求的，评标委员会可以继续评标并确定中标候选人。</w:t>
            </w:r>
          </w:p>
          <w:p>
            <w:pPr>
              <w:spacing w:line="400" w:lineRule="exact"/>
              <w:ind w:firstLine="420" w:firstLineChars="200"/>
              <w:rPr>
                <w:rFonts w:ascii="宋体" w:hAnsi="宋体"/>
                <w:kern w:val="0"/>
                <w:szCs w:val="21"/>
                <w:highlight w:val="none"/>
              </w:rPr>
            </w:pPr>
            <w:r>
              <w:rPr>
                <w:rFonts w:ascii="宋体" w:hAnsi="宋体"/>
                <w:kern w:val="0"/>
                <w:szCs w:val="21"/>
                <w:highlight w:val="none"/>
              </w:rPr>
              <w:t>6</w:t>
            </w:r>
            <w:r>
              <w:rPr>
                <w:rFonts w:hint="eastAsia" w:ascii="宋体" w:hAnsi="宋体"/>
                <w:kern w:val="0"/>
                <w:szCs w:val="21"/>
                <w:highlight w:val="none"/>
              </w:rPr>
              <w:t>.经评审合格的投标人按照本章第2.2.</w:t>
            </w:r>
            <w:r>
              <w:rPr>
                <w:rFonts w:ascii="宋体" w:hAnsi="宋体"/>
                <w:kern w:val="0"/>
                <w:szCs w:val="21"/>
                <w:highlight w:val="none"/>
              </w:rPr>
              <w:t>2</w:t>
            </w:r>
            <w:r>
              <w:rPr>
                <w:rFonts w:hint="eastAsia" w:ascii="宋体" w:hAnsi="宋体"/>
                <w:kern w:val="0"/>
                <w:szCs w:val="21"/>
                <w:highlight w:val="none"/>
              </w:rPr>
              <w:t>项计算方法计算评标基准价，并按本附表第2.2.</w:t>
            </w:r>
            <w:r>
              <w:rPr>
                <w:rFonts w:ascii="宋体" w:hAnsi="宋体"/>
                <w:kern w:val="0"/>
                <w:szCs w:val="21"/>
                <w:highlight w:val="none"/>
              </w:rPr>
              <w:t>4</w:t>
            </w:r>
            <w:r>
              <w:rPr>
                <w:rFonts w:hint="eastAsia" w:ascii="宋体" w:hAnsi="宋体"/>
                <w:kern w:val="0"/>
                <w:szCs w:val="21"/>
                <w:highlight w:val="none"/>
              </w:rPr>
              <w:t>（4）目规定的评分方法对投标报价进行评分。</w:t>
            </w:r>
          </w:p>
          <w:p>
            <w:pPr>
              <w:spacing w:line="440" w:lineRule="exact"/>
              <w:ind w:firstLine="420" w:firstLineChars="200"/>
              <w:rPr>
                <w:color w:val="000000"/>
                <w:szCs w:val="22"/>
                <w:highlight w:val="none"/>
              </w:rPr>
            </w:pPr>
            <w:r>
              <w:rPr>
                <w:rFonts w:ascii="宋体" w:hAnsi="宋体"/>
                <w:kern w:val="0"/>
                <w:szCs w:val="21"/>
                <w:highlight w:val="none"/>
              </w:rPr>
              <w:t>7</w:t>
            </w:r>
            <w:r>
              <w:rPr>
                <w:rFonts w:hint="eastAsia" w:ascii="宋体" w:hAnsi="宋体"/>
                <w:kern w:val="0"/>
                <w:szCs w:val="21"/>
                <w:highlight w:val="none"/>
              </w:rPr>
              <w:t>.对技术部分、商务部分、投标总报价得分进行汇总，确定得分由高至低前三名投标人为中标候选人。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440" w:lineRule="exact"/>
              <w:jc w:val="both"/>
              <w:rPr>
                <w:rFonts w:hint="default" w:eastAsia="宋体"/>
                <w:color w:val="000000"/>
                <w:szCs w:val="22"/>
                <w:highlight w:val="none"/>
                <w:lang w:val="en-US" w:eastAsia="zh-CN"/>
              </w:rPr>
            </w:pPr>
            <w:r>
              <w:rPr>
                <w:rFonts w:hint="eastAsia"/>
                <w:color w:val="000000"/>
                <w:szCs w:val="22"/>
                <w:highlight w:val="none"/>
                <w:lang w:val="en-US" w:eastAsia="zh-CN"/>
              </w:rPr>
              <w:t>3.2.3</w:t>
            </w:r>
          </w:p>
        </w:tc>
        <w:tc>
          <w:tcPr>
            <w:tcW w:w="1134" w:type="dxa"/>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40" w:lineRule="exact"/>
              <w:jc w:val="both"/>
              <w:rPr>
                <w:rFonts w:hint="default" w:eastAsia="宋体"/>
                <w:color w:val="000000"/>
                <w:szCs w:val="22"/>
                <w:highlight w:val="none"/>
                <w:lang w:val="en-US" w:eastAsia="zh-CN"/>
              </w:rPr>
            </w:pPr>
            <w:r>
              <w:rPr>
                <w:rFonts w:hint="eastAsia"/>
                <w:color w:val="000000"/>
                <w:szCs w:val="22"/>
                <w:highlight w:val="none"/>
                <w:lang w:val="en-US" w:eastAsia="zh-CN"/>
              </w:rPr>
              <w:t>投标人得分</w:t>
            </w:r>
          </w:p>
        </w:tc>
        <w:tc>
          <w:tcPr>
            <w:tcW w:w="7938"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ind w:firstLine="420" w:firstLineChars="200"/>
              <w:rPr>
                <w:rFonts w:hint="eastAsia" w:ascii="宋体" w:hAnsi="宋体"/>
                <w:szCs w:val="21"/>
                <w:highlight w:val="none"/>
                <w:u w:val="single"/>
              </w:rPr>
            </w:pPr>
            <w:r>
              <w:rPr>
                <w:color w:val="000000"/>
                <w:szCs w:val="22"/>
                <w:highlight w:val="none"/>
              </w:rPr>
              <w:t>投标人得分=A+B+C。</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0" w:hRule="atLeast"/>
        </w:trPr>
        <w:tc>
          <w:tcPr>
            <w:tcW w:w="709" w:type="dxa"/>
            <w:tcBorders>
              <w:top w:val="single" w:color="auto" w:sz="4" w:space="0"/>
              <w:left w:val="single" w:color="auto" w:sz="4" w:space="0"/>
              <w:right w:val="single" w:color="auto" w:sz="4" w:space="0"/>
            </w:tcBorders>
            <w:vAlign w:val="center"/>
          </w:tcPr>
          <w:p>
            <w:pPr>
              <w:spacing w:line="440" w:lineRule="exact"/>
              <w:jc w:val="both"/>
              <w:rPr>
                <w:color w:val="000000"/>
                <w:szCs w:val="22"/>
                <w:highlight w:val="none"/>
              </w:rPr>
            </w:pPr>
            <w:r>
              <w:rPr>
                <w:rFonts w:hint="eastAsia"/>
                <w:highlight w:val="none"/>
              </w:rPr>
              <w:t>3.4.1</w:t>
            </w:r>
          </w:p>
        </w:tc>
        <w:tc>
          <w:tcPr>
            <w:tcW w:w="1134" w:type="dxa"/>
            <w:tcBorders>
              <w:top w:val="single" w:color="auto" w:sz="4" w:space="0"/>
              <w:left w:val="single" w:color="auto" w:sz="4" w:space="0"/>
              <w:right w:val="single" w:color="auto" w:sz="4" w:space="0"/>
            </w:tcBorders>
            <w:vAlign w:val="center"/>
          </w:tcPr>
          <w:p>
            <w:pPr>
              <w:suppressLineNumbers w:val="0"/>
              <w:suppressAutoHyphens w:val="0"/>
              <w:spacing w:line="440" w:lineRule="exact"/>
              <w:jc w:val="both"/>
              <w:rPr>
                <w:color w:val="000000"/>
                <w:szCs w:val="22"/>
                <w:highlight w:val="none"/>
              </w:rPr>
            </w:pPr>
            <w:r>
              <w:rPr>
                <w:rFonts w:hint="eastAsia"/>
                <w:highlight w:val="none"/>
              </w:rPr>
              <w:t>评标结果</w:t>
            </w:r>
          </w:p>
        </w:tc>
        <w:tc>
          <w:tcPr>
            <w:tcW w:w="7938" w:type="dxa"/>
            <w:gridSpan w:val="3"/>
            <w:tcBorders>
              <w:top w:val="single" w:color="auto" w:sz="4" w:space="0"/>
              <w:left w:val="single" w:color="auto" w:sz="4" w:space="0"/>
              <w:bottom w:val="single" w:color="auto" w:sz="4" w:space="0"/>
              <w:right w:val="single" w:color="auto" w:sz="4" w:space="0"/>
            </w:tcBorders>
            <w:vAlign w:val="center"/>
          </w:tcPr>
          <w:p>
            <w:pPr>
              <w:suppressLineNumbers w:val="0"/>
              <w:suppressAutoHyphens w:val="0"/>
              <w:spacing w:line="400" w:lineRule="exact"/>
              <w:ind w:firstLine="420" w:firstLineChars="200"/>
              <w:rPr>
                <w:rFonts w:ascii="Times New Roman" w:hAnsi="Times New Roman"/>
                <w:color w:val="000000"/>
                <w:kern w:val="2"/>
                <w:szCs w:val="22"/>
                <w:highlight w:val="none"/>
              </w:rPr>
            </w:pPr>
            <w:r>
              <w:rPr>
                <w:color w:val="000000"/>
                <w:szCs w:val="22"/>
                <w:highlight w:val="none"/>
              </w:rPr>
              <w:t>除第二章“投标人须知”前附表授权直接确定中标人外，评标委员会按照得分由高到低的顺序推荐中标候选人，并标明排序。</w:t>
            </w:r>
          </w:p>
        </w:tc>
      </w:tr>
    </w:tbl>
    <w:p>
      <w:pPr>
        <w:keepNext w:val="0"/>
        <w:keepLines w:val="0"/>
        <w:spacing w:before="0" w:after="0" w:line="240" w:lineRule="auto"/>
        <w:outlineLvl w:val="9"/>
        <w:rPr>
          <w:rFonts w:ascii="宋体" w:hAnsi="宋体"/>
          <w:color w:val="000000"/>
          <w:kern w:val="0"/>
          <w:szCs w:val="21"/>
          <w:highlight w:val="none"/>
        </w:rPr>
      </w:pPr>
      <w:r>
        <w:rPr>
          <w:rFonts w:ascii="宋体" w:hAnsi="宋体"/>
          <w:color w:val="000000"/>
          <w:kern w:val="0"/>
          <w:szCs w:val="21"/>
          <w:highlight w:val="none"/>
        </w:rPr>
        <w:br w:type="page"/>
      </w:r>
    </w:p>
    <w:p>
      <w:pPr>
        <w:keepNext/>
        <w:keepLines/>
        <w:spacing w:before="260" w:after="260" w:line="412" w:lineRule="auto"/>
        <w:outlineLvl w:val="1"/>
        <w:rPr>
          <w:rFonts w:eastAsia="黑体"/>
          <w:b/>
          <w:color w:val="000000"/>
          <w:sz w:val="32"/>
          <w:szCs w:val="20"/>
          <w:highlight w:val="none"/>
        </w:rPr>
      </w:pPr>
      <w:bookmarkStart w:id="1023" w:name="_Toc492300823"/>
      <w:bookmarkStart w:id="1024" w:name="_Toc19998"/>
      <w:bookmarkStart w:id="1025" w:name="_Toc2910"/>
      <w:bookmarkStart w:id="1026" w:name="_Toc21929"/>
      <w:bookmarkStart w:id="1027" w:name="_Toc10330"/>
      <w:bookmarkStart w:id="1028" w:name="_Toc75857048"/>
      <w:bookmarkStart w:id="1029" w:name="_Toc21022"/>
      <w:r>
        <w:rPr>
          <w:rFonts w:eastAsia="黑体"/>
          <w:b/>
          <w:color w:val="000000"/>
          <w:sz w:val="32"/>
          <w:szCs w:val="20"/>
          <w:highlight w:val="none"/>
        </w:rPr>
        <w:t>1. 评标方法</w:t>
      </w:r>
      <w:bookmarkEnd w:id="1023"/>
      <w:bookmarkEnd w:id="1024"/>
      <w:bookmarkEnd w:id="1025"/>
      <w:bookmarkEnd w:id="1026"/>
      <w:bookmarkEnd w:id="1027"/>
      <w:bookmarkEnd w:id="1028"/>
      <w:bookmarkEnd w:id="1029"/>
    </w:p>
    <w:p>
      <w:pPr>
        <w:spacing w:line="360" w:lineRule="auto"/>
        <w:ind w:firstLine="420" w:firstLineChars="200"/>
        <w:rPr>
          <w:color w:val="000000"/>
          <w:szCs w:val="22"/>
          <w:highlight w:val="none"/>
        </w:rPr>
      </w:pPr>
      <w:r>
        <w:rPr>
          <w:color w:val="000000"/>
          <w:szCs w:val="22"/>
          <w:highlight w:val="none"/>
        </w:rPr>
        <w:t>本次评标采用综合评估法。评标委员会对满足招标文件实质性要求的投标文件，按照本章第2.2款规定的评分标准进行</w:t>
      </w:r>
      <w:r>
        <w:rPr>
          <w:rFonts w:hint="eastAsia"/>
          <w:color w:val="000000"/>
          <w:szCs w:val="22"/>
          <w:highlight w:val="none"/>
          <w:lang w:eastAsia="zh-CN"/>
        </w:rPr>
        <w:t>评分</w:t>
      </w:r>
      <w:r>
        <w:rPr>
          <w:color w:val="000000"/>
          <w:szCs w:val="22"/>
          <w:highlight w:val="none"/>
        </w:rPr>
        <w:t>，并按得分由高到低顺序推荐中标候选人，或根据招标人授权直接确定中标人，但投标报价低于其成本的除</w:t>
      </w:r>
      <w:bookmarkStart w:id="1030" w:name="_Toc247514022"/>
      <w:bookmarkStart w:id="1031" w:name="_Toc152045598"/>
      <w:bookmarkStart w:id="1032" w:name="_Toc300835008"/>
      <w:bookmarkStart w:id="1033" w:name="_Toc361508646"/>
      <w:bookmarkStart w:id="1034" w:name="_Toc384308272"/>
      <w:bookmarkStart w:id="1035" w:name="_Toc144974565"/>
      <w:bookmarkStart w:id="1036" w:name="_Toc152042375"/>
      <w:bookmarkStart w:id="1037" w:name="_Toc247527623"/>
      <w:bookmarkStart w:id="1038" w:name="_Toc352691533"/>
      <w:bookmarkStart w:id="1039" w:name="_Toc4497"/>
      <w:bookmarkStart w:id="1040" w:name="_Toc369531577"/>
      <w:r>
        <w:rPr>
          <w:color w:val="000000"/>
          <w:szCs w:val="22"/>
          <w:highlight w:val="none"/>
        </w:rPr>
        <w:t>外。</w:t>
      </w:r>
      <w:r>
        <w:rPr>
          <w:rFonts w:hint="eastAsia"/>
          <w:color w:val="000000"/>
          <w:szCs w:val="22"/>
          <w:highlight w:val="none"/>
        </w:rPr>
        <w:t>综合评分相等</w:t>
      </w:r>
      <w:bookmarkEnd w:id="1030"/>
      <w:bookmarkEnd w:id="1031"/>
      <w:bookmarkEnd w:id="1032"/>
      <w:bookmarkEnd w:id="1033"/>
      <w:bookmarkEnd w:id="1034"/>
      <w:bookmarkEnd w:id="1035"/>
      <w:bookmarkEnd w:id="1036"/>
      <w:bookmarkEnd w:id="1037"/>
      <w:r>
        <w:rPr>
          <w:rFonts w:hint="eastAsia"/>
          <w:color w:val="000000"/>
          <w:szCs w:val="22"/>
          <w:highlight w:val="none"/>
        </w:rPr>
        <w:t>时，</w:t>
      </w:r>
      <w:bookmarkEnd w:id="1038"/>
      <w:bookmarkEnd w:id="1039"/>
      <w:bookmarkEnd w:id="1040"/>
      <w:r>
        <w:rPr>
          <w:rFonts w:hint="eastAsia"/>
          <w:color w:val="000000"/>
          <w:szCs w:val="22"/>
          <w:highlight w:val="none"/>
        </w:rPr>
        <w:t>以评标办法前附表约定的原则确定中标候选人顺序。</w:t>
      </w:r>
    </w:p>
    <w:p>
      <w:pPr>
        <w:keepNext/>
        <w:keepLines/>
        <w:spacing w:before="260" w:after="260" w:line="412" w:lineRule="auto"/>
        <w:outlineLvl w:val="1"/>
        <w:rPr>
          <w:rFonts w:eastAsia="黑体"/>
          <w:b/>
          <w:color w:val="000000"/>
          <w:sz w:val="32"/>
          <w:szCs w:val="20"/>
          <w:highlight w:val="none"/>
        </w:rPr>
      </w:pPr>
      <w:bookmarkStart w:id="1041" w:name="_Toc26035"/>
      <w:bookmarkStart w:id="1042" w:name="_Toc345"/>
      <w:bookmarkStart w:id="1043" w:name="_Toc492300824"/>
      <w:bookmarkStart w:id="1044" w:name="_Toc75857049"/>
      <w:bookmarkStart w:id="1045" w:name="_Toc32742"/>
      <w:bookmarkStart w:id="1046" w:name="_Toc14461"/>
      <w:bookmarkStart w:id="1047" w:name="_Toc8315"/>
      <w:r>
        <w:rPr>
          <w:rFonts w:eastAsia="黑体"/>
          <w:b/>
          <w:color w:val="000000"/>
          <w:sz w:val="32"/>
          <w:szCs w:val="20"/>
          <w:highlight w:val="none"/>
        </w:rPr>
        <w:t xml:space="preserve">2. </w:t>
      </w:r>
      <w:r>
        <w:rPr>
          <w:rFonts w:hint="eastAsia" w:eastAsia="黑体"/>
          <w:b/>
          <w:color w:val="000000"/>
          <w:sz w:val="32"/>
          <w:szCs w:val="20"/>
          <w:highlight w:val="none"/>
        </w:rPr>
        <w:t>评审标准</w:t>
      </w:r>
      <w:bookmarkEnd w:id="1041"/>
      <w:bookmarkEnd w:id="1042"/>
      <w:bookmarkEnd w:id="1043"/>
      <w:bookmarkEnd w:id="1044"/>
      <w:bookmarkEnd w:id="1045"/>
      <w:bookmarkEnd w:id="1046"/>
      <w:bookmarkEnd w:id="1047"/>
    </w:p>
    <w:p>
      <w:pPr>
        <w:keepNext/>
        <w:keepLines/>
        <w:spacing w:before="260" w:after="260"/>
        <w:ind w:firstLine="137" w:firstLineChars="49"/>
        <w:outlineLvl w:val="2"/>
        <w:rPr>
          <w:rFonts w:eastAsia="黑体"/>
          <w:color w:val="000000"/>
          <w:sz w:val="28"/>
          <w:szCs w:val="20"/>
          <w:highlight w:val="none"/>
        </w:rPr>
      </w:pPr>
      <w:bookmarkStart w:id="1048" w:name="_Toc4265"/>
      <w:bookmarkStart w:id="1049" w:name="_Toc492300825"/>
      <w:bookmarkStart w:id="1050" w:name="_Toc75857050"/>
      <w:bookmarkStart w:id="1051" w:name="_Toc6586"/>
      <w:bookmarkStart w:id="1052" w:name="_Toc15124"/>
      <w:bookmarkStart w:id="1053" w:name="_Toc4797"/>
      <w:bookmarkStart w:id="1054" w:name="_Toc12426"/>
      <w:r>
        <w:rPr>
          <w:rFonts w:eastAsia="黑体"/>
          <w:color w:val="000000"/>
          <w:sz w:val="28"/>
          <w:szCs w:val="20"/>
          <w:highlight w:val="none"/>
        </w:rPr>
        <w:t xml:space="preserve">2.1 </w:t>
      </w:r>
      <w:r>
        <w:rPr>
          <w:rFonts w:hint="eastAsia" w:eastAsia="黑体"/>
          <w:color w:val="000000"/>
          <w:sz w:val="28"/>
          <w:szCs w:val="20"/>
          <w:highlight w:val="none"/>
        </w:rPr>
        <w:t>初步评审标准</w:t>
      </w:r>
      <w:bookmarkEnd w:id="1048"/>
      <w:bookmarkEnd w:id="1049"/>
      <w:bookmarkEnd w:id="1050"/>
      <w:bookmarkEnd w:id="1051"/>
      <w:bookmarkEnd w:id="1052"/>
      <w:bookmarkEnd w:id="1053"/>
      <w:bookmarkEnd w:id="1054"/>
    </w:p>
    <w:p>
      <w:pPr>
        <w:spacing w:line="400" w:lineRule="exact"/>
        <w:ind w:firstLine="420" w:firstLineChars="200"/>
        <w:rPr>
          <w:color w:val="000000"/>
          <w:szCs w:val="22"/>
          <w:highlight w:val="none"/>
        </w:rPr>
      </w:pPr>
      <w:r>
        <w:rPr>
          <w:color w:val="000000"/>
          <w:szCs w:val="22"/>
          <w:highlight w:val="none"/>
        </w:rPr>
        <w:t>2.1.1资格评审标准：见评标办法前附表。</w:t>
      </w:r>
    </w:p>
    <w:p>
      <w:pPr>
        <w:spacing w:line="400" w:lineRule="exact"/>
        <w:ind w:firstLine="420" w:firstLineChars="200"/>
        <w:rPr>
          <w:color w:val="000000"/>
          <w:szCs w:val="22"/>
          <w:highlight w:val="none"/>
        </w:rPr>
      </w:pPr>
      <w:r>
        <w:rPr>
          <w:color w:val="000000"/>
          <w:szCs w:val="22"/>
          <w:highlight w:val="none"/>
        </w:rPr>
        <w:t>2.1.2形式评审标准：见评标办法前附表。</w:t>
      </w:r>
    </w:p>
    <w:p>
      <w:pPr>
        <w:spacing w:line="400" w:lineRule="exact"/>
        <w:ind w:firstLine="420" w:firstLineChars="200"/>
        <w:rPr>
          <w:color w:val="000000"/>
          <w:szCs w:val="22"/>
          <w:highlight w:val="none"/>
        </w:rPr>
      </w:pPr>
      <w:r>
        <w:rPr>
          <w:color w:val="000000"/>
          <w:szCs w:val="22"/>
          <w:highlight w:val="none"/>
        </w:rPr>
        <w:t>2.1.3 响应性评审标准：见评标办法前附表。</w:t>
      </w:r>
    </w:p>
    <w:p>
      <w:pPr>
        <w:keepNext/>
        <w:keepLines/>
        <w:spacing w:before="260" w:after="260"/>
        <w:ind w:firstLine="137" w:firstLineChars="49"/>
        <w:outlineLvl w:val="2"/>
        <w:rPr>
          <w:rFonts w:eastAsia="黑体"/>
          <w:color w:val="000000"/>
          <w:sz w:val="28"/>
          <w:szCs w:val="20"/>
          <w:highlight w:val="none"/>
        </w:rPr>
      </w:pPr>
      <w:bookmarkStart w:id="1055" w:name="_Toc26793"/>
      <w:bookmarkStart w:id="1056" w:name="_Toc25496"/>
      <w:bookmarkStart w:id="1057" w:name="_Toc24613"/>
      <w:bookmarkStart w:id="1058" w:name="_Toc492300826"/>
      <w:bookmarkStart w:id="1059" w:name="_Toc4204"/>
      <w:bookmarkStart w:id="1060" w:name="_Toc75857051"/>
      <w:bookmarkStart w:id="1061" w:name="_Toc12988"/>
      <w:r>
        <w:rPr>
          <w:rFonts w:eastAsia="黑体"/>
          <w:color w:val="000000"/>
          <w:sz w:val="28"/>
          <w:szCs w:val="20"/>
          <w:highlight w:val="none"/>
        </w:rPr>
        <w:t xml:space="preserve">2.2 </w:t>
      </w:r>
      <w:r>
        <w:rPr>
          <w:rFonts w:hint="eastAsia" w:eastAsia="黑体"/>
          <w:color w:val="000000"/>
          <w:sz w:val="28"/>
          <w:szCs w:val="20"/>
          <w:highlight w:val="none"/>
        </w:rPr>
        <w:t>分值构成与评分标准</w:t>
      </w:r>
      <w:bookmarkEnd w:id="1055"/>
      <w:bookmarkEnd w:id="1056"/>
      <w:bookmarkEnd w:id="1057"/>
      <w:bookmarkEnd w:id="1058"/>
      <w:bookmarkEnd w:id="1059"/>
      <w:bookmarkEnd w:id="1060"/>
      <w:bookmarkEnd w:id="1061"/>
    </w:p>
    <w:p>
      <w:pPr>
        <w:spacing w:line="400" w:lineRule="exact"/>
        <w:ind w:firstLine="420" w:firstLineChars="200"/>
        <w:rPr>
          <w:color w:val="000000"/>
          <w:szCs w:val="22"/>
          <w:highlight w:val="none"/>
        </w:rPr>
      </w:pPr>
      <w:r>
        <w:rPr>
          <w:color w:val="000000"/>
          <w:szCs w:val="22"/>
          <w:highlight w:val="none"/>
        </w:rPr>
        <w:t>2.2.1 分值构成</w:t>
      </w:r>
    </w:p>
    <w:p>
      <w:pPr>
        <w:spacing w:line="400" w:lineRule="exact"/>
        <w:ind w:firstLine="420" w:firstLineChars="200"/>
        <w:rPr>
          <w:szCs w:val="22"/>
          <w:highlight w:val="none"/>
        </w:rPr>
      </w:pPr>
      <w:r>
        <w:rPr>
          <w:szCs w:val="22"/>
          <w:highlight w:val="none"/>
        </w:rPr>
        <w:t>（1）</w:t>
      </w:r>
      <w:r>
        <w:rPr>
          <w:rFonts w:hint="eastAsia"/>
          <w:szCs w:val="22"/>
          <w:highlight w:val="none"/>
        </w:rPr>
        <w:t>技术部分</w:t>
      </w:r>
      <w:r>
        <w:rPr>
          <w:szCs w:val="22"/>
          <w:highlight w:val="none"/>
        </w:rPr>
        <w:t>：见评标办法前附表；</w:t>
      </w:r>
    </w:p>
    <w:p>
      <w:pPr>
        <w:spacing w:line="400" w:lineRule="exact"/>
        <w:ind w:firstLine="420" w:firstLineChars="200"/>
        <w:rPr>
          <w:szCs w:val="22"/>
          <w:highlight w:val="none"/>
        </w:rPr>
      </w:pPr>
      <w:r>
        <w:rPr>
          <w:szCs w:val="22"/>
          <w:highlight w:val="none"/>
        </w:rPr>
        <w:t>（2）</w:t>
      </w:r>
      <w:r>
        <w:rPr>
          <w:rFonts w:hint="eastAsia"/>
          <w:szCs w:val="22"/>
          <w:highlight w:val="none"/>
        </w:rPr>
        <w:t>商务</w:t>
      </w:r>
      <w:r>
        <w:rPr>
          <w:szCs w:val="22"/>
          <w:highlight w:val="none"/>
        </w:rPr>
        <w:t>部分：见评标办法前附表；</w:t>
      </w:r>
    </w:p>
    <w:p>
      <w:pPr>
        <w:spacing w:line="400" w:lineRule="exact"/>
        <w:ind w:firstLine="420" w:firstLineChars="200"/>
        <w:rPr>
          <w:szCs w:val="22"/>
          <w:highlight w:val="none"/>
        </w:rPr>
      </w:pPr>
      <w:r>
        <w:rPr>
          <w:szCs w:val="22"/>
          <w:highlight w:val="none"/>
        </w:rPr>
        <w:t>（3）投标总报价：见评标办法前附表；</w:t>
      </w:r>
    </w:p>
    <w:p>
      <w:pPr>
        <w:spacing w:line="400" w:lineRule="exact"/>
        <w:ind w:firstLine="420" w:firstLineChars="200"/>
        <w:rPr>
          <w:color w:val="000000"/>
          <w:szCs w:val="22"/>
          <w:highlight w:val="none"/>
        </w:rPr>
      </w:pPr>
      <w:r>
        <w:rPr>
          <w:color w:val="000000"/>
          <w:szCs w:val="22"/>
          <w:highlight w:val="none"/>
        </w:rPr>
        <w:t>2.2.2 评标基准价计算</w:t>
      </w:r>
    </w:p>
    <w:p>
      <w:pPr>
        <w:spacing w:line="400" w:lineRule="exact"/>
        <w:ind w:firstLine="420" w:firstLineChars="200"/>
        <w:rPr>
          <w:color w:val="000000"/>
          <w:szCs w:val="22"/>
          <w:highlight w:val="none"/>
        </w:rPr>
      </w:pPr>
      <w:r>
        <w:rPr>
          <w:color w:val="000000"/>
          <w:szCs w:val="22"/>
          <w:highlight w:val="none"/>
        </w:rPr>
        <w:t>评标基准价计算方法：见评标办法前附表。</w:t>
      </w:r>
    </w:p>
    <w:p>
      <w:pPr>
        <w:spacing w:line="400" w:lineRule="exact"/>
        <w:ind w:firstLine="420" w:firstLineChars="200"/>
        <w:rPr>
          <w:color w:val="000000"/>
          <w:szCs w:val="22"/>
          <w:highlight w:val="none"/>
        </w:rPr>
      </w:pPr>
      <w:r>
        <w:rPr>
          <w:color w:val="000000"/>
          <w:szCs w:val="22"/>
          <w:highlight w:val="none"/>
        </w:rPr>
        <w:t>2.2.3 投标总报价的偏差率计算</w:t>
      </w:r>
    </w:p>
    <w:p>
      <w:pPr>
        <w:spacing w:line="400" w:lineRule="exact"/>
        <w:ind w:firstLine="420" w:firstLineChars="200"/>
        <w:rPr>
          <w:color w:val="000000"/>
          <w:szCs w:val="22"/>
          <w:highlight w:val="none"/>
        </w:rPr>
      </w:pPr>
      <w:r>
        <w:rPr>
          <w:color w:val="000000"/>
          <w:szCs w:val="22"/>
          <w:highlight w:val="none"/>
        </w:rPr>
        <w:t>投标报价的偏差率计算公式：见评标办法前附表。</w:t>
      </w:r>
    </w:p>
    <w:p>
      <w:pPr>
        <w:spacing w:line="400" w:lineRule="exact"/>
        <w:ind w:firstLine="420" w:firstLineChars="200"/>
        <w:rPr>
          <w:color w:val="000000"/>
          <w:szCs w:val="22"/>
          <w:highlight w:val="none"/>
        </w:rPr>
      </w:pPr>
      <w:r>
        <w:rPr>
          <w:color w:val="000000"/>
          <w:szCs w:val="22"/>
          <w:highlight w:val="none"/>
        </w:rPr>
        <w:t>2.2.4 评分标准</w:t>
      </w:r>
    </w:p>
    <w:p>
      <w:pPr>
        <w:spacing w:line="400" w:lineRule="exact"/>
        <w:ind w:firstLine="420" w:firstLineChars="200"/>
        <w:rPr>
          <w:szCs w:val="22"/>
          <w:highlight w:val="none"/>
        </w:rPr>
      </w:pPr>
      <w:r>
        <w:rPr>
          <w:szCs w:val="22"/>
          <w:highlight w:val="none"/>
        </w:rPr>
        <w:t>（1）技术部分评分标准：见评标办法前附表；</w:t>
      </w:r>
    </w:p>
    <w:p>
      <w:pPr>
        <w:spacing w:line="400" w:lineRule="exact"/>
        <w:ind w:firstLine="420" w:firstLineChars="200"/>
        <w:rPr>
          <w:szCs w:val="22"/>
          <w:highlight w:val="none"/>
        </w:rPr>
      </w:pPr>
      <w:r>
        <w:rPr>
          <w:szCs w:val="22"/>
          <w:highlight w:val="none"/>
        </w:rPr>
        <w:t>（2）</w:t>
      </w:r>
      <w:r>
        <w:rPr>
          <w:rFonts w:hint="eastAsia"/>
          <w:szCs w:val="22"/>
          <w:highlight w:val="none"/>
        </w:rPr>
        <w:t>商务部分</w:t>
      </w:r>
      <w:r>
        <w:rPr>
          <w:szCs w:val="22"/>
          <w:highlight w:val="none"/>
        </w:rPr>
        <w:t>评分标准：见评标办法前附表；</w:t>
      </w:r>
    </w:p>
    <w:p>
      <w:pPr>
        <w:spacing w:line="400" w:lineRule="exact"/>
        <w:ind w:firstLine="420" w:firstLineChars="200"/>
        <w:rPr>
          <w:szCs w:val="22"/>
          <w:highlight w:val="none"/>
        </w:rPr>
      </w:pPr>
      <w:r>
        <w:rPr>
          <w:szCs w:val="22"/>
          <w:highlight w:val="none"/>
        </w:rPr>
        <w:t>（3）投标</w:t>
      </w:r>
      <w:r>
        <w:rPr>
          <w:rFonts w:hint="eastAsia"/>
          <w:szCs w:val="22"/>
          <w:highlight w:val="none"/>
        </w:rPr>
        <w:t>函部分</w:t>
      </w:r>
      <w:r>
        <w:rPr>
          <w:szCs w:val="22"/>
          <w:highlight w:val="none"/>
        </w:rPr>
        <w:t>评审标准：见评标办法前附表；</w:t>
      </w:r>
    </w:p>
    <w:p>
      <w:pPr>
        <w:spacing w:line="400" w:lineRule="exact"/>
        <w:ind w:firstLine="420" w:firstLineChars="200"/>
        <w:rPr>
          <w:szCs w:val="22"/>
          <w:highlight w:val="none"/>
        </w:rPr>
      </w:pPr>
      <w:r>
        <w:rPr>
          <w:szCs w:val="22"/>
          <w:highlight w:val="none"/>
        </w:rPr>
        <w:t>（</w:t>
      </w:r>
      <w:r>
        <w:rPr>
          <w:rFonts w:hint="eastAsia"/>
          <w:szCs w:val="22"/>
          <w:highlight w:val="none"/>
        </w:rPr>
        <w:t>4</w:t>
      </w:r>
      <w:r>
        <w:rPr>
          <w:szCs w:val="22"/>
          <w:highlight w:val="none"/>
        </w:rPr>
        <w:t>）投标总报价评分标准：见评标办法前附表</w:t>
      </w:r>
      <w:r>
        <w:rPr>
          <w:rFonts w:hint="eastAsia"/>
          <w:szCs w:val="22"/>
          <w:highlight w:val="none"/>
        </w:rPr>
        <w:t>。</w:t>
      </w:r>
    </w:p>
    <w:p>
      <w:pPr>
        <w:keepNext/>
        <w:keepLines/>
        <w:spacing w:before="260" w:after="260" w:line="412" w:lineRule="auto"/>
        <w:outlineLvl w:val="1"/>
        <w:rPr>
          <w:rFonts w:eastAsia="黑体"/>
          <w:b/>
          <w:color w:val="000000"/>
          <w:sz w:val="32"/>
          <w:szCs w:val="20"/>
          <w:highlight w:val="none"/>
        </w:rPr>
      </w:pPr>
      <w:bookmarkStart w:id="1062" w:name="_Toc504"/>
      <w:bookmarkStart w:id="1063" w:name="_Toc21668"/>
      <w:bookmarkStart w:id="1064" w:name="_Toc29761"/>
      <w:bookmarkStart w:id="1065" w:name="_Toc492300827"/>
      <w:bookmarkStart w:id="1066" w:name="_Toc21700"/>
      <w:bookmarkStart w:id="1067" w:name="_Toc10822"/>
      <w:bookmarkStart w:id="1068" w:name="_Toc75857052"/>
      <w:r>
        <w:rPr>
          <w:rFonts w:eastAsia="黑体"/>
          <w:b/>
          <w:color w:val="000000"/>
          <w:sz w:val="32"/>
          <w:szCs w:val="20"/>
          <w:highlight w:val="none"/>
        </w:rPr>
        <w:t xml:space="preserve">3. </w:t>
      </w:r>
      <w:r>
        <w:rPr>
          <w:rFonts w:hint="eastAsia" w:eastAsia="黑体"/>
          <w:b/>
          <w:color w:val="000000"/>
          <w:sz w:val="32"/>
          <w:szCs w:val="20"/>
          <w:highlight w:val="none"/>
        </w:rPr>
        <w:t>评标程序</w:t>
      </w:r>
      <w:bookmarkEnd w:id="1062"/>
      <w:bookmarkEnd w:id="1063"/>
      <w:bookmarkEnd w:id="1064"/>
      <w:bookmarkEnd w:id="1065"/>
      <w:bookmarkEnd w:id="1066"/>
      <w:bookmarkEnd w:id="1067"/>
      <w:bookmarkEnd w:id="1068"/>
    </w:p>
    <w:p>
      <w:pPr>
        <w:keepNext/>
        <w:keepLines/>
        <w:spacing w:before="260" w:after="260"/>
        <w:ind w:firstLine="137" w:firstLineChars="49"/>
        <w:outlineLvl w:val="2"/>
        <w:rPr>
          <w:rFonts w:eastAsia="黑体"/>
          <w:color w:val="000000"/>
          <w:sz w:val="28"/>
          <w:szCs w:val="20"/>
          <w:highlight w:val="none"/>
        </w:rPr>
      </w:pPr>
      <w:bookmarkStart w:id="1069" w:name="_Toc492300828"/>
      <w:bookmarkStart w:id="1070" w:name="_Toc10990"/>
      <w:bookmarkStart w:id="1071" w:name="_Toc7227"/>
      <w:bookmarkStart w:id="1072" w:name="_Toc75857053"/>
      <w:bookmarkStart w:id="1073" w:name="_Toc19841"/>
      <w:bookmarkStart w:id="1074" w:name="_Toc9981"/>
      <w:bookmarkStart w:id="1075" w:name="_Toc6858"/>
      <w:r>
        <w:rPr>
          <w:rFonts w:eastAsia="黑体"/>
          <w:color w:val="000000"/>
          <w:sz w:val="28"/>
          <w:szCs w:val="20"/>
          <w:highlight w:val="none"/>
        </w:rPr>
        <w:t xml:space="preserve">3.1 </w:t>
      </w:r>
      <w:r>
        <w:rPr>
          <w:rFonts w:hint="eastAsia" w:eastAsia="黑体"/>
          <w:color w:val="000000"/>
          <w:sz w:val="28"/>
          <w:szCs w:val="20"/>
          <w:highlight w:val="none"/>
        </w:rPr>
        <w:t>初步评审</w:t>
      </w:r>
      <w:bookmarkEnd w:id="1069"/>
      <w:bookmarkEnd w:id="1070"/>
      <w:bookmarkEnd w:id="1071"/>
      <w:bookmarkEnd w:id="1072"/>
      <w:bookmarkEnd w:id="1073"/>
      <w:bookmarkEnd w:id="1074"/>
      <w:bookmarkEnd w:id="1075"/>
    </w:p>
    <w:p>
      <w:pPr>
        <w:spacing w:line="400" w:lineRule="exact"/>
        <w:ind w:firstLine="420" w:firstLineChars="200"/>
        <w:rPr>
          <w:color w:val="000000"/>
          <w:szCs w:val="22"/>
          <w:highlight w:val="none"/>
        </w:rPr>
      </w:pPr>
      <w:r>
        <w:rPr>
          <w:color w:val="000000"/>
          <w:szCs w:val="22"/>
          <w:highlight w:val="none"/>
        </w:rPr>
        <w:t>3.1.1评标委员会依据本章第2.1款规定的标准对投标文件进行初步评审。有一项不符合评审标准的，评标委员会应当否决其投标。</w:t>
      </w:r>
      <w:r>
        <w:rPr>
          <w:rFonts w:hint="eastAsia"/>
          <w:color w:val="000000"/>
          <w:szCs w:val="22"/>
          <w:highlight w:val="none"/>
        </w:rPr>
        <w:t>（适用于未进行资格预审的）</w:t>
      </w:r>
    </w:p>
    <w:p>
      <w:pPr>
        <w:spacing w:line="400" w:lineRule="exact"/>
        <w:ind w:firstLine="420" w:firstLineChars="200"/>
        <w:rPr>
          <w:color w:val="000000"/>
          <w:szCs w:val="22"/>
          <w:highlight w:val="none"/>
        </w:rPr>
      </w:pPr>
      <w:r>
        <w:rPr>
          <w:rFonts w:hint="eastAsia"/>
          <w:color w:val="000000"/>
          <w:szCs w:val="22"/>
          <w:highlight w:val="none"/>
        </w:rPr>
        <w:t>3.1.1  评标委员会依据本章第2.1.2项、第2.1.3项规定的评审标准对投标文件进行初步评审。有一项不符合评审标准的，作否决投标处理。当投标人资格预审申请文件的内容发生重大变化时，评标委员会依据本章第2.1.1项规定的标准对其更新资料进行评审。（适用于已进行资格预审的）</w:t>
      </w:r>
    </w:p>
    <w:p>
      <w:pPr>
        <w:spacing w:line="400" w:lineRule="exact"/>
        <w:ind w:firstLine="420" w:firstLineChars="200"/>
        <w:rPr>
          <w:color w:val="000000"/>
          <w:szCs w:val="22"/>
          <w:highlight w:val="none"/>
        </w:rPr>
      </w:pPr>
      <w:r>
        <w:rPr>
          <w:color w:val="000000"/>
          <w:szCs w:val="22"/>
          <w:highlight w:val="none"/>
        </w:rPr>
        <w:t>3.1.2 投标人有以下情形之一的，评标委员会应当否决其投标：</w:t>
      </w:r>
    </w:p>
    <w:p>
      <w:pPr>
        <w:spacing w:line="400" w:lineRule="exact"/>
        <w:ind w:firstLine="420" w:firstLineChars="200"/>
        <w:rPr>
          <w:szCs w:val="22"/>
          <w:highlight w:val="none"/>
        </w:rPr>
      </w:pPr>
      <w:r>
        <w:rPr>
          <w:rFonts w:hint="eastAsia"/>
          <w:szCs w:val="22"/>
          <w:highlight w:val="none"/>
        </w:rPr>
        <w:t>（1）对招标文件的偏差超出招标文件规定的偏差范围或最高项数；</w:t>
      </w:r>
    </w:p>
    <w:p>
      <w:pPr>
        <w:spacing w:line="400" w:lineRule="exact"/>
        <w:ind w:firstLine="420" w:firstLineChars="200"/>
        <w:rPr>
          <w:szCs w:val="22"/>
          <w:highlight w:val="none"/>
        </w:rPr>
      </w:pPr>
      <w:r>
        <w:rPr>
          <w:rFonts w:hint="eastAsia"/>
          <w:szCs w:val="22"/>
          <w:highlight w:val="none"/>
        </w:rPr>
        <w:t>（2）有串通投标、弄虚作假等其他违反招投标相关法律、法规行为的；</w:t>
      </w:r>
    </w:p>
    <w:p>
      <w:pPr>
        <w:spacing w:line="400" w:lineRule="exact"/>
        <w:ind w:firstLine="420" w:firstLineChars="200"/>
        <w:rPr>
          <w:szCs w:val="22"/>
          <w:highlight w:val="none"/>
        </w:rPr>
      </w:pPr>
      <w:r>
        <w:rPr>
          <w:rFonts w:hint="eastAsia"/>
          <w:szCs w:val="22"/>
          <w:highlight w:val="none"/>
        </w:rPr>
        <w:t>（3）拒绝按评标委员会要求澄清、说明或补正的。</w:t>
      </w:r>
    </w:p>
    <w:p>
      <w:pPr>
        <w:spacing w:line="400" w:lineRule="exact"/>
        <w:ind w:firstLine="420" w:firstLineChars="200"/>
        <w:rPr>
          <w:color w:val="000000"/>
          <w:szCs w:val="22"/>
          <w:highlight w:val="none"/>
        </w:rPr>
      </w:pPr>
      <w:r>
        <w:rPr>
          <w:color w:val="000000"/>
          <w:szCs w:val="22"/>
          <w:highlight w:val="none"/>
        </w:rPr>
        <w:t>3.1.3 投标报价有算术错误及其他错误的，评标委员会按以下原则要求投标人对投标报价进</w:t>
      </w:r>
      <w:bookmarkStart w:id="1076" w:name="_Toc300835013"/>
      <w:bookmarkStart w:id="1077" w:name="_Toc152042380"/>
      <w:bookmarkStart w:id="1078" w:name="_Toc2907"/>
      <w:bookmarkStart w:id="1079" w:name="_Toc247527628"/>
      <w:bookmarkStart w:id="1080" w:name="_Toc247514027"/>
      <w:bookmarkStart w:id="1081" w:name="_Toc144974570"/>
      <w:bookmarkStart w:id="1082" w:name="_Toc152045603"/>
      <w:bookmarkStart w:id="1083" w:name="_Toc384308277"/>
      <w:bookmarkStart w:id="1084" w:name="_Toc361508651"/>
      <w:bookmarkStart w:id="1085" w:name="_Toc352691538"/>
      <w:bookmarkStart w:id="1086" w:name="_Toc369531582"/>
      <w:r>
        <w:rPr>
          <w:color w:val="000000"/>
          <w:szCs w:val="22"/>
          <w:highlight w:val="none"/>
        </w:rPr>
        <w:t>行修正，并要求投标人书面澄清确认。</w:t>
      </w:r>
      <w:bookmarkEnd w:id="1076"/>
      <w:bookmarkEnd w:id="1077"/>
      <w:bookmarkEnd w:id="1078"/>
      <w:bookmarkEnd w:id="1079"/>
      <w:bookmarkEnd w:id="1080"/>
      <w:bookmarkEnd w:id="1081"/>
      <w:bookmarkEnd w:id="1082"/>
      <w:bookmarkEnd w:id="1083"/>
      <w:bookmarkEnd w:id="1084"/>
      <w:bookmarkEnd w:id="1085"/>
      <w:bookmarkEnd w:id="1086"/>
      <w:r>
        <w:rPr>
          <w:color w:val="000000"/>
          <w:szCs w:val="22"/>
          <w:highlight w:val="none"/>
        </w:rPr>
        <w:t>投标人拒不澄清确认的，评标委员会应当否决其投标：</w:t>
      </w:r>
    </w:p>
    <w:p>
      <w:pPr>
        <w:spacing w:line="400" w:lineRule="exact"/>
        <w:ind w:firstLine="420" w:firstLineChars="200"/>
        <w:rPr>
          <w:color w:val="000000"/>
          <w:szCs w:val="22"/>
          <w:highlight w:val="none"/>
        </w:rPr>
      </w:pPr>
      <w:r>
        <w:rPr>
          <w:rFonts w:hint="eastAsia"/>
          <w:color w:val="000000"/>
          <w:szCs w:val="22"/>
          <w:highlight w:val="none"/>
        </w:rPr>
        <w:t>（1）投标文件中的大写金额与小写金额不一致的，以大写金额为准；</w:t>
      </w:r>
    </w:p>
    <w:p>
      <w:pPr>
        <w:keepNext w:val="0"/>
        <w:keepLines w:val="0"/>
        <w:spacing w:before="0" w:after="0" w:line="400" w:lineRule="exact"/>
        <w:ind w:firstLine="420" w:firstLineChars="200"/>
        <w:outlineLvl w:val="9"/>
        <w:rPr>
          <w:color w:val="000000"/>
          <w:szCs w:val="22"/>
          <w:highlight w:val="none"/>
        </w:rPr>
      </w:pPr>
      <w:r>
        <w:rPr>
          <w:rFonts w:hint="eastAsia"/>
          <w:color w:val="000000"/>
          <w:szCs w:val="22"/>
          <w:highlight w:val="none"/>
        </w:rPr>
        <w:t>（2）投标函中的投标</w:t>
      </w:r>
      <w:r>
        <w:rPr>
          <w:rFonts w:hint="eastAsia"/>
          <w:color w:val="000000"/>
          <w:szCs w:val="22"/>
          <w:highlight w:val="none"/>
          <w:lang w:val="en-US" w:eastAsia="zh-CN"/>
        </w:rPr>
        <w:t>总</w:t>
      </w:r>
      <w:r>
        <w:rPr>
          <w:rFonts w:hint="eastAsia"/>
          <w:color w:val="000000"/>
          <w:szCs w:val="22"/>
          <w:highlight w:val="none"/>
        </w:rPr>
        <w:t>报价与依据固定</w:t>
      </w:r>
      <w:r>
        <w:rPr>
          <w:rFonts w:hint="eastAsia"/>
          <w:color w:val="000000"/>
          <w:szCs w:val="22"/>
          <w:highlight w:val="none"/>
          <w:lang w:val="en-US" w:eastAsia="zh-CN"/>
        </w:rPr>
        <w:t>费</w:t>
      </w:r>
      <w:r>
        <w:rPr>
          <w:rFonts w:hint="eastAsia"/>
          <w:color w:val="000000"/>
          <w:szCs w:val="22"/>
          <w:highlight w:val="none"/>
        </w:rPr>
        <w:t>率</w:t>
      </w:r>
      <w:r>
        <w:rPr>
          <w:rFonts w:hint="eastAsia"/>
          <w:color w:val="000000"/>
          <w:szCs w:val="22"/>
          <w:highlight w:val="none"/>
          <w:lang w:eastAsia="zh-CN"/>
        </w:rPr>
        <w:t>（或固定单价）</w:t>
      </w:r>
      <w:r>
        <w:rPr>
          <w:rFonts w:hint="eastAsia"/>
          <w:color w:val="000000"/>
          <w:szCs w:val="22"/>
          <w:highlight w:val="none"/>
        </w:rPr>
        <w:t>计算出的结果不一致的；采用勘察费用清单报价的，投标函中的投标总报价与勘察费用清单合计报价不一致的，均由评标委员会作否决投标处理。</w:t>
      </w:r>
    </w:p>
    <w:p>
      <w:pPr>
        <w:keepNext/>
        <w:keepLines/>
        <w:spacing w:before="260" w:after="260"/>
        <w:ind w:firstLine="137" w:firstLineChars="49"/>
        <w:outlineLvl w:val="2"/>
        <w:rPr>
          <w:rFonts w:eastAsia="黑体"/>
          <w:color w:val="000000"/>
          <w:sz w:val="28"/>
          <w:szCs w:val="20"/>
          <w:highlight w:val="none"/>
        </w:rPr>
      </w:pPr>
      <w:bookmarkStart w:id="1087" w:name="_Toc7050"/>
      <w:bookmarkStart w:id="1088" w:name="_Toc492300829"/>
      <w:bookmarkStart w:id="1089" w:name="_Toc14083"/>
      <w:bookmarkStart w:id="1090" w:name="_Toc20738"/>
      <w:bookmarkStart w:id="1091" w:name="_Toc75857054"/>
      <w:bookmarkStart w:id="1092" w:name="_Toc22849"/>
      <w:bookmarkStart w:id="1093" w:name="_Toc10610"/>
      <w:r>
        <w:rPr>
          <w:rFonts w:eastAsia="黑体"/>
          <w:color w:val="000000"/>
          <w:sz w:val="28"/>
          <w:szCs w:val="20"/>
          <w:highlight w:val="none"/>
        </w:rPr>
        <w:t xml:space="preserve">3.2 </w:t>
      </w:r>
      <w:r>
        <w:rPr>
          <w:rFonts w:hint="eastAsia" w:eastAsia="黑体"/>
          <w:color w:val="000000"/>
          <w:sz w:val="28"/>
          <w:szCs w:val="20"/>
          <w:highlight w:val="none"/>
        </w:rPr>
        <w:t>详细评审</w:t>
      </w:r>
      <w:bookmarkEnd w:id="1087"/>
      <w:bookmarkEnd w:id="1088"/>
      <w:bookmarkEnd w:id="1089"/>
      <w:bookmarkEnd w:id="1090"/>
      <w:bookmarkEnd w:id="1091"/>
      <w:bookmarkEnd w:id="1092"/>
      <w:bookmarkEnd w:id="1093"/>
    </w:p>
    <w:p>
      <w:pPr>
        <w:spacing w:line="400" w:lineRule="exact"/>
        <w:ind w:firstLine="420" w:firstLineChars="200"/>
        <w:rPr>
          <w:color w:val="000000"/>
          <w:szCs w:val="22"/>
          <w:highlight w:val="none"/>
        </w:rPr>
      </w:pPr>
      <w:r>
        <w:rPr>
          <w:color w:val="000000"/>
          <w:szCs w:val="22"/>
          <w:highlight w:val="none"/>
        </w:rPr>
        <w:t>3.2.1 评标委员会按本章第2.2款规定的量化因素和分值进行</w:t>
      </w:r>
      <w:r>
        <w:rPr>
          <w:rFonts w:hint="eastAsia"/>
          <w:color w:val="000000"/>
          <w:szCs w:val="22"/>
          <w:highlight w:val="none"/>
          <w:lang w:eastAsia="zh-CN"/>
        </w:rPr>
        <w:t>评分</w:t>
      </w:r>
      <w:r>
        <w:rPr>
          <w:color w:val="000000"/>
          <w:szCs w:val="22"/>
          <w:highlight w:val="none"/>
        </w:rPr>
        <w:t>，并计算出综合评估得分。</w:t>
      </w:r>
    </w:p>
    <w:p>
      <w:pPr>
        <w:spacing w:line="400" w:lineRule="exact"/>
        <w:ind w:firstLine="420" w:firstLineChars="200"/>
        <w:rPr>
          <w:color w:val="000000"/>
          <w:szCs w:val="22"/>
          <w:highlight w:val="none"/>
        </w:rPr>
      </w:pPr>
      <w:r>
        <w:rPr>
          <w:color w:val="000000"/>
          <w:szCs w:val="22"/>
          <w:highlight w:val="none"/>
        </w:rPr>
        <w:t>（1）按本章第2.2.4（1）目规定的评审因素和分值对技术部分部分计算出得分A；</w:t>
      </w:r>
    </w:p>
    <w:p>
      <w:pPr>
        <w:spacing w:line="400" w:lineRule="exact"/>
        <w:ind w:firstLine="420" w:firstLineChars="200"/>
        <w:rPr>
          <w:color w:val="000000"/>
          <w:szCs w:val="22"/>
          <w:highlight w:val="none"/>
        </w:rPr>
      </w:pPr>
      <w:r>
        <w:rPr>
          <w:color w:val="000000"/>
          <w:szCs w:val="22"/>
          <w:highlight w:val="none"/>
        </w:rPr>
        <w:t>（2）按本章第2.2.4（2）目规定的评审因素和分值对</w:t>
      </w:r>
      <w:r>
        <w:rPr>
          <w:rFonts w:hint="eastAsia"/>
          <w:color w:val="000000"/>
          <w:szCs w:val="22"/>
          <w:highlight w:val="none"/>
        </w:rPr>
        <w:t>商务</w:t>
      </w:r>
      <w:r>
        <w:rPr>
          <w:color w:val="000000"/>
          <w:szCs w:val="22"/>
          <w:highlight w:val="none"/>
        </w:rPr>
        <w:t>部分计算出得分B；</w:t>
      </w:r>
    </w:p>
    <w:p>
      <w:pPr>
        <w:spacing w:line="400" w:lineRule="exact"/>
        <w:ind w:firstLine="420" w:firstLineChars="200"/>
        <w:rPr>
          <w:color w:val="000000"/>
          <w:szCs w:val="22"/>
          <w:highlight w:val="none"/>
        </w:rPr>
      </w:pPr>
      <w:r>
        <w:rPr>
          <w:color w:val="000000"/>
          <w:szCs w:val="22"/>
          <w:highlight w:val="none"/>
        </w:rPr>
        <w:t>（3）按本章第2.2.4（</w:t>
      </w:r>
      <w:r>
        <w:rPr>
          <w:rFonts w:hint="eastAsia"/>
          <w:color w:val="000000"/>
          <w:szCs w:val="22"/>
          <w:highlight w:val="none"/>
        </w:rPr>
        <w:t>4</w:t>
      </w:r>
      <w:r>
        <w:rPr>
          <w:color w:val="000000"/>
          <w:szCs w:val="22"/>
          <w:highlight w:val="none"/>
        </w:rPr>
        <w:t>）目规定的评审因素和</w:t>
      </w:r>
      <w:bookmarkStart w:id="1094" w:name="_Toc152042381"/>
      <w:bookmarkStart w:id="1095" w:name="_Toc369531583"/>
      <w:bookmarkStart w:id="1096" w:name="_Toc352691539"/>
      <w:bookmarkStart w:id="1097" w:name="_Toc361508652"/>
      <w:bookmarkStart w:id="1098" w:name="_Toc247514028"/>
      <w:bookmarkStart w:id="1099" w:name="_Toc152045604"/>
      <w:bookmarkStart w:id="1100" w:name="_Toc247527629"/>
      <w:bookmarkStart w:id="1101" w:name="_Toc24330"/>
      <w:bookmarkStart w:id="1102" w:name="_Toc300835014"/>
      <w:bookmarkStart w:id="1103" w:name="_Toc384308278"/>
      <w:bookmarkStart w:id="1104" w:name="_Toc144974571"/>
      <w:r>
        <w:rPr>
          <w:color w:val="000000"/>
          <w:szCs w:val="22"/>
          <w:highlight w:val="none"/>
        </w:rPr>
        <w:t>分值对</w:t>
      </w:r>
      <w:r>
        <w:rPr>
          <w:szCs w:val="22"/>
          <w:highlight w:val="none"/>
        </w:rPr>
        <w:t>投标总报价</w:t>
      </w:r>
      <w:bookmarkEnd w:id="1094"/>
      <w:bookmarkEnd w:id="1095"/>
      <w:bookmarkEnd w:id="1096"/>
      <w:bookmarkEnd w:id="1097"/>
      <w:bookmarkEnd w:id="1098"/>
      <w:bookmarkEnd w:id="1099"/>
      <w:bookmarkEnd w:id="1100"/>
      <w:bookmarkEnd w:id="1101"/>
      <w:bookmarkEnd w:id="1102"/>
      <w:bookmarkEnd w:id="1103"/>
      <w:bookmarkEnd w:id="1104"/>
      <w:r>
        <w:rPr>
          <w:color w:val="000000"/>
          <w:szCs w:val="22"/>
          <w:highlight w:val="none"/>
        </w:rPr>
        <w:t>计</w:t>
      </w:r>
      <w:bookmarkStart w:id="1105" w:name="_Toc18141"/>
      <w:bookmarkStart w:id="1106" w:name="_Toc361508653"/>
      <w:bookmarkStart w:id="1107" w:name="_Toc152045605"/>
      <w:bookmarkStart w:id="1108" w:name="_Toc144974572"/>
      <w:bookmarkStart w:id="1109" w:name="_Toc247527630"/>
      <w:bookmarkStart w:id="1110" w:name="_Toc352691540"/>
      <w:bookmarkStart w:id="1111" w:name="_Toc247514029"/>
      <w:bookmarkStart w:id="1112" w:name="_Toc369531584"/>
      <w:bookmarkStart w:id="1113" w:name="_Toc384308279"/>
      <w:bookmarkStart w:id="1114" w:name="_Toc152042382"/>
      <w:bookmarkStart w:id="1115" w:name="_Toc300835015"/>
      <w:r>
        <w:rPr>
          <w:color w:val="000000"/>
          <w:szCs w:val="22"/>
          <w:highlight w:val="none"/>
        </w:rPr>
        <w:t>算出得分C；</w:t>
      </w:r>
    </w:p>
    <w:bookmarkEnd w:id="1105"/>
    <w:bookmarkEnd w:id="1106"/>
    <w:bookmarkEnd w:id="1107"/>
    <w:bookmarkEnd w:id="1108"/>
    <w:bookmarkEnd w:id="1109"/>
    <w:bookmarkEnd w:id="1110"/>
    <w:bookmarkEnd w:id="1111"/>
    <w:bookmarkEnd w:id="1112"/>
    <w:bookmarkEnd w:id="1113"/>
    <w:bookmarkEnd w:id="1114"/>
    <w:bookmarkEnd w:id="1115"/>
    <w:p>
      <w:pPr>
        <w:spacing w:line="400" w:lineRule="exact"/>
        <w:ind w:firstLine="420" w:firstLineChars="200"/>
        <w:rPr>
          <w:color w:val="000000"/>
          <w:szCs w:val="22"/>
          <w:highlight w:val="none"/>
        </w:rPr>
      </w:pPr>
      <w:r>
        <w:rPr>
          <w:color w:val="000000"/>
          <w:szCs w:val="22"/>
          <w:highlight w:val="none"/>
        </w:rPr>
        <w:t>3.2.2 评分分值计算保留小数点后两位，小数点后第三位“四舍五入”。</w:t>
      </w:r>
    </w:p>
    <w:p>
      <w:pPr>
        <w:spacing w:line="400" w:lineRule="exact"/>
        <w:ind w:firstLine="420" w:firstLineChars="200"/>
        <w:rPr>
          <w:color w:val="000000"/>
          <w:szCs w:val="22"/>
          <w:highlight w:val="none"/>
        </w:rPr>
      </w:pPr>
      <w:r>
        <w:rPr>
          <w:color w:val="000000"/>
          <w:szCs w:val="22"/>
          <w:highlight w:val="none"/>
        </w:rPr>
        <w:t>3.2.3 投标人得分=A+B+C。</w:t>
      </w:r>
    </w:p>
    <w:p>
      <w:pPr>
        <w:spacing w:line="400" w:lineRule="exact"/>
        <w:ind w:firstLine="420" w:firstLineChars="200"/>
        <w:rPr>
          <w:color w:val="000000"/>
          <w:szCs w:val="22"/>
          <w:highlight w:val="none"/>
        </w:rPr>
      </w:pPr>
      <w:r>
        <w:rPr>
          <w:color w:val="000000"/>
          <w:szCs w:val="22"/>
          <w:highlight w:val="none"/>
        </w:rPr>
        <w:t>3.2.4 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pPr>
        <w:keepNext/>
        <w:keepLines/>
        <w:spacing w:before="260" w:after="260"/>
        <w:ind w:firstLine="137" w:firstLineChars="49"/>
        <w:outlineLvl w:val="2"/>
        <w:rPr>
          <w:rFonts w:eastAsia="黑体"/>
          <w:color w:val="000000"/>
          <w:sz w:val="28"/>
          <w:szCs w:val="20"/>
          <w:highlight w:val="none"/>
        </w:rPr>
      </w:pPr>
      <w:bookmarkStart w:id="1116" w:name="_Toc75857055"/>
      <w:bookmarkStart w:id="1117" w:name="_Toc24838"/>
      <w:bookmarkStart w:id="1118" w:name="_Toc31115"/>
      <w:bookmarkStart w:id="1119" w:name="_Toc492300830"/>
      <w:bookmarkStart w:id="1120" w:name="_Toc21421"/>
      <w:bookmarkStart w:id="1121" w:name="_Toc31525"/>
      <w:bookmarkStart w:id="1122" w:name="_Toc5250"/>
      <w:r>
        <w:rPr>
          <w:rFonts w:eastAsia="黑体"/>
          <w:color w:val="000000"/>
          <w:sz w:val="28"/>
          <w:szCs w:val="20"/>
          <w:highlight w:val="none"/>
        </w:rPr>
        <w:t xml:space="preserve">3.3 </w:t>
      </w:r>
      <w:r>
        <w:rPr>
          <w:rFonts w:hint="eastAsia" w:eastAsia="黑体"/>
          <w:color w:val="000000"/>
          <w:sz w:val="28"/>
          <w:szCs w:val="20"/>
          <w:highlight w:val="none"/>
        </w:rPr>
        <w:t>投标文件的澄清</w:t>
      </w:r>
      <w:bookmarkEnd w:id="1116"/>
      <w:bookmarkEnd w:id="1117"/>
      <w:bookmarkEnd w:id="1118"/>
      <w:bookmarkEnd w:id="1119"/>
      <w:bookmarkEnd w:id="1120"/>
      <w:bookmarkEnd w:id="1121"/>
      <w:bookmarkEnd w:id="1122"/>
    </w:p>
    <w:p>
      <w:pPr>
        <w:spacing w:line="400" w:lineRule="exact"/>
        <w:ind w:firstLine="420" w:firstLineChars="200"/>
        <w:rPr>
          <w:color w:val="000000"/>
          <w:szCs w:val="22"/>
          <w:highlight w:val="none"/>
        </w:rPr>
      </w:pPr>
      <w:r>
        <w:rPr>
          <w:color w:val="000000"/>
          <w:szCs w:val="22"/>
          <w:highlight w:val="none"/>
        </w:rPr>
        <w:t>3.3.1 在评标过程中，评标委员会可以书面形式要求投标人对投标文件中含义不明确、对同类问题表述不一致或者有明显文字和计算错误的内容作必要的澄清、说明</w:t>
      </w:r>
      <w:r>
        <w:rPr>
          <w:rFonts w:ascii="宋体" w:hAnsi="宋体"/>
          <w:kern w:val="0"/>
          <w:szCs w:val="21"/>
          <w:highlight w:val="none"/>
        </w:rPr>
        <w:t>，或者对细微偏差进行补正。</w:t>
      </w:r>
      <w:r>
        <w:rPr>
          <w:color w:val="000000"/>
          <w:szCs w:val="22"/>
          <w:highlight w:val="none"/>
        </w:rPr>
        <w:t>澄清、说明或补正应以书面方式进行。评标委员会不接受投标人主动提出的澄清、说明或补正。</w:t>
      </w:r>
    </w:p>
    <w:p>
      <w:pPr>
        <w:spacing w:line="400" w:lineRule="exact"/>
        <w:ind w:firstLine="420" w:firstLineChars="200"/>
        <w:rPr>
          <w:color w:val="000000"/>
          <w:szCs w:val="22"/>
          <w:highlight w:val="none"/>
        </w:rPr>
      </w:pPr>
      <w:r>
        <w:rPr>
          <w:color w:val="000000"/>
          <w:szCs w:val="22"/>
          <w:highlight w:val="none"/>
        </w:rPr>
        <w:t>3.3.2 澄清、说明或补正不得超出投标文件的范围且不得改变投标文件的实质性内容</w:t>
      </w:r>
      <w:r>
        <w:rPr>
          <w:rFonts w:ascii="宋体" w:hAnsi="宋体"/>
          <w:kern w:val="0"/>
          <w:szCs w:val="21"/>
          <w:highlight w:val="none"/>
        </w:rPr>
        <w:t>（算术性错误修正的除外）</w:t>
      </w:r>
      <w:r>
        <w:rPr>
          <w:color w:val="000000"/>
          <w:szCs w:val="22"/>
          <w:highlight w:val="none"/>
        </w:rPr>
        <w:t>，并构成投标文件的组成部分。</w:t>
      </w:r>
    </w:p>
    <w:p>
      <w:pPr>
        <w:spacing w:line="400" w:lineRule="exact"/>
        <w:ind w:firstLine="420" w:firstLineChars="200"/>
        <w:rPr>
          <w:color w:val="000000"/>
          <w:szCs w:val="22"/>
          <w:highlight w:val="none"/>
        </w:rPr>
      </w:pPr>
      <w:r>
        <w:rPr>
          <w:color w:val="000000"/>
          <w:szCs w:val="22"/>
          <w:highlight w:val="none"/>
        </w:rPr>
        <w:t>3.3.3 评标委员会对投标人提交的澄清、说明或补正有疑问的，可以要求投标人进一步澄清、说明或补正，直至满足评标委员会的要求。</w:t>
      </w:r>
    </w:p>
    <w:p>
      <w:pPr>
        <w:keepNext/>
        <w:keepLines/>
        <w:spacing w:before="260" w:after="260"/>
        <w:ind w:firstLine="137" w:firstLineChars="49"/>
        <w:outlineLvl w:val="2"/>
        <w:rPr>
          <w:rFonts w:eastAsia="黑体"/>
          <w:color w:val="000000"/>
          <w:sz w:val="28"/>
          <w:szCs w:val="20"/>
          <w:highlight w:val="none"/>
        </w:rPr>
      </w:pPr>
      <w:bookmarkStart w:id="1123" w:name="_Toc492300831"/>
      <w:bookmarkStart w:id="1124" w:name="_Toc6542"/>
      <w:bookmarkStart w:id="1125" w:name="_Toc31299"/>
      <w:bookmarkStart w:id="1126" w:name="_Toc75857056"/>
      <w:bookmarkStart w:id="1127" w:name="_Toc10777"/>
      <w:bookmarkStart w:id="1128" w:name="_Toc7266"/>
      <w:bookmarkStart w:id="1129" w:name="_Toc4383"/>
      <w:r>
        <w:rPr>
          <w:rFonts w:eastAsia="黑体"/>
          <w:color w:val="000000"/>
          <w:sz w:val="28"/>
          <w:szCs w:val="20"/>
          <w:highlight w:val="none"/>
        </w:rPr>
        <w:t xml:space="preserve">3.4 </w:t>
      </w:r>
      <w:r>
        <w:rPr>
          <w:rFonts w:hint="eastAsia" w:eastAsia="黑体"/>
          <w:color w:val="000000"/>
          <w:sz w:val="28"/>
          <w:szCs w:val="20"/>
          <w:highlight w:val="none"/>
        </w:rPr>
        <w:t>评标结果</w:t>
      </w:r>
      <w:bookmarkEnd w:id="1123"/>
      <w:bookmarkEnd w:id="1124"/>
      <w:bookmarkEnd w:id="1125"/>
      <w:bookmarkEnd w:id="1126"/>
      <w:bookmarkEnd w:id="1127"/>
      <w:bookmarkEnd w:id="1128"/>
      <w:bookmarkEnd w:id="1129"/>
    </w:p>
    <w:p>
      <w:pPr>
        <w:spacing w:line="400" w:lineRule="exact"/>
        <w:ind w:firstLine="420" w:firstLineChars="200"/>
        <w:rPr>
          <w:color w:val="000000"/>
          <w:szCs w:val="22"/>
          <w:highlight w:val="none"/>
        </w:rPr>
      </w:pPr>
      <w:r>
        <w:rPr>
          <w:color w:val="000000"/>
          <w:szCs w:val="22"/>
          <w:highlight w:val="none"/>
        </w:rPr>
        <w:t>3.4.1 除第二章“投标人须知”前附表授权直接确定中标人外，评标委员会按照得分由高到低的顺序推荐中标候选人，并标明排序。</w:t>
      </w:r>
    </w:p>
    <w:p>
      <w:pPr>
        <w:spacing w:line="400" w:lineRule="exact"/>
        <w:ind w:firstLine="420" w:firstLineChars="200"/>
        <w:rPr>
          <w:color w:val="000000"/>
          <w:szCs w:val="22"/>
          <w:highlight w:val="none"/>
        </w:rPr>
      </w:pPr>
      <w:r>
        <w:rPr>
          <w:color w:val="000000"/>
          <w:szCs w:val="22"/>
          <w:highlight w:val="none"/>
        </w:rPr>
        <w:t>3.4.2 评标委员会完成评标后，应当向招标人提交书面评标报告和中标候选人名单。</w:t>
      </w:r>
    </w:p>
    <w:p>
      <w:pPr>
        <w:keepNext/>
        <w:keepLines/>
        <w:spacing w:before="260" w:after="260" w:line="412" w:lineRule="auto"/>
        <w:jc w:val="center"/>
        <w:outlineLvl w:val="1"/>
        <w:rPr>
          <w:rFonts w:ascii="宋体" w:hAnsi="宋体"/>
          <w:b/>
          <w:kern w:val="0"/>
          <w:sz w:val="28"/>
          <w:szCs w:val="28"/>
          <w:highlight w:val="none"/>
        </w:rPr>
      </w:pPr>
      <w:r>
        <w:rPr>
          <w:color w:val="000000"/>
          <w:szCs w:val="22"/>
          <w:highlight w:val="none"/>
        </w:rPr>
        <w:br w:type="page"/>
      </w:r>
      <w:bookmarkStart w:id="1130" w:name="_Toc24018"/>
      <w:bookmarkStart w:id="1131" w:name="_Toc25428"/>
      <w:bookmarkStart w:id="1132" w:name="_Toc230410480"/>
      <w:bookmarkStart w:id="1133" w:name="_Toc26944"/>
      <w:bookmarkStart w:id="1134" w:name="_Toc20252"/>
      <w:bookmarkStart w:id="1135" w:name="_Toc75857057"/>
      <w:bookmarkStart w:id="1136" w:name="_Toc12033"/>
      <w:bookmarkStart w:id="1137" w:name="_Toc277082627"/>
      <w:r>
        <w:rPr>
          <w:rFonts w:hint="eastAsia" w:eastAsia="黑体"/>
          <w:b/>
          <w:color w:val="000000"/>
          <w:sz w:val="28"/>
          <w:szCs w:val="28"/>
          <w:highlight w:val="none"/>
        </w:rPr>
        <w:t>附件：综合评估法否决投标情况一览表</w:t>
      </w:r>
      <w:bookmarkEnd w:id="1130"/>
      <w:bookmarkEnd w:id="1131"/>
      <w:bookmarkEnd w:id="1132"/>
      <w:bookmarkEnd w:id="1133"/>
      <w:bookmarkEnd w:id="1134"/>
      <w:bookmarkEnd w:id="1135"/>
      <w:bookmarkEnd w:id="1136"/>
    </w:p>
    <w:bookmarkEnd w:id="1137"/>
    <w:p>
      <w:pPr>
        <w:widowControl/>
        <w:spacing w:line="360" w:lineRule="auto"/>
        <w:ind w:firstLine="420" w:firstLineChars="200"/>
        <w:rPr>
          <w:rFonts w:ascii="宋体" w:hAnsi="宋体"/>
          <w:kern w:val="0"/>
          <w:szCs w:val="21"/>
          <w:highlight w:val="none"/>
        </w:rPr>
      </w:pPr>
      <w:r>
        <w:rPr>
          <w:rFonts w:hint="eastAsia" w:ascii="宋体" w:hAnsi="宋体"/>
          <w:kern w:val="0"/>
          <w:szCs w:val="21"/>
          <w:highlight w:val="none"/>
        </w:rPr>
        <w:t>投标文件存在本一览表下列情形之一的，投标文件视为重大偏差并作否决投标处理，否则，评标委员会不得视为重大偏差而否决投标人的投标文件。</w:t>
      </w:r>
    </w:p>
    <w:tbl>
      <w:tblPr>
        <w:tblStyle w:val="55"/>
        <w:tblW w:w="9469"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994"/>
        <w:gridCol w:w="1134"/>
        <w:gridCol w:w="7341"/>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tcBorders>
              <w:top w:val="single" w:color="000000" w:sz="8" w:space="0"/>
              <w:left w:val="single" w:color="000000" w:sz="8" w:space="0"/>
              <w:bottom w:val="single" w:color="000000" w:sz="4"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章节号</w:t>
            </w:r>
          </w:p>
        </w:tc>
        <w:tc>
          <w:tcPr>
            <w:tcW w:w="1134" w:type="dxa"/>
            <w:tcBorders>
              <w:top w:val="single" w:color="000000" w:sz="8"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条款名称</w:t>
            </w:r>
          </w:p>
        </w:tc>
        <w:tc>
          <w:tcPr>
            <w:tcW w:w="7341" w:type="dxa"/>
            <w:tcBorders>
              <w:top w:val="single" w:color="000000" w:sz="8"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否决投标条件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restart"/>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第三章</w:t>
            </w:r>
          </w:p>
        </w:tc>
        <w:tc>
          <w:tcPr>
            <w:tcW w:w="1134" w:type="dxa"/>
            <w:vMerge w:val="restart"/>
            <w:tcBorders>
              <w:top w:val="single" w:color="000000" w:sz="4" w:space="0"/>
              <w:left w:val="single" w:color="000000" w:sz="4"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资格评审</w:t>
            </w: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A-1投标人的资质条件、营业执照须满足投标人须知前附表1.4.1项的要求，否则由评标委员会作否决投标处理。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A-2投标人的财务状况须满足投标人须知前附表第1.4.1项的要求，否则由评标委员会作否决投标处理（如有）。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A-3投标人的业绩条件须满足投标人须知前附表第1.4.1项的要求，否则由评标委员会作否决投标处理（如有）。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A-4投标人的投标截止日投标资格情况须满足投标人须知前附表第1.4.1项的要求，否则由评标委员会作否决投标处理。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A-5投标人的项目负责人资格须满足投标人须知前附表第1.4.1项的要求，否则由评标委员会作否决投标处理。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A-6投标人的其他要求须满足投标人须知前附表1.4.1项的要求，否则由评标委员会作否决投标处理。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A-7若有联合体投标人，则：</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（1）联合体各方应按招标文件提供的格式签订联合体协议书，明确联合体牵头人和各方权利义务，并承诺就中标项目向招标人承担连带责任；</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（2）联合体协议约定同一专业分工由两个及以上单位共同承担的，按照资质等级较低的单位确定资质等级；</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（3）联合体各方不得再以自己名义单独或参加其他联合体在本招标项目</w:t>
            </w:r>
            <w:r>
              <w:rPr>
                <w:rFonts w:hint="eastAsia" w:asciiTheme="minorEastAsia" w:hAnsiTheme="minorEastAsia" w:eastAsiaTheme="minorEastAsia" w:cstheme="minorEastAsia"/>
                <w:sz w:val="21"/>
                <w:szCs w:val="21"/>
                <w:highlight w:val="none"/>
                <w:lang w:val="en-US" w:eastAsia="zh-CN"/>
              </w:rPr>
              <w:t>同一标段</w:t>
            </w:r>
            <w:r>
              <w:rPr>
                <w:rFonts w:hint="eastAsia" w:asciiTheme="minorEastAsia" w:hAnsiTheme="minorEastAsia" w:eastAsiaTheme="minorEastAsia" w:cstheme="minorEastAsia"/>
                <w:sz w:val="21"/>
                <w:szCs w:val="21"/>
                <w:highlight w:val="none"/>
              </w:rPr>
              <w:t>中投标。</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A-8投标人不得存在第二章“投标人须知”第 1.4.3 项规定的任何一种情形，否则由评标委员会作否决投标处理。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restart"/>
            <w:tcBorders>
              <w:top w:val="single" w:color="000000" w:sz="4" w:space="0"/>
              <w:left w:val="single" w:color="000000" w:sz="4"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形式评审</w:t>
            </w: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A-9投标人名称必须与营业执照、资质证书一致，依法变更名称的应提交相应证明材料，否则由评标委员会作否决投标处理。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A-10投标文件格式（不含投标函部分）符合第二章“投标人须知”第3.7款的要求，否则由评标委员会作否决投标处理。</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编制投标文件时不得对第六章“投标文件格式”的相应要素作实质性修改，否则视为重大偏差，由评标委员会作否决投标处理。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A-11</w:t>
            </w:r>
            <w:r>
              <w:rPr>
                <w:rFonts w:hint="eastAsia" w:asciiTheme="minorEastAsia" w:hAnsiTheme="minorEastAsia" w:eastAsiaTheme="minorEastAsia" w:cstheme="minorEastAsia"/>
                <w:kern w:val="0"/>
                <w:sz w:val="21"/>
                <w:szCs w:val="21"/>
                <w:highlight w:val="none"/>
              </w:rPr>
              <w:t>提交联合体协议书，并明确联合体牵头人。在联合体协议书第5条联合体各成员单位内部的职责分工中填写的联合体所有成员单位名称应与其营业执照、资质证书一致，依法变更名称的应提交相应证明材料。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A-12第六章 投标文件格式（不含投标函部分）要求法定代表人或其委托代理人签名（或盖章）的须齐全，</w:t>
            </w:r>
            <w:r>
              <w:rPr>
                <w:rFonts w:hint="eastAsia" w:asciiTheme="minorEastAsia" w:hAnsiTheme="minorEastAsia" w:eastAsiaTheme="minorEastAsia" w:cstheme="minorEastAsia"/>
                <w:color w:val="auto"/>
                <w:sz w:val="21"/>
                <w:szCs w:val="21"/>
                <w:highlight w:val="none"/>
                <w:lang w:val="en-US" w:eastAsia="zh-CN"/>
              </w:rPr>
              <w:t>要求签名的，</w:t>
            </w:r>
            <w:r>
              <w:rPr>
                <w:rFonts w:hint="eastAsia" w:asciiTheme="minorEastAsia" w:hAnsiTheme="minorEastAsia" w:eastAsiaTheme="minorEastAsia" w:cstheme="minorEastAsia"/>
                <w:color w:val="auto"/>
                <w:sz w:val="21"/>
                <w:szCs w:val="21"/>
                <w:highlight w:val="none"/>
              </w:rPr>
              <w:t>签名采用手写签名</w:t>
            </w:r>
            <w:r>
              <w:rPr>
                <w:rFonts w:hint="eastAsia" w:asciiTheme="minorEastAsia" w:hAnsiTheme="minorEastAsia" w:eastAsiaTheme="minorEastAsia" w:cstheme="minorEastAsia"/>
                <w:color w:val="auto"/>
                <w:sz w:val="21"/>
                <w:szCs w:val="21"/>
                <w:highlight w:val="none"/>
                <w:lang w:val="en-US" w:eastAsia="zh-CN"/>
              </w:rPr>
              <w:t>或签章</w:t>
            </w:r>
            <w:r>
              <w:rPr>
                <w:rFonts w:hint="eastAsia" w:asciiTheme="minorEastAsia" w:hAnsiTheme="minorEastAsia" w:eastAsiaTheme="minorEastAsia" w:cstheme="minorEastAsia"/>
                <w:color w:val="auto"/>
                <w:sz w:val="21"/>
                <w:szCs w:val="21"/>
                <w:highlight w:val="none"/>
              </w:rPr>
              <w:t>或加盖CA数字证书均可</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sz w:val="21"/>
                <w:szCs w:val="21"/>
                <w:highlight w:val="none"/>
              </w:rPr>
              <w:t>否则由评标委员会作否决投标处理。</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若投标单位为联合体，则联合体协议书中各联合体成员单位签名（或盖章）须齐全，联合体协议书以外的投标文件格式中，要求法定代表人或其委托代理人签名（或盖章）的均由联合体牵头人法定代表人或其委托代理人签名（或盖章），否则由评标委员会作否决投标处理。</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第六章 投标文件格式（不含投标函部分）要求加盖单位法人章的，应使用 CA 数字证书加盖投标人的单位电子印章</w:t>
            </w:r>
            <w:r>
              <w:rPr>
                <w:rFonts w:hint="eastAsia" w:asciiTheme="minorEastAsia" w:hAnsiTheme="minorEastAsia" w:eastAsiaTheme="minorEastAsia" w:cstheme="minorEastAsia"/>
                <w:sz w:val="21"/>
                <w:szCs w:val="21"/>
                <w:highlight w:val="none"/>
                <w:lang w:val="en-US"/>
              </w:rPr>
              <w:t>，</w:t>
            </w:r>
            <w:r>
              <w:rPr>
                <w:rFonts w:hint="eastAsia" w:asciiTheme="minorEastAsia" w:hAnsiTheme="minorEastAsia" w:eastAsiaTheme="minorEastAsia" w:cstheme="minorEastAsia"/>
                <w:sz w:val="21"/>
                <w:szCs w:val="21"/>
                <w:highlight w:val="none"/>
              </w:rPr>
              <w:t>否则由评标委员会作否决投标处理。</w:t>
            </w:r>
          </w:p>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A-13 投标人法定代表人的委托代理人有法定代表人签署的授权委托书和投标人为其缴纳的养老保险证明材料，否则由评标委员会作否决投标处理。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A-14除招标文件明确允许提交备选投标方案外，投标人不得提交备选投标方案，否则由评标委员会作否决投标处理。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响应性评审</w:t>
            </w: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autoSpaceDE w:val="0"/>
              <w:autoSpaceDN w:val="0"/>
              <w:bidi w:val="0"/>
              <w:adjustRightInd w:val="0"/>
              <w:snapToGrid/>
              <w:spacing w:line="400" w:lineRule="exact"/>
              <w:ind w:firstLine="420" w:firstLineChars="200"/>
              <w:textAlignment w:val="auto"/>
              <w:rPr>
                <w:rFonts w:hint="eastAsia" w:asciiTheme="minorEastAsia" w:hAnsiTheme="minorEastAsia" w:eastAsiaTheme="minorEastAsia" w:cstheme="minorEastAsia"/>
                <w:color w:val="000000"/>
                <w:kern w:val="0"/>
                <w:sz w:val="21"/>
                <w:szCs w:val="21"/>
                <w:highlight w:val="none"/>
              </w:rPr>
            </w:pPr>
            <w:r>
              <w:rPr>
                <w:rFonts w:hint="eastAsia" w:asciiTheme="minorEastAsia" w:hAnsiTheme="minorEastAsia" w:eastAsiaTheme="minorEastAsia" w:cstheme="minorEastAsia"/>
                <w:sz w:val="21"/>
                <w:szCs w:val="21"/>
                <w:highlight w:val="none"/>
              </w:rPr>
              <w:t>A-15投标内容符合第二章“投标人须知”第1.3.1项规定，否则由评标委员会作否决投标处理。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A-16</w:t>
            </w:r>
            <w:r>
              <w:rPr>
                <w:rFonts w:hint="eastAsia" w:asciiTheme="minorEastAsia" w:hAnsiTheme="minorEastAsia" w:eastAsiaTheme="minorEastAsia" w:cstheme="minorEastAsia"/>
                <w:color w:val="000000"/>
                <w:sz w:val="21"/>
                <w:szCs w:val="21"/>
                <w:highlight w:val="none"/>
              </w:rPr>
              <w:t>投标</w:t>
            </w:r>
            <w:r>
              <w:rPr>
                <w:rFonts w:hint="eastAsia" w:asciiTheme="minorEastAsia" w:hAnsiTheme="minorEastAsia" w:eastAsiaTheme="minorEastAsia" w:cstheme="minorEastAsia"/>
                <w:sz w:val="21"/>
                <w:szCs w:val="21"/>
                <w:highlight w:val="none"/>
              </w:rPr>
              <w:t>保证金符合第二章“投标人须知”第3.4.1项规定，否则由评标委员会作否决投标处理。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A-17符合第二章“投标人须知”第1.12.1项规定和第四章“合同条款及格式”中的</w:t>
            </w:r>
            <w:r>
              <w:rPr>
                <w:rFonts w:hint="eastAsia" w:asciiTheme="minorEastAsia" w:hAnsiTheme="minorEastAsia" w:eastAsiaTheme="minorEastAsia" w:cstheme="minorEastAsia"/>
                <w:color w:val="000000"/>
                <w:sz w:val="21"/>
                <w:szCs w:val="21"/>
                <w:highlight w:val="none"/>
              </w:rPr>
              <w:t>实质性要求和条件</w:t>
            </w:r>
            <w:r>
              <w:rPr>
                <w:rFonts w:hint="eastAsia" w:asciiTheme="minorEastAsia" w:hAnsiTheme="minorEastAsia" w:eastAsiaTheme="minorEastAsia" w:cstheme="minorEastAsia"/>
                <w:sz w:val="21"/>
                <w:szCs w:val="21"/>
                <w:highlight w:val="none"/>
              </w:rPr>
              <w:t>，投标文件不应附有招标人不能接受的条件。否则由评标委员会作否决投标处理。（由投标人承诺，承诺书格式详见第六章投标文件格式。）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vMerge w:val="continue"/>
            <w:tcBorders>
              <w:top w:val="single" w:color="000000" w:sz="4" w:space="0"/>
              <w:left w:val="single" w:color="000000" w:sz="8"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suppressLineNumbers w:val="0"/>
              <w:suppressAutoHyphens/>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A-18</w:t>
            </w:r>
            <w:r>
              <w:rPr>
                <w:rFonts w:hint="eastAsia" w:asciiTheme="minorEastAsia" w:hAnsiTheme="minorEastAsia" w:eastAsiaTheme="minorEastAsia" w:cstheme="minorEastAsia"/>
                <w:color w:val="000000"/>
                <w:sz w:val="21"/>
                <w:szCs w:val="21"/>
                <w:highlight w:val="none"/>
              </w:rPr>
              <w:t>符合第五章“发包人要求”中的实质性要求和条件（由投标人承诺，承诺书格式详见第六章投标文件格式。）本次投标不得有串通投标、弄虚作假等其他违反招投标相关法律、法规行为。按评标委员会要求澄清、说明或补正。</w:t>
            </w:r>
            <w:r>
              <w:rPr>
                <w:rFonts w:hint="eastAsia" w:asciiTheme="minorEastAsia" w:hAnsiTheme="minorEastAsia" w:eastAsiaTheme="minorEastAsia" w:cstheme="minorEastAsia"/>
                <w:sz w:val="21"/>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restart"/>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投标函部分评审</w:t>
            </w: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A-19投标函部分的格式要求法定代表人或其委托代理人签名（或盖章）的须齐全，</w:t>
            </w:r>
            <w:r>
              <w:rPr>
                <w:rFonts w:hint="eastAsia" w:asciiTheme="minorEastAsia" w:hAnsiTheme="minorEastAsia" w:eastAsiaTheme="minorEastAsia" w:cstheme="minorEastAsia"/>
                <w:color w:val="auto"/>
                <w:sz w:val="21"/>
                <w:szCs w:val="21"/>
                <w:highlight w:val="none"/>
                <w:lang w:val="en-US" w:eastAsia="zh-CN"/>
              </w:rPr>
              <w:t>要求签名的，</w:t>
            </w:r>
            <w:r>
              <w:rPr>
                <w:rFonts w:hint="eastAsia" w:asciiTheme="minorEastAsia" w:hAnsiTheme="minorEastAsia" w:eastAsiaTheme="minorEastAsia" w:cstheme="minorEastAsia"/>
                <w:color w:val="auto"/>
                <w:sz w:val="21"/>
                <w:szCs w:val="21"/>
                <w:highlight w:val="none"/>
              </w:rPr>
              <w:t>签名采用手写签名</w:t>
            </w:r>
            <w:r>
              <w:rPr>
                <w:rFonts w:hint="eastAsia" w:asciiTheme="minorEastAsia" w:hAnsiTheme="minorEastAsia" w:eastAsiaTheme="minorEastAsia" w:cstheme="minorEastAsia"/>
                <w:color w:val="auto"/>
                <w:sz w:val="21"/>
                <w:szCs w:val="21"/>
                <w:highlight w:val="none"/>
                <w:lang w:val="en-US" w:eastAsia="zh-CN"/>
              </w:rPr>
              <w:t>或签章</w:t>
            </w:r>
            <w:r>
              <w:rPr>
                <w:rFonts w:hint="eastAsia" w:asciiTheme="minorEastAsia" w:hAnsiTheme="minorEastAsia" w:eastAsiaTheme="minorEastAsia" w:cstheme="minorEastAsia"/>
                <w:color w:val="auto"/>
                <w:sz w:val="21"/>
                <w:szCs w:val="21"/>
                <w:highlight w:val="none"/>
              </w:rPr>
              <w:t>或加盖CA数字证书均可</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sz w:val="21"/>
                <w:szCs w:val="21"/>
                <w:highlight w:val="none"/>
              </w:rPr>
              <w:t>要求加盖单位法人章的，应使用 CA 数字证书加盖投标人的单位电子印章，否则由评标委员会作否决投标处理。</w:t>
            </w:r>
          </w:p>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联合体投标的，投标函部分的格式中要求投标人加盖单位法人章的，均由联合体牵头人使用 CA 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A-20勘察服务期限符合第二章“投标人须知”第1.3.2项规定，否则由评标委员会作否决投标处理。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A-21质量标准符合第二章“投标人须知”第1.3.3项规定，否则由评标委员会作否决投标处理。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A-22投标有效期符合第二章“投标人须知”第3.3.1项规定，否则由评标委员会作否决投标处理。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vAlign w:val="center"/>
          </w:tcPr>
          <w:p>
            <w:pPr>
              <w:keepNext w:val="0"/>
              <w:keepLines w:val="0"/>
              <w:pageBreakBefore w:val="0"/>
              <w:suppressLineNumbers/>
              <w:suppressAutoHyphens/>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A-23投标函中的投标报价不得高于招标人公布的投标报价最高限价，否则由评标委员会作否决投标处理。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A-24投标函中的</w:t>
            </w:r>
            <w:r>
              <w:rPr>
                <w:rFonts w:hint="eastAsia" w:asciiTheme="minorEastAsia" w:hAnsiTheme="minorEastAsia" w:eastAsiaTheme="minorEastAsia" w:cstheme="minorEastAsia"/>
                <w:sz w:val="21"/>
                <w:szCs w:val="21"/>
                <w:highlight w:val="none"/>
                <w:lang w:val="en-US" w:eastAsia="zh-CN"/>
              </w:rPr>
              <w:t>投标总</w:t>
            </w:r>
            <w:r>
              <w:rPr>
                <w:rFonts w:hint="eastAsia" w:asciiTheme="minorEastAsia" w:hAnsiTheme="minorEastAsia" w:eastAsiaTheme="minorEastAsia" w:cstheme="minorEastAsia"/>
                <w:sz w:val="21"/>
                <w:szCs w:val="21"/>
                <w:highlight w:val="none"/>
              </w:rPr>
              <w:t>报价必须与依据固定</w:t>
            </w:r>
            <w:r>
              <w:rPr>
                <w:rFonts w:hint="eastAsia" w:asciiTheme="minorEastAsia" w:hAnsiTheme="minorEastAsia" w:eastAsiaTheme="minorEastAsia" w:cstheme="minorEastAsia"/>
                <w:sz w:val="21"/>
                <w:szCs w:val="21"/>
                <w:highlight w:val="none"/>
                <w:lang w:val="en-US" w:eastAsia="zh-CN"/>
              </w:rPr>
              <w:t>费</w:t>
            </w:r>
            <w:r>
              <w:rPr>
                <w:rFonts w:hint="eastAsia" w:asciiTheme="minorEastAsia" w:hAnsiTheme="minorEastAsia" w:eastAsiaTheme="minorEastAsia" w:cstheme="minorEastAsia"/>
                <w:sz w:val="21"/>
                <w:szCs w:val="21"/>
                <w:highlight w:val="none"/>
              </w:rPr>
              <w:t>率</w:t>
            </w:r>
            <w:r>
              <w:rPr>
                <w:rFonts w:hint="eastAsia" w:asciiTheme="minorEastAsia" w:hAnsiTheme="minorEastAsia" w:eastAsiaTheme="minorEastAsia" w:cstheme="minorEastAsia"/>
                <w:sz w:val="21"/>
                <w:szCs w:val="21"/>
                <w:highlight w:val="none"/>
                <w:lang w:eastAsia="zh-CN"/>
              </w:rPr>
              <w:t>（或固定单价）</w:t>
            </w:r>
            <w:r>
              <w:rPr>
                <w:rFonts w:hint="eastAsia" w:asciiTheme="minorEastAsia" w:hAnsiTheme="minorEastAsia" w:eastAsiaTheme="minorEastAsia" w:cstheme="minorEastAsia"/>
                <w:sz w:val="21"/>
                <w:szCs w:val="21"/>
                <w:highlight w:val="none"/>
              </w:rPr>
              <w:t>计算出的结果一致，否则由评标委员会作否决投标处理。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A-25采用勘察费用清单报价的，投标函中的投标总报价必须与勘察费用清单合计报价一致，否则由评标委员会作否决投标处理。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A-26只能有一个有效报价。在招标文件没有规定的情况下，不得提交选择性报价，否则由评标委员会作否决投标处理。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lang w:val="en-US" w:eastAsia="zh-CN"/>
              </w:rPr>
              <w:t>A-27</w:t>
            </w: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宋体" w:hAnsi="宋体"/>
                <w:color w:val="auto"/>
                <w:szCs w:val="21"/>
                <w:highlight w:val="none"/>
              </w:rPr>
              <w:t>，否则由评标委员会作否决投标处理</w:t>
            </w:r>
            <w:r>
              <w:rPr>
                <w:rFonts w:hint="eastAsia" w:asciiTheme="minorEastAsia" w:hAnsiTheme="minorEastAsia" w:eastAsiaTheme="minorEastAsia" w:cstheme="minorEastAsia"/>
                <w:color w:val="auto"/>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w:t>
            </w:r>
            <w:r>
              <w:rPr>
                <w:rFonts w:hint="eastAsia" w:asciiTheme="minorEastAsia" w:hAnsiTheme="minorEastAsia" w:eastAsiaTheme="minorEastAsia" w:cstheme="minorEastAsia"/>
                <w:sz w:val="21"/>
                <w:szCs w:val="21"/>
                <w:highlight w:val="none"/>
                <w:lang w:val="en-US" w:eastAsia="zh-CN"/>
              </w:rPr>
              <w:t>8</w:t>
            </w:r>
            <w:r>
              <w:rPr>
                <w:rFonts w:hint="eastAsia" w:asciiTheme="minorEastAsia" w:hAnsiTheme="minorEastAsia" w:eastAsiaTheme="minorEastAsia" w:cstheme="minorEastAsia"/>
                <w:sz w:val="21"/>
                <w:szCs w:val="21"/>
                <w:highlight w:val="none"/>
              </w:rPr>
              <w:t>暂列金额、暂估价等暂定金额必须按照招标文件给定的金额填报，否则由评标委员会作否决投标处理。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rHeight w:val="477" w:hRule="atLeast"/>
          <w:jc w:val="center"/>
        </w:trPr>
        <w:tc>
          <w:tcPr>
            <w:tcW w:w="994" w:type="dxa"/>
            <w:vMerge w:val="continue"/>
            <w:tcBorders>
              <w:top w:val="single" w:color="000000" w:sz="4" w:space="0"/>
              <w:left w:val="single" w:color="000000" w:sz="8"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1134" w:type="dxa"/>
            <w:vMerge w:val="continue"/>
            <w:tcBorders>
              <w:top w:val="single" w:color="000000" w:sz="4" w:space="0"/>
              <w:left w:val="single" w:color="000000" w:sz="4" w:space="0"/>
              <w:right w:val="single" w:color="000000" w:sz="4" w:space="0"/>
            </w:tcBorders>
            <w:vAlign w:val="center"/>
          </w:tcPr>
          <w:p>
            <w:pPr>
              <w:keepNext w:val="0"/>
              <w:keepLines w:val="0"/>
              <w:pageBreakBefore w:val="0"/>
              <w:widowControl/>
              <w:kinsoku/>
              <w:wordWrap/>
              <w:overflowPunct/>
              <w:topLinePunct w:val="0"/>
              <w:bidi w:val="0"/>
              <w:snapToGrid/>
              <w:spacing w:line="400" w:lineRule="exact"/>
              <w:jc w:val="left"/>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4" w:space="0"/>
              <w:right w:val="single" w:color="000000" w:sz="8" w:space="0"/>
            </w:tcBorders>
          </w:tcPr>
          <w:p>
            <w:pPr>
              <w:keepNext w:val="0"/>
              <w:keepLines w:val="0"/>
              <w:pageBreakBefore w:val="0"/>
              <w:suppressLineNumbers w:val="0"/>
              <w:suppressAutoHyphens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A-2</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投标报价有算术错误的，按照第三章“评标办法”第3.1.3项规定执行，否则由评标委员会作否决投标处理。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94" w:type="dxa"/>
            <w:tcBorders>
              <w:top w:val="single" w:color="000000" w:sz="4" w:space="0"/>
              <w:left w:val="single" w:color="000000" w:sz="8" w:space="0"/>
              <w:bottom w:val="single" w:color="000000" w:sz="8"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其他</w:t>
            </w:r>
          </w:p>
        </w:tc>
        <w:tc>
          <w:tcPr>
            <w:tcW w:w="1134" w:type="dxa"/>
            <w:tcBorders>
              <w:top w:val="single" w:color="000000" w:sz="4" w:space="0"/>
              <w:left w:val="single" w:color="000000" w:sz="4" w:space="0"/>
              <w:bottom w:val="single" w:color="000000" w:sz="8" w:space="0"/>
              <w:right w:val="single" w:color="000000" w:sz="4" w:space="0"/>
            </w:tcBorders>
            <w:vAlign w:val="center"/>
          </w:tcPr>
          <w:p>
            <w:pPr>
              <w:keepNext w:val="0"/>
              <w:keepLines w:val="0"/>
              <w:pageBreakBefore w:val="0"/>
              <w:kinsoku/>
              <w:wordWrap/>
              <w:overflowPunct/>
              <w:topLinePunct w:val="0"/>
              <w:bidi w:val="0"/>
              <w:snapToGrid/>
              <w:spacing w:line="400" w:lineRule="exact"/>
              <w:jc w:val="center"/>
              <w:textAlignment w:val="auto"/>
              <w:rPr>
                <w:rFonts w:hint="eastAsia" w:asciiTheme="minorEastAsia" w:hAnsiTheme="minorEastAsia" w:eastAsiaTheme="minorEastAsia" w:cstheme="minorEastAsia"/>
                <w:sz w:val="21"/>
                <w:szCs w:val="21"/>
                <w:highlight w:val="none"/>
              </w:rPr>
            </w:pPr>
          </w:p>
        </w:tc>
        <w:tc>
          <w:tcPr>
            <w:tcW w:w="7341" w:type="dxa"/>
            <w:tcBorders>
              <w:top w:val="single" w:color="000000" w:sz="4" w:space="0"/>
              <w:left w:val="single" w:color="000000" w:sz="4" w:space="0"/>
              <w:bottom w:val="single" w:color="000000" w:sz="8" w:space="0"/>
              <w:right w:val="single" w:color="000000" w:sz="8" w:space="0"/>
            </w:tcBorders>
          </w:tcPr>
          <w:p>
            <w:pPr>
              <w:keepNext w:val="0"/>
              <w:keepLines w:val="0"/>
              <w:pageBreakBefore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stheme="minorEastAsia"/>
                <w:i/>
                <w:sz w:val="21"/>
                <w:szCs w:val="21"/>
                <w:highlight w:val="none"/>
              </w:rPr>
            </w:pPr>
            <w:r>
              <w:rPr>
                <w:rFonts w:hint="eastAsia" w:asciiTheme="minorEastAsia" w:hAnsiTheme="minorEastAsia" w:eastAsiaTheme="minorEastAsia" w:cstheme="minorEastAsia"/>
                <w:i/>
                <w:sz w:val="21"/>
                <w:szCs w:val="21"/>
                <w:highlight w:val="none"/>
              </w:rPr>
              <w:t>[提示：招标人必须将所有否决投标条款集中罗列于此表，若无其他否决投标条款则在该条写无。]</w:t>
            </w:r>
          </w:p>
        </w:tc>
      </w:tr>
    </w:tbl>
    <w:p>
      <w:pPr>
        <w:autoSpaceDE w:val="0"/>
        <w:autoSpaceDN w:val="0"/>
        <w:adjustRightInd w:val="0"/>
        <w:snapToGrid w:val="0"/>
        <w:spacing w:line="360" w:lineRule="auto"/>
        <w:jc w:val="left"/>
        <w:rPr>
          <w:rFonts w:ascii="宋体" w:hAnsi="宋体"/>
          <w:b/>
          <w:kern w:val="0"/>
          <w:sz w:val="20"/>
          <w:szCs w:val="20"/>
          <w:highlight w:val="none"/>
        </w:rPr>
      </w:pPr>
    </w:p>
    <w:p>
      <w:pPr>
        <w:autoSpaceDE w:val="0"/>
        <w:autoSpaceDN w:val="0"/>
        <w:adjustRightInd w:val="0"/>
        <w:snapToGrid w:val="0"/>
        <w:spacing w:line="360" w:lineRule="auto"/>
        <w:jc w:val="left"/>
        <w:rPr>
          <w:rFonts w:ascii="宋体" w:hAnsi="宋体"/>
          <w:b/>
          <w:kern w:val="0"/>
          <w:sz w:val="20"/>
          <w:szCs w:val="20"/>
          <w:highlight w:val="none"/>
        </w:rPr>
      </w:pPr>
    </w:p>
    <w:p>
      <w:pPr>
        <w:widowControl/>
        <w:jc w:val="left"/>
        <w:rPr>
          <w:color w:val="000000"/>
          <w:szCs w:val="22"/>
          <w:highlight w:val="none"/>
        </w:rPr>
      </w:pPr>
    </w:p>
    <w:p>
      <w:pPr>
        <w:widowControl/>
        <w:jc w:val="left"/>
        <w:rPr>
          <w:color w:val="000000"/>
          <w:szCs w:val="22"/>
          <w:highlight w:val="none"/>
        </w:rPr>
      </w:pPr>
      <w:r>
        <w:rPr>
          <w:color w:val="000000"/>
          <w:szCs w:val="22"/>
          <w:highlight w:val="none"/>
        </w:rPr>
        <w:br w:type="page"/>
      </w:r>
    </w:p>
    <w:p>
      <w:pPr>
        <w:keepNext/>
        <w:keepLines/>
        <w:spacing w:before="340" w:after="330" w:line="360" w:lineRule="auto"/>
        <w:jc w:val="center"/>
        <w:outlineLvl w:val="0"/>
        <w:rPr>
          <w:rFonts w:ascii="宋体" w:hAnsi="宋体"/>
          <w:b/>
          <w:bCs/>
          <w:snapToGrid w:val="0"/>
          <w:kern w:val="0"/>
          <w:sz w:val="44"/>
          <w:szCs w:val="44"/>
          <w:highlight w:val="none"/>
        </w:rPr>
      </w:pPr>
      <w:bookmarkStart w:id="1138" w:name="_Toc15432"/>
      <w:bookmarkStart w:id="1139" w:name="_Toc8167"/>
      <w:bookmarkStart w:id="1140" w:name="_Toc15056"/>
      <w:bookmarkStart w:id="1141" w:name="_Toc75857058"/>
      <w:bookmarkStart w:id="1142" w:name="_Toc25485"/>
      <w:bookmarkStart w:id="1143" w:name="_Toc58860121"/>
      <w:bookmarkStart w:id="1144" w:name="_Toc71624432"/>
      <w:bookmarkStart w:id="1145" w:name="_Toc31962"/>
      <w:r>
        <w:rPr>
          <w:rFonts w:ascii="宋体" w:hAnsi="宋体"/>
          <w:b/>
          <w:bCs/>
          <w:snapToGrid w:val="0"/>
          <w:kern w:val="0"/>
          <w:sz w:val="44"/>
          <w:szCs w:val="44"/>
          <w:highlight w:val="none"/>
        </w:rPr>
        <w:t xml:space="preserve">第三章 </w:t>
      </w:r>
      <w:r>
        <w:rPr>
          <w:rFonts w:hint="eastAsia" w:ascii="宋体" w:hAnsi="宋体"/>
          <w:b/>
          <w:bCs/>
          <w:snapToGrid w:val="0"/>
          <w:kern w:val="0"/>
          <w:sz w:val="44"/>
          <w:szCs w:val="44"/>
          <w:highlight w:val="none"/>
        </w:rPr>
        <w:t xml:space="preserve"> </w:t>
      </w:r>
      <w:r>
        <w:rPr>
          <w:rFonts w:ascii="宋体" w:hAnsi="宋体"/>
          <w:b/>
          <w:bCs/>
          <w:snapToGrid w:val="0"/>
          <w:kern w:val="0"/>
          <w:sz w:val="44"/>
          <w:szCs w:val="44"/>
          <w:highlight w:val="none"/>
        </w:rPr>
        <w:t>评标办法（</w:t>
      </w:r>
      <w:r>
        <w:rPr>
          <w:rFonts w:hint="eastAsia" w:ascii="宋体" w:hAnsi="宋体"/>
          <w:b/>
          <w:bCs/>
          <w:snapToGrid w:val="0"/>
          <w:kern w:val="0"/>
          <w:sz w:val="44"/>
          <w:szCs w:val="44"/>
          <w:highlight w:val="none"/>
        </w:rPr>
        <w:t>经评审的最低投标价法</w:t>
      </w:r>
      <w:r>
        <w:rPr>
          <w:rFonts w:ascii="宋体" w:hAnsi="宋体"/>
          <w:b/>
          <w:bCs/>
          <w:snapToGrid w:val="0"/>
          <w:kern w:val="0"/>
          <w:sz w:val="44"/>
          <w:szCs w:val="44"/>
          <w:highlight w:val="none"/>
        </w:rPr>
        <w:t>）</w:t>
      </w:r>
      <w:bookmarkEnd w:id="1138"/>
      <w:bookmarkEnd w:id="1139"/>
      <w:bookmarkEnd w:id="1140"/>
      <w:bookmarkEnd w:id="1141"/>
      <w:bookmarkEnd w:id="1142"/>
      <w:bookmarkEnd w:id="1143"/>
      <w:bookmarkEnd w:id="1144"/>
      <w:bookmarkEnd w:id="1145"/>
    </w:p>
    <w:p>
      <w:pPr>
        <w:keepNext/>
        <w:keepLines/>
        <w:spacing w:before="100" w:after="100" w:line="360" w:lineRule="auto"/>
        <w:jc w:val="center"/>
        <w:outlineLvl w:val="1"/>
        <w:rPr>
          <w:rFonts w:hint="eastAsia" w:ascii="宋体" w:hAnsi="宋体"/>
          <w:b/>
          <w:sz w:val="32"/>
          <w:szCs w:val="32"/>
          <w:highlight w:val="none"/>
        </w:rPr>
      </w:pPr>
      <w:bookmarkStart w:id="1146" w:name="_Toc71624433"/>
      <w:bookmarkStart w:id="1147" w:name="_Toc27271"/>
      <w:bookmarkStart w:id="1148" w:name="_Toc7274"/>
      <w:bookmarkStart w:id="1149" w:name="_Toc75857059"/>
      <w:bookmarkStart w:id="1150" w:name="_Toc32554"/>
      <w:bookmarkStart w:id="1151" w:name="_Toc58860122"/>
      <w:bookmarkStart w:id="1152" w:name="_Toc25513"/>
      <w:bookmarkStart w:id="1153" w:name="_Toc18664"/>
      <w:r>
        <w:rPr>
          <w:rFonts w:hint="eastAsia" w:ascii="宋体" w:hAnsi="宋体"/>
          <w:b/>
          <w:sz w:val="32"/>
          <w:szCs w:val="32"/>
          <w:highlight w:val="none"/>
        </w:rPr>
        <w:t>评标办法前附表</w:t>
      </w:r>
      <w:bookmarkEnd w:id="1146"/>
      <w:bookmarkEnd w:id="1147"/>
      <w:bookmarkEnd w:id="1148"/>
      <w:bookmarkEnd w:id="1149"/>
      <w:bookmarkEnd w:id="1150"/>
      <w:bookmarkEnd w:id="1151"/>
      <w:bookmarkEnd w:id="1152"/>
      <w:bookmarkEnd w:id="1153"/>
    </w:p>
    <w:p>
      <w:pPr>
        <w:pStyle w:val="2"/>
        <w:ind w:firstLine="436" w:firstLineChars="200"/>
        <w:rPr>
          <w:highlight w:val="none"/>
        </w:rPr>
      </w:pPr>
      <w:r>
        <w:rPr>
          <w:rFonts w:hint="eastAsia" w:ascii="宋体" w:hAnsi="宋体"/>
          <w:spacing w:val="4"/>
          <w:kern w:val="0"/>
          <w:szCs w:val="21"/>
          <w:highlight w:val="none"/>
        </w:rPr>
        <w:t>评标办法中的评审内容必须和投标人须知中的对应内容一致，若投标人须知中未作要求的内容，不得列入评标办法作为评定依据。</w:t>
      </w:r>
    </w:p>
    <w:tbl>
      <w:tblPr>
        <w:tblStyle w:val="55"/>
        <w:tblW w:w="96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2"/>
        <w:gridCol w:w="1438"/>
        <w:gridCol w:w="1921"/>
        <w:gridCol w:w="53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7" w:hRule="atLeast"/>
        </w:trPr>
        <w:tc>
          <w:tcPr>
            <w:tcW w:w="1002" w:type="dxa"/>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bCs/>
                <w:kern w:val="2"/>
                <w:sz w:val="21"/>
                <w:szCs w:val="21"/>
                <w:highlight w:val="none"/>
              </w:rPr>
            </w:pPr>
            <w:bookmarkStart w:id="1154" w:name="_Toc28124"/>
            <w:bookmarkStart w:id="1155" w:name="_Toc25484"/>
            <w:bookmarkStart w:id="1156" w:name="_Toc25300"/>
            <w:bookmarkStart w:id="1157" w:name="_Toc30915"/>
            <w:r>
              <w:rPr>
                <w:rFonts w:hint="eastAsia" w:asciiTheme="minorEastAsia" w:hAnsiTheme="minorEastAsia" w:eastAsiaTheme="minorEastAsia" w:cstheme="minorEastAsia"/>
                <w:b/>
                <w:bCs/>
                <w:kern w:val="2"/>
                <w:sz w:val="21"/>
                <w:szCs w:val="21"/>
                <w:highlight w:val="none"/>
              </w:rPr>
              <w:t>条款号</w:t>
            </w:r>
            <w:bookmarkEnd w:id="1154"/>
            <w:bookmarkEnd w:id="1155"/>
            <w:bookmarkEnd w:id="1156"/>
            <w:bookmarkEnd w:id="1157"/>
          </w:p>
        </w:tc>
        <w:tc>
          <w:tcPr>
            <w:tcW w:w="1438" w:type="dxa"/>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bCs/>
                <w:kern w:val="2"/>
                <w:sz w:val="21"/>
                <w:szCs w:val="21"/>
                <w:highlight w:val="none"/>
              </w:rPr>
            </w:pPr>
            <w:bookmarkStart w:id="1158" w:name="_Toc29810"/>
            <w:bookmarkStart w:id="1159" w:name="_Toc3245"/>
            <w:bookmarkStart w:id="1160" w:name="_Toc32283"/>
            <w:bookmarkStart w:id="1161" w:name="_Toc31779"/>
            <w:r>
              <w:rPr>
                <w:rFonts w:hint="eastAsia" w:asciiTheme="minorEastAsia" w:hAnsiTheme="minorEastAsia" w:eastAsiaTheme="minorEastAsia" w:cstheme="minorEastAsia"/>
                <w:b/>
                <w:bCs/>
                <w:kern w:val="2"/>
                <w:sz w:val="21"/>
                <w:szCs w:val="21"/>
                <w:highlight w:val="none"/>
              </w:rPr>
              <w:t>评审因素</w:t>
            </w:r>
            <w:bookmarkEnd w:id="1158"/>
            <w:bookmarkEnd w:id="1159"/>
            <w:bookmarkEnd w:id="1160"/>
            <w:bookmarkEnd w:id="1161"/>
          </w:p>
        </w:tc>
        <w:tc>
          <w:tcPr>
            <w:tcW w:w="7245" w:type="dxa"/>
            <w:gridSpan w:val="2"/>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bCs/>
                <w:kern w:val="2"/>
                <w:sz w:val="21"/>
                <w:szCs w:val="21"/>
                <w:highlight w:val="none"/>
              </w:rPr>
            </w:pPr>
            <w:bookmarkStart w:id="1162" w:name="_Toc2586"/>
            <w:bookmarkStart w:id="1163" w:name="_Toc17668"/>
            <w:bookmarkStart w:id="1164" w:name="_Toc7984"/>
            <w:bookmarkStart w:id="1165" w:name="_Toc20827"/>
            <w:r>
              <w:rPr>
                <w:rFonts w:hint="eastAsia" w:asciiTheme="minorEastAsia" w:hAnsiTheme="minorEastAsia" w:eastAsiaTheme="minorEastAsia" w:cstheme="minorEastAsia"/>
                <w:b/>
                <w:bCs/>
                <w:kern w:val="2"/>
                <w:sz w:val="21"/>
                <w:szCs w:val="21"/>
                <w:highlight w:val="none"/>
              </w:rPr>
              <w:t>评审标准</w:t>
            </w:r>
            <w:bookmarkEnd w:id="1162"/>
            <w:bookmarkEnd w:id="1163"/>
            <w:bookmarkEnd w:id="1164"/>
            <w:bookmarkEnd w:id="116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542" w:hRule="atLeast"/>
        </w:trPr>
        <w:tc>
          <w:tcPr>
            <w:tcW w:w="1002" w:type="dxa"/>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1438" w:type="dxa"/>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评标办法</w:t>
            </w:r>
          </w:p>
        </w:tc>
        <w:tc>
          <w:tcPr>
            <w:tcW w:w="7245" w:type="dxa"/>
            <w:gridSpan w:val="2"/>
            <w:vAlign w:val="center"/>
          </w:tcPr>
          <w:p>
            <w:pPr>
              <w:keepNext w:val="0"/>
              <w:keepLines w:val="0"/>
              <w:pageBreakBefore w:val="0"/>
              <w:kinsoku/>
              <w:wordWrap/>
              <w:overflowPunct/>
              <w:topLinePunct w:val="0"/>
              <w:bidi w:val="0"/>
              <w:spacing w:line="400" w:lineRule="exact"/>
              <w:ind w:firstLine="427" w:firstLineChars="196"/>
              <w:textAlignment w:val="auto"/>
              <w:rPr>
                <w:rFonts w:hint="eastAsia" w:asciiTheme="minorEastAsia" w:hAnsiTheme="minorEastAsia" w:eastAsiaTheme="minorEastAsia" w:cstheme="minorEastAsia"/>
                <w:spacing w:val="4"/>
                <w:kern w:val="0"/>
                <w:sz w:val="21"/>
                <w:szCs w:val="21"/>
                <w:highlight w:val="none"/>
              </w:rPr>
            </w:pPr>
            <w:r>
              <w:rPr>
                <w:rFonts w:hint="eastAsia" w:asciiTheme="minorEastAsia" w:hAnsiTheme="minorEastAsia" w:eastAsiaTheme="minorEastAsia" w:cstheme="minorEastAsia"/>
                <w:spacing w:val="4"/>
                <w:kern w:val="0"/>
                <w:sz w:val="21"/>
                <w:szCs w:val="21"/>
                <w:highlight w:val="none"/>
              </w:rPr>
              <w:t>本次评标采用经评审的最低投标价法，评标委员会按照本章第2.1款进行报价排序，按照本章第2.2款进行符合性审查，符合性审查合格的投标人中按报价由低到高推荐中标候选人，或根据招标人授权直接确定中标人。若出现投标人投标报价相同的，以“投标人在红名单中优先”的原则排序</w:t>
            </w:r>
            <w:r>
              <w:rPr>
                <w:rFonts w:hint="eastAsia" w:asciiTheme="minorEastAsia" w:hAnsiTheme="minorEastAsia" w:eastAsiaTheme="minorEastAsia" w:cstheme="minorEastAsia"/>
                <w:iCs/>
                <w:spacing w:val="4"/>
                <w:kern w:val="0"/>
                <w:sz w:val="21"/>
                <w:szCs w:val="21"/>
                <w:highlight w:val="none"/>
              </w:rPr>
              <w:t>（联合体投标的，须联合体牵头人在红名单中），投标人是否属于红名单，以开标环节信用状况查询结果为准；</w:t>
            </w:r>
            <w:r>
              <w:rPr>
                <w:rFonts w:hint="eastAsia" w:asciiTheme="minorEastAsia" w:hAnsiTheme="minorEastAsia" w:eastAsiaTheme="minorEastAsia" w:cstheme="minorEastAsia"/>
                <w:spacing w:val="4"/>
                <w:kern w:val="0"/>
                <w:sz w:val="21"/>
                <w:szCs w:val="21"/>
                <w:highlight w:val="none"/>
              </w:rPr>
              <w:t>投标人均不在红名单中的，</w:t>
            </w:r>
            <w:r>
              <w:rPr>
                <w:rFonts w:hint="eastAsia" w:asciiTheme="minorEastAsia" w:hAnsiTheme="minorEastAsia" w:eastAsiaTheme="minorEastAsia" w:cstheme="minorEastAsia"/>
                <w:kern w:val="0"/>
                <w:sz w:val="21"/>
                <w:szCs w:val="21"/>
                <w:highlight w:val="none"/>
              </w:rPr>
              <w:t>以“投标人不良行为信息量化记分”低的优先；</w:t>
            </w:r>
            <w:r>
              <w:rPr>
                <w:rFonts w:hint="eastAsia" w:asciiTheme="minorEastAsia" w:hAnsiTheme="minorEastAsia" w:eastAsiaTheme="minorEastAsia" w:cstheme="minorEastAsia"/>
                <w:spacing w:val="4"/>
                <w:kern w:val="0"/>
                <w:sz w:val="21"/>
                <w:szCs w:val="21"/>
                <w:highlight w:val="none"/>
              </w:rPr>
              <w:t>投标人均在红名单中或</w:t>
            </w:r>
            <w:r>
              <w:rPr>
                <w:rFonts w:hint="eastAsia" w:asciiTheme="minorEastAsia" w:hAnsiTheme="minorEastAsia" w:eastAsiaTheme="minorEastAsia" w:cstheme="minorEastAsia"/>
                <w:kern w:val="0"/>
                <w:sz w:val="21"/>
                <w:szCs w:val="21"/>
                <w:highlight w:val="none"/>
              </w:rPr>
              <w:t>“投标人不良行为信息量化记分”相等的</w:t>
            </w:r>
            <w:r>
              <w:rPr>
                <w:rFonts w:hint="eastAsia" w:asciiTheme="minorEastAsia" w:hAnsiTheme="minorEastAsia" w:eastAsiaTheme="minorEastAsia" w:cstheme="minorEastAsia"/>
                <w:spacing w:val="4"/>
                <w:kern w:val="0"/>
                <w:sz w:val="21"/>
                <w:szCs w:val="21"/>
                <w:highlight w:val="none"/>
              </w:rPr>
              <w:t>，由评标委员会按照</w:t>
            </w:r>
            <w:r>
              <w:rPr>
                <w:rFonts w:hint="eastAsia" w:asciiTheme="minorEastAsia" w:hAnsiTheme="minorEastAsia" w:eastAsiaTheme="minorEastAsia" w:cstheme="minorEastAsia"/>
                <w:spacing w:val="4"/>
                <w:kern w:val="0"/>
                <w:sz w:val="21"/>
                <w:szCs w:val="21"/>
                <w:highlight w:val="none"/>
                <w:u w:val="single"/>
              </w:rPr>
              <w:t xml:space="preserve">         </w:t>
            </w:r>
            <w:r>
              <w:rPr>
                <w:rFonts w:hint="eastAsia" w:asciiTheme="minorEastAsia" w:hAnsiTheme="minorEastAsia" w:eastAsiaTheme="minorEastAsia" w:cstheme="minorEastAsia"/>
                <w:spacing w:val="4"/>
                <w:kern w:val="0"/>
                <w:sz w:val="21"/>
                <w:szCs w:val="21"/>
                <w:highlight w:val="none"/>
              </w:rPr>
              <w:t>原则排序。</w:t>
            </w:r>
            <w:r>
              <w:rPr>
                <w:rFonts w:hint="eastAsia" w:asciiTheme="minorEastAsia" w:hAnsiTheme="minorEastAsia" w:eastAsiaTheme="minorEastAsia" w:cstheme="minorEastAsia"/>
                <w:i/>
                <w:spacing w:val="4"/>
                <w:kern w:val="0"/>
                <w:sz w:val="21"/>
                <w:szCs w:val="21"/>
                <w:highlight w:val="none"/>
              </w:rPr>
              <w:t>[提示：由招标人事先在招标文件中按照有利于合同履行的原则确定，但不得采用抽签、摇号方式直接确定中标候选人。]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2.1</w:t>
            </w:r>
          </w:p>
        </w:tc>
        <w:tc>
          <w:tcPr>
            <w:tcW w:w="1438" w:type="dxa"/>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报价排序</w:t>
            </w:r>
          </w:p>
        </w:tc>
        <w:tc>
          <w:tcPr>
            <w:tcW w:w="7245" w:type="dxa"/>
            <w:gridSpan w:val="2"/>
            <w:tcBorders>
              <w:left w:val="single" w:color="auto" w:sz="4" w:space="0"/>
            </w:tcBorders>
            <w:vAlign w:val="center"/>
          </w:tcPr>
          <w:p>
            <w:pPr>
              <w:keepNext w:val="0"/>
              <w:keepLines w:val="0"/>
              <w:pageBreakBefore w:val="0"/>
              <w:kinsoku/>
              <w:wordWrap/>
              <w:overflowPunct/>
              <w:topLinePunct w:val="0"/>
              <w:bidi w:val="0"/>
              <w:spacing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对报价不高于最高限价的所有投标人的投标文件，按照报价由低到高的顺序排序。需技术部分评审的，由电子评标系统对技术部分进行自动随机编号。在投标函评审前，推送给评标委员会的投标文件不得显示排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26" w:hRule="atLeast"/>
        </w:trPr>
        <w:tc>
          <w:tcPr>
            <w:tcW w:w="1002" w:type="dxa"/>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2.2</w:t>
            </w:r>
          </w:p>
        </w:tc>
        <w:tc>
          <w:tcPr>
            <w:tcW w:w="1438" w:type="dxa"/>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符合性审查</w:t>
            </w:r>
          </w:p>
        </w:tc>
        <w:tc>
          <w:tcPr>
            <w:tcW w:w="7245" w:type="dxa"/>
            <w:gridSpan w:val="2"/>
            <w:tcBorders>
              <w:left w:val="single" w:color="auto" w:sz="4" w:space="0"/>
            </w:tcBorders>
            <w:vAlign w:val="center"/>
          </w:tcPr>
          <w:p>
            <w:pPr>
              <w:keepNext w:val="0"/>
              <w:keepLines w:val="0"/>
              <w:pageBreakBefore w:val="0"/>
              <w:kinsoku/>
              <w:wordWrap/>
              <w:overflowPunct/>
              <w:topLinePunct w:val="0"/>
              <w:bidi w:val="0"/>
              <w:spacing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取报价排序前□5□6□7名（若实际投标人数量小于勾选数量，</w:t>
            </w:r>
            <w:r>
              <w:rPr>
                <w:rFonts w:hint="eastAsia" w:asciiTheme="minorEastAsia" w:hAnsiTheme="minorEastAsia" w:eastAsiaTheme="minorEastAsia" w:cstheme="minorEastAsia"/>
                <w:spacing w:val="4"/>
                <w:kern w:val="0"/>
                <w:sz w:val="21"/>
                <w:szCs w:val="21"/>
                <w:highlight w:val="none"/>
              </w:rPr>
              <w:t>则全部纳入）进行符合性审查。符合性审查内容：</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pacing w:val="4"/>
                <w:kern w:val="0"/>
                <w:sz w:val="21"/>
                <w:szCs w:val="21"/>
                <w:highlight w:val="none"/>
              </w:rPr>
              <w:t>技术部分评审、资格评审、形式评审、响应性评审、投标函部分评审。符合性审查</w:t>
            </w:r>
            <w:r>
              <w:rPr>
                <w:rFonts w:hint="eastAsia" w:asciiTheme="minorEastAsia" w:hAnsiTheme="minorEastAsia" w:eastAsiaTheme="minorEastAsia" w:cstheme="minorEastAsia"/>
                <w:kern w:val="0"/>
                <w:sz w:val="21"/>
                <w:szCs w:val="21"/>
                <w:highlight w:val="none"/>
              </w:rPr>
              <w:t>合格的投标人中，报价最低的成为第一中标候选人，报价次低的成为第二中标候选人，依次类推。</w:t>
            </w:r>
          </w:p>
          <w:p>
            <w:pPr>
              <w:keepNext w:val="0"/>
              <w:keepLines w:val="0"/>
              <w:pageBreakBefore w:val="0"/>
              <w:kinsoku/>
              <w:wordWrap/>
              <w:overflowPunct/>
              <w:topLinePunct w:val="0"/>
              <w:bidi w:val="0"/>
              <w:spacing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符合性审查中有任何一项不符合要求，符合性审查不合格，由评标委员会作否决投标处理。</w:t>
            </w:r>
          </w:p>
          <w:p>
            <w:pPr>
              <w:keepNext w:val="0"/>
              <w:keepLines w:val="0"/>
              <w:pageBreakBefore w:val="0"/>
              <w:kinsoku/>
              <w:wordWrap/>
              <w:overflowPunct/>
              <w:topLinePunct w:val="0"/>
              <w:bidi w:val="0"/>
              <w:spacing w:line="400" w:lineRule="exact"/>
              <w:ind w:firstLine="420" w:firstLineChars="200"/>
              <w:jc w:val="left"/>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i/>
                <w:kern w:val="0"/>
                <w:sz w:val="21"/>
                <w:szCs w:val="21"/>
                <w:highlight w:val="none"/>
              </w:rPr>
              <w:t>[提示：勾选技术部分评审的，符合性审查应首先进行技术部分评审，再按照资格、形式、响应性、投标函部分的顺序进行评审。]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restart"/>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kern w:val="0"/>
                <w:sz w:val="21"/>
                <w:szCs w:val="21"/>
                <w:highlight w:val="none"/>
              </w:rPr>
              <w:t>2.2.1</w:t>
            </w:r>
          </w:p>
        </w:tc>
        <w:tc>
          <w:tcPr>
            <w:tcW w:w="1438" w:type="dxa"/>
            <w:vMerge w:val="restart"/>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技术部分评审标准</w:t>
            </w:r>
          </w:p>
        </w:tc>
        <w:tc>
          <w:tcPr>
            <w:tcW w:w="19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bidi w:val="0"/>
              <w:snapToGrid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技术部分形式要求</w:t>
            </w:r>
            <w:r>
              <w:rPr>
                <w:rFonts w:hint="eastAsia" w:asciiTheme="minorEastAsia" w:hAnsiTheme="minorEastAsia" w:eastAsiaTheme="minorEastAsia" w:cstheme="minorEastAsia"/>
                <w:i/>
                <w:iCs/>
                <w:sz w:val="21"/>
                <w:szCs w:val="21"/>
                <w:highlight w:val="none"/>
              </w:rPr>
              <w:t>[提示：技术部分采用暗标评审时适用</w:t>
            </w:r>
            <w:r>
              <w:rPr>
                <w:rFonts w:hint="eastAsia" w:asciiTheme="minorEastAsia" w:hAnsiTheme="minorEastAsia" w:eastAsiaTheme="minorEastAsia" w:cstheme="minorEastAsia"/>
                <w:i/>
                <w:iCs/>
                <w:sz w:val="21"/>
                <w:szCs w:val="21"/>
                <w:highlight w:val="none"/>
                <w:lang w:eastAsia="zh-CN"/>
              </w:rPr>
              <w:t>。</w:t>
            </w:r>
            <w:r>
              <w:rPr>
                <w:rFonts w:hint="eastAsia" w:asciiTheme="minorEastAsia" w:hAnsiTheme="minorEastAsia" w:eastAsiaTheme="minorEastAsia" w:cstheme="minorEastAsia"/>
                <w:i/>
                <w:iCs/>
                <w:sz w:val="21"/>
                <w:szCs w:val="21"/>
                <w:highlight w:val="none"/>
              </w:rPr>
              <w:t>]</w:t>
            </w:r>
          </w:p>
        </w:tc>
        <w:tc>
          <w:tcPr>
            <w:tcW w:w="5324" w:type="dxa"/>
            <w:tcBorders>
              <w:left w:val="single" w:color="auto" w:sz="4" w:space="0"/>
              <w:bottom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是否符合第二章“投标人须知前附表”第3.7.5项的规定：符合/不符合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勘察方案编制的依据及编制原则是否正确</w:t>
            </w:r>
          </w:p>
        </w:tc>
        <w:tc>
          <w:tcPr>
            <w:tcW w:w="5324" w:type="dxa"/>
            <w:vMerge w:val="restart"/>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评标委员会对投标人递交的技术部分进行综合性评审，综合评判是否满足发包人要求：满足/不满足。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收集的资料及场地工程地质条件预分析是否可信</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地基基础方案预分析</w:t>
            </w:r>
            <w:r>
              <w:rPr>
                <w:rFonts w:hint="eastAsia" w:asciiTheme="minorEastAsia" w:hAnsiTheme="minorEastAsia" w:eastAsiaTheme="minorEastAsia" w:cstheme="minorEastAsia"/>
                <w:color w:val="000000"/>
                <w:sz w:val="21"/>
                <w:szCs w:val="21"/>
                <w:highlight w:val="none"/>
              </w:rPr>
              <w:t>是否合理</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勘察的目的及需要解决的技术问题</w:t>
            </w:r>
            <w:r>
              <w:rPr>
                <w:rFonts w:hint="eastAsia" w:asciiTheme="minorEastAsia" w:hAnsiTheme="minorEastAsia" w:eastAsiaTheme="minorEastAsia" w:cstheme="minorEastAsia"/>
                <w:color w:val="000000"/>
                <w:sz w:val="21"/>
                <w:szCs w:val="21"/>
                <w:highlight w:val="none"/>
              </w:rPr>
              <w:t>是否有针对性</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勘探孔（钻孔、原位测试孔、螺纹孔）平面布置是否合理</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勘探孔（钻孔、原位测试孔、螺纹孔）深度是否合理</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取土、标贯的数量及间距是否恰当</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室内土水试验内容及数量是否恰当</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拟定的勘察报告书内容和主要的图表</w:t>
            </w:r>
            <w:r>
              <w:rPr>
                <w:rFonts w:hint="eastAsia" w:asciiTheme="minorEastAsia" w:hAnsiTheme="minorEastAsia" w:eastAsiaTheme="minorEastAsia" w:cstheme="minorEastAsia"/>
                <w:color w:val="000000"/>
                <w:sz w:val="21"/>
                <w:szCs w:val="21"/>
                <w:highlight w:val="none"/>
              </w:rPr>
              <w:t>是否合理</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质量保证措施</w:t>
            </w:r>
            <w:r>
              <w:rPr>
                <w:rFonts w:hint="eastAsia" w:asciiTheme="minorEastAsia" w:hAnsiTheme="minorEastAsia" w:eastAsiaTheme="minorEastAsia" w:cstheme="minorEastAsia"/>
                <w:color w:val="000000"/>
                <w:sz w:val="21"/>
                <w:szCs w:val="21"/>
                <w:highlight w:val="none"/>
              </w:rPr>
              <w:t>是否可行</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sz w:val="21"/>
                <w:szCs w:val="21"/>
                <w:highlight w:val="none"/>
              </w:rPr>
              <w:t>工期安排是否合理</w:t>
            </w:r>
          </w:p>
        </w:tc>
        <w:tc>
          <w:tcPr>
            <w:tcW w:w="5324" w:type="dxa"/>
            <w:vMerge w:val="continue"/>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bidi w:val="0"/>
              <w:spacing w:line="400" w:lineRule="exact"/>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w:t>
            </w:r>
          </w:p>
        </w:tc>
        <w:tc>
          <w:tcPr>
            <w:tcW w:w="5324" w:type="dxa"/>
            <w:vMerge w:val="continue"/>
            <w:tcBorders>
              <w:left w:val="single" w:color="auto" w:sz="4" w:space="0"/>
              <w:bottom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restart"/>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2.2.2</w:t>
            </w:r>
          </w:p>
        </w:tc>
        <w:tc>
          <w:tcPr>
            <w:tcW w:w="1438" w:type="dxa"/>
            <w:vMerge w:val="restart"/>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资格评审标准</w:t>
            </w: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资质条件</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营业执照</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after="78" w:afterLines="25"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□财务要求</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0"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after="78" w:afterLines="25"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□业绩要求</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after="78" w:afterLines="25"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投标截止日投标资格情况</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项目负责人的资格要求</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其他要求</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□联合体投标人</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符合第二章“投标人须知”第1.4.2项规定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p>
        </w:tc>
        <w:tc>
          <w:tcPr>
            <w:tcW w:w="1438" w:type="dxa"/>
            <w:vMerge w:val="continue"/>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不存在禁止投标的情形</w:t>
            </w:r>
          </w:p>
        </w:tc>
        <w:tc>
          <w:tcPr>
            <w:tcW w:w="5324" w:type="dxa"/>
            <w:tcBorders>
              <w:top w:val="single" w:color="auto" w:sz="4" w:space="0"/>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不存在第二章“投标人须知”第 1.4.3 项规定的任何一种情形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restart"/>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2.2.3</w:t>
            </w:r>
          </w:p>
        </w:tc>
        <w:tc>
          <w:tcPr>
            <w:tcW w:w="1438" w:type="dxa"/>
            <w:vMerge w:val="restart"/>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形式评审标准</w:t>
            </w:r>
          </w:p>
        </w:tc>
        <w:tc>
          <w:tcPr>
            <w:tcW w:w="1921" w:type="dxa"/>
            <w:tcBorders>
              <w:right w:val="single" w:color="auto" w:sz="4" w:space="0"/>
            </w:tcBorders>
            <w:vAlign w:val="center"/>
          </w:tcPr>
          <w:p>
            <w:pPr>
              <w:keepNext w:val="0"/>
              <w:keepLines w:val="0"/>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投标人名称</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与营业执照、资质证书一致，依法变更名称的应提交相应证明材料。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投标文件格式</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line="400" w:lineRule="exact"/>
              <w:ind w:firstLine="380" w:firstLineChars="181"/>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符合第二章“投标人须知”第3.7款的要求（不含投标函部分）。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□联合体投标人</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提交联合体协议书，并明确联合体牵头人。在联合体协议书第5条联合体各成员单位内部的职责分工中填写的联合体所有成员单位名称应与其营业执照、资质证书一致，依法变更名称的应提交相应证明材料。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投标文件的签署</w:t>
            </w:r>
          </w:p>
        </w:tc>
        <w:tc>
          <w:tcPr>
            <w:tcW w:w="5324" w:type="dxa"/>
            <w:tcBorders>
              <w:left w:val="single" w:color="auto" w:sz="4" w:space="0"/>
            </w:tcBorders>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第六章 投标文件格式（不含投标函部分）要求法定代表人或其委托代理人签名（或盖章）的须齐全</w:t>
            </w:r>
            <w:r>
              <w:rPr>
                <w:rFonts w:hint="eastAsia" w:asciiTheme="minorEastAsia" w:hAnsiTheme="minorEastAsia" w:eastAsiaTheme="minorEastAsia" w:cstheme="minorEastAsia"/>
                <w:kern w:val="0"/>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要求签名的，</w:t>
            </w:r>
            <w:r>
              <w:rPr>
                <w:rFonts w:hint="eastAsia" w:asciiTheme="minorEastAsia" w:hAnsiTheme="minorEastAsia" w:eastAsiaTheme="minorEastAsia" w:cstheme="minorEastAsia"/>
                <w:color w:val="auto"/>
                <w:sz w:val="21"/>
                <w:szCs w:val="21"/>
                <w:highlight w:val="none"/>
              </w:rPr>
              <w:t>签名采用手写签名</w:t>
            </w:r>
            <w:r>
              <w:rPr>
                <w:rFonts w:hint="eastAsia" w:asciiTheme="minorEastAsia" w:hAnsiTheme="minorEastAsia" w:eastAsiaTheme="minorEastAsia" w:cstheme="minorEastAsia"/>
                <w:color w:val="auto"/>
                <w:sz w:val="21"/>
                <w:szCs w:val="21"/>
                <w:highlight w:val="none"/>
                <w:lang w:val="en-US" w:eastAsia="zh-CN"/>
              </w:rPr>
              <w:t>或签章</w:t>
            </w:r>
            <w:r>
              <w:rPr>
                <w:rFonts w:hint="eastAsia" w:asciiTheme="minorEastAsia" w:hAnsiTheme="minorEastAsia" w:eastAsiaTheme="minorEastAsia" w:cstheme="minorEastAsia"/>
                <w:color w:val="auto"/>
                <w:sz w:val="21"/>
                <w:szCs w:val="21"/>
                <w:highlight w:val="none"/>
              </w:rPr>
              <w:t>或加盖CA数字证书均可。</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napToGrid w:val="0"/>
                <w:kern w:val="0"/>
                <w:sz w:val="21"/>
                <w:szCs w:val="21"/>
                <w:highlight w:val="none"/>
              </w:rPr>
              <w:t>若投标单位为联合体，则联合体协议书中各联合体成员单位签名（或盖章）须齐全，联合体协议书以外的</w:t>
            </w:r>
            <w:r>
              <w:rPr>
                <w:rFonts w:hint="eastAsia" w:asciiTheme="minorEastAsia" w:hAnsiTheme="minorEastAsia" w:eastAsiaTheme="minorEastAsia" w:cstheme="minorEastAsia"/>
                <w:kern w:val="0"/>
                <w:sz w:val="21"/>
                <w:szCs w:val="21"/>
                <w:highlight w:val="none"/>
              </w:rPr>
              <w:t>投标文件格式中，要求法定代表人或其委托代理人签名（或盖章）的均由</w:t>
            </w:r>
            <w:r>
              <w:rPr>
                <w:rFonts w:hint="eastAsia" w:asciiTheme="minorEastAsia" w:hAnsiTheme="minorEastAsia" w:eastAsiaTheme="minorEastAsia" w:cstheme="minorEastAsia"/>
                <w:snapToGrid w:val="0"/>
                <w:kern w:val="0"/>
                <w:sz w:val="21"/>
                <w:szCs w:val="21"/>
                <w:highlight w:val="none"/>
              </w:rPr>
              <w:t>联合体牵头人</w:t>
            </w:r>
            <w:r>
              <w:rPr>
                <w:rFonts w:hint="eastAsia" w:asciiTheme="minorEastAsia" w:hAnsiTheme="minorEastAsia" w:eastAsiaTheme="minorEastAsia" w:cstheme="minorEastAsia"/>
                <w:kern w:val="0"/>
                <w:sz w:val="21"/>
                <w:szCs w:val="21"/>
                <w:highlight w:val="none"/>
              </w:rPr>
              <w:t>法定代表人或其委托代理人签名（或盖章）。</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第六章 投标文件格式（不含投标函部分）要求加盖单位法人章的，应使用 CA 数字证书加盖投标人的单位电子印章。</w:t>
            </w:r>
          </w:p>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napToGrid w:val="0"/>
                <w:kern w:val="0"/>
                <w:sz w:val="21"/>
                <w:szCs w:val="21"/>
                <w:highlight w:val="none"/>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委托代理人</w:t>
            </w:r>
          </w:p>
        </w:tc>
        <w:tc>
          <w:tcPr>
            <w:tcW w:w="5324" w:type="dxa"/>
            <w:tcBorders>
              <w:left w:val="single" w:color="auto" w:sz="4" w:space="0"/>
            </w:tcBorders>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投标人法定代表人的委托代理人有法定代表人签署的授权委托书和投标人为其缴纳的养老保险证明材料。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b/>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备选投标方案</w:t>
            </w:r>
          </w:p>
        </w:tc>
        <w:tc>
          <w:tcPr>
            <w:tcW w:w="5324" w:type="dxa"/>
            <w:tcBorders>
              <w:left w:val="single" w:color="auto" w:sz="4" w:space="0"/>
            </w:tcBorders>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除招标文件明确允许提交备选投标方案外，投标人不得提交备选投标方案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restart"/>
            <w:tcBorders>
              <w:top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2.2.4</w:t>
            </w:r>
          </w:p>
        </w:tc>
        <w:tc>
          <w:tcPr>
            <w:tcW w:w="1438" w:type="dxa"/>
            <w:vMerge w:val="restart"/>
            <w:tcBorders>
              <w:top w:val="single" w:color="auto" w:sz="4" w:space="0"/>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响应性评审标准</w:t>
            </w: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投标内容</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符合第二章“投标人须知”第1.3.1项规定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投标保证金</w:t>
            </w:r>
          </w:p>
        </w:tc>
        <w:tc>
          <w:tcPr>
            <w:tcW w:w="5324" w:type="dxa"/>
            <w:tcBorders>
              <w:left w:val="single" w:color="auto" w:sz="4" w:space="0"/>
            </w:tcBorders>
            <w:vAlign w:val="center"/>
          </w:tcPr>
          <w:p>
            <w:pPr>
              <w:keepNext w:val="0"/>
              <w:keepLines w:val="0"/>
              <w:pageBreakBefore w:val="0"/>
              <w:tabs>
                <w:tab w:val="left" w:pos="611"/>
                <w:tab w:val="left" w:pos="669"/>
              </w:tabs>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符合第二章“投标人须知”第3.4.1项规定。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权利义务</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符合第二章“投标人须知”第1.12.1项规定和第四章“合同条款及格式”中的实质性要求和条件，投标文件不应附有招标人不能接受的条件。（由投标人承诺，承诺书格式详见第六章投标文件格式。）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bottom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bottom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实质性要求</w:t>
            </w:r>
          </w:p>
        </w:tc>
        <w:tc>
          <w:tcPr>
            <w:tcW w:w="5324" w:type="dxa"/>
            <w:tcBorders>
              <w:left w:val="single" w:color="auto" w:sz="4" w:space="0"/>
            </w:tcBorders>
            <w:vAlign w:val="center"/>
          </w:tcPr>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符合第五章“发包人要求”中的实质性要求和条件（由投标人承诺，承诺书格式详见第六章投标文件格式。）</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本次投标不得有串通投标、弄虚作假等其他违反招投标相关法律、法规行为。</w:t>
            </w:r>
          </w:p>
          <w:p>
            <w:pPr>
              <w:keepNext w:val="0"/>
              <w:keepLines w:val="0"/>
              <w:pageBreakBefore w:val="0"/>
              <w:suppressLineNumbers w:val="0"/>
              <w:suppressAutoHyphens w:val="0"/>
              <w:kinsoku/>
              <w:wordWrap/>
              <w:overflowPunct/>
              <w:topLinePunct w:val="0"/>
              <w:bidi w:val="0"/>
              <w:snapToGrid/>
              <w:spacing w:after="0" w:afterLines="-2147483648" w:line="400" w:lineRule="exact"/>
              <w:ind w:firstLine="420" w:firstLineChars="200"/>
              <w:textAlignment w:val="auto"/>
              <w:rPr>
                <w:rFonts w:hint="eastAsia"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color w:val="000000"/>
                <w:sz w:val="21"/>
                <w:szCs w:val="21"/>
                <w:highlight w:val="none"/>
              </w:rPr>
              <w:t>按评标委员会要求澄清、说明或补正。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restart"/>
            <w:tcBorders>
              <w:top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2.2.5</w:t>
            </w:r>
          </w:p>
        </w:tc>
        <w:tc>
          <w:tcPr>
            <w:tcW w:w="1438" w:type="dxa"/>
            <w:vMerge w:val="restart"/>
            <w:tcBorders>
              <w:top w:val="single" w:color="auto" w:sz="4" w:space="0"/>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投标函部分评审标准</w:t>
            </w: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投标函部分的签名盖章</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投标函部分的格式要求法定代表人或其委托代理人签名（或盖章）的须齐全，</w:t>
            </w:r>
            <w:r>
              <w:rPr>
                <w:rFonts w:hint="eastAsia" w:asciiTheme="minorEastAsia" w:hAnsiTheme="minorEastAsia" w:eastAsiaTheme="minorEastAsia" w:cstheme="minorEastAsia"/>
                <w:color w:val="auto"/>
                <w:sz w:val="21"/>
                <w:szCs w:val="21"/>
                <w:highlight w:val="none"/>
                <w:lang w:val="en-US" w:eastAsia="zh-CN"/>
              </w:rPr>
              <w:t>要求签名的，</w:t>
            </w:r>
            <w:r>
              <w:rPr>
                <w:rFonts w:hint="eastAsia" w:asciiTheme="minorEastAsia" w:hAnsiTheme="minorEastAsia" w:eastAsiaTheme="minorEastAsia" w:cstheme="minorEastAsia"/>
                <w:color w:val="auto"/>
                <w:sz w:val="21"/>
                <w:szCs w:val="21"/>
                <w:highlight w:val="none"/>
              </w:rPr>
              <w:t>签名采用手写签名</w:t>
            </w:r>
            <w:r>
              <w:rPr>
                <w:rFonts w:hint="eastAsia" w:asciiTheme="minorEastAsia" w:hAnsiTheme="minorEastAsia" w:eastAsiaTheme="minorEastAsia" w:cstheme="minorEastAsia"/>
                <w:color w:val="auto"/>
                <w:sz w:val="21"/>
                <w:szCs w:val="21"/>
                <w:highlight w:val="none"/>
                <w:lang w:val="en-US" w:eastAsia="zh-CN"/>
              </w:rPr>
              <w:t>或签章</w:t>
            </w:r>
            <w:r>
              <w:rPr>
                <w:rFonts w:hint="eastAsia" w:asciiTheme="minorEastAsia" w:hAnsiTheme="minorEastAsia" w:eastAsiaTheme="minorEastAsia" w:cstheme="minorEastAsia"/>
                <w:color w:val="auto"/>
                <w:sz w:val="21"/>
                <w:szCs w:val="21"/>
                <w:highlight w:val="none"/>
              </w:rPr>
              <w:t>或加盖CA数字证书均可</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kern w:val="0"/>
                <w:sz w:val="21"/>
                <w:szCs w:val="21"/>
                <w:highlight w:val="none"/>
              </w:rPr>
              <w:t>要求加盖单位法人章的，应使用 CA 数字证书加盖投标人的单位电子印章。</w:t>
            </w:r>
          </w:p>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联合体投标的，投标函部分的格式中要求投标人加盖单位法人章的，均由联合体牵头人使用 CA 数字证书加盖其单位电子印章。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勘察服务期限</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符合第二章“投标人须知”第1.3.2项规定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质量标准</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符合第二章“投标人须知”第1.3.3项规定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投标有效期</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符合第二章“投标人须知”第3.3.1项规定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投标报价</w:t>
            </w:r>
          </w:p>
        </w:tc>
        <w:tc>
          <w:tcPr>
            <w:tcW w:w="5324" w:type="dxa"/>
            <w:tcBorders>
              <w:left w:val="single" w:color="auto" w:sz="4" w:space="0"/>
            </w:tcBorders>
            <w:vAlign w:val="center"/>
          </w:tcPr>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1.投标函中的投标报价不得高于招标人公布的投标报价最高限价。</w:t>
            </w:r>
          </w:p>
          <w:p>
            <w:pPr>
              <w:keepNext w:val="0"/>
              <w:keepLines w:val="0"/>
              <w:pageBreakBefore w:val="0"/>
              <w:kinsoku/>
              <w:wordWrap/>
              <w:overflowPunct/>
              <w:topLinePunct w:val="0"/>
              <w:bidi w:val="0"/>
              <w:spacing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kern w:val="0"/>
                <w:sz w:val="21"/>
                <w:szCs w:val="21"/>
                <w:highlight w:val="none"/>
              </w:rPr>
              <w:t>投标函中的</w:t>
            </w:r>
            <w:r>
              <w:rPr>
                <w:rFonts w:hint="eastAsia" w:asciiTheme="minorEastAsia" w:hAnsiTheme="minorEastAsia" w:eastAsiaTheme="minorEastAsia" w:cstheme="minorEastAsia"/>
                <w:kern w:val="0"/>
                <w:sz w:val="21"/>
                <w:szCs w:val="21"/>
                <w:highlight w:val="none"/>
                <w:lang w:val="en-US" w:eastAsia="zh-CN"/>
              </w:rPr>
              <w:t>投标总</w:t>
            </w:r>
            <w:r>
              <w:rPr>
                <w:rFonts w:hint="eastAsia" w:asciiTheme="minorEastAsia" w:hAnsiTheme="minorEastAsia" w:eastAsiaTheme="minorEastAsia" w:cstheme="minorEastAsia"/>
                <w:kern w:val="0"/>
                <w:sz w:val="21"/>
                <w:szCs w:val="21"/>
                <w:highlight w:val="none"/>
              </w:rPr>
              <w:t>报价必须与依据固定</w:t>
            </w:r>
            <w:r>
              <w:rPr>
                <w:rFonts w:hint="eastAsia" w:asciiTheme="minorEastAsia" w:hAnsiTheme="minorEastAsia" w:eastAsiaTheme="minorEastAsia" w:cstheme="minorEastAsia"/>
                <w:kern w:val="0"/>
                <w:sz w:val="21"/>
                <w:szCs w:val="21"/>
                <w:highlight w:val="none"/>
                <w:lang w:val="en-US" w:eastAsia="zh-CN"/>
              </w:rPr>
              <w:t>费</w:t>
            </w:r>
            <w:r>
              <w:rPr>
                <w:rFonts w:hint="eastAsia" w:asciiTheme="minorEastAsia" w:hAnsiTheme="minorEastAsia" w:eastAsiaTheme="minorEastAsia" w:cstheme="minorEastAsia"/>
                <w:kern w:val="0"/>
                <w:sz w:val="21"/>
                <w:szCs w:val="21"/>
                <w:highlight w:val="none"/>
              </w:rPr>
              <w:t>率（或固定单价）计算出的结果一致；</w:t>
            </w:r>
          </w:p>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rPr>
              <w:t>3.</w:t>
            </w:r>
            <w:r>
              <w:rPr>
                <w:rFonts w:hint="eastAsia" w:asciiTheme="minorEastAsia" w:hAnsiTheme="minorEastAsia" w:eastAsiaTheme="minorEastAsia" w:cstheme="minorEastAsia"/>
                <w:color w:val="auto"/>
                <w:kern w:val="0"/>
                <w:sz w:val="21"/>
                <w:szCs w:val="21"/>
                <w:highlight w:val="none"/>
              </w:rPr>
              <w:t>投标总报价低于最高限价85%的，投标人应在编制投标文件时，在投标函部分中递交低价风险担保</w:t>
            </w:r>
            <w:r>
              <w:rPr>
                <w:rFonts w:hint="eastAsia" w:asciiTheme="minorEastAsia" w:hAnsiTheme="minorEastAsia" w:eastAsiaTheme="minorEastAsia" w:cstheme="minorEastAsia"/>
                <w:color w:val="auto"/>
                <w:kern w:val="0"/>
                <w:sz w:val="21"/>
                <w:szCs w:val="21"/>
                <w:highlight w:val="none"/>
                <w:lang w:eastAsia="zh-CN"/>
              </w:rPr>
              <w:t>提交</w:t>
            </w:r>
            <w:r>
              <w:rPr>
                <w:rFonts w:hint="eastAsia" w:asciiTheme="minorEastAsia" w:hAnsiTheme="minorEastAsia" w:eastAsiaTheme="minorEastAsia" w:cstheme="minorEastAsia"/>
                <w:color w:val="auto"/>
                <w:kern w:val="0"/>
                <w:sz w:val="21"/>
                <w:szCs w:val="21"/>
                <w:highlight w:val="none"/>
              </w:rPr>
              <w:t>承诺书。承诺书格式详见第六章投标文件格式。</w:t>
            </w:r>
          </w:p>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lang w:eastAsia="zh-CN"/>
              </w:rPr>
              <w:t>4</w:t>
            </w:r>
            <w:r>
              <w:rPr>
                <w:rFonts w:hint="eastAsia" w:asciiTheme="minorEastAsia" w:hAnsiTheme="minorEastAsia" w:eastAsiaTheme="minorEastAsia" w:cstheme="minorEastAsia"/>
                <w:sz w:val="21"/>
                <w:szCs w:val="21"/>
                <w:highlight w:val="none"/>
              </w:rPr>
              <w:t>.采用勘察费用清单报价的，投标函中的投标总报价必须与勘察费用清单合计报价一致。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报价唯一</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只能有一个有效报价。在招标文件没有规定的情况下，不得提交选择性报价。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Theme="minorEastAsia" w:hAnsiTheme="minorEastAsia" w:eastAsiaTheme="minorEastAsia" w:cstheme="minorEastAsia"/>
                <w:color w:val="auto"/>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暂定金额</w:t>
            </w:r>
          </w:p>
        </w:tc>
        <w:tc>
          <w:tcPr>
            <w:tcW w:w="5324" w:type="dxa"/>
            <w:tcBorders>
              <w:left w:val="single" w:color="auto" w:sz="4" w:space="0"/>
            </w:tcBorders>
            <w:vAlign w:val="center"/>
          </w:tcPr>
          <w:p>
            <w:pPr>
              <w:keepNext w:val="0"/>
              <w:keepLines w:val="0"/>
              <w:pageBreakBefore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暂列金额、暂估价等暂定金额必须按照招标文件给定的金额填报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02" w:type="dxa"/>
            <w:vMerge w:val="continue"/>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438" w:type="dxa"/>
            <w:vMerge w:val="continue"/>
            <w:tcBorders>
              <w:lef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kern w:val="0"/>
                <w:sz w:val="21"/>
                <w:szCs w:val="21"/>
                <w:highlight w:val="none"/>
              </w:rPr>
            </w:pPr>
          </w:p>
        </w:tc>
        <w:tc>
          <w:tcPr>
            <w:tcW w:w="1921" w:type="dxa"/>
            <w:tcBorders>
              <w:right w:val="single" w:color="auto" w:sz="4" w:space="0"/>
            </w:tcBorders>
            <w:vAlign w:val="center"/>
          </w:tcPr>
          <w:p>
            <w:pPr>
              <w:keepNext w:val="0"/>
              <w:keepLines w:val="0"/>
              <w:pageBreakBefore w:val="0"/>
              <w:kinsoku/>
              <w:wordWrap/>
              <w:overflowPunct/>
              <w:topLinePunct w:val="0"/>
              <w:bidi w:val="0"/>
              <w:snapToGrid w:val="0"/>
              <w:spacing w:line="400" w:lineRule="exact"/>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投标报价算术错误修正</w:t>
            </w:r>
          </w:p>
        </w:tc>
        <w:tc>
          <w:tcPr>
            <w:tcW w:w="5324" w:type="dxa"/>
            <w:tcBorders>
              <w:left w:val="single" w:color="auto" w:sz="4" w:space="0"/>
            </w:tcBorders>
            <w:vAlign w:val="center"/>
          </w:tcPr>
          <w:p>
            <w:pPr>
              <w:keepNext w:val="0"/>
              <w:keepLines w:val="0"/>
              <w:pageBreakBefore w:val="0"/>
              <w:suppressLineNumbers w:val="0"/>
              <w:suppressAutoHyphens w:val="0"/>
              <w:kinsoku/>
              <w:wordWrap/>
              <w:overflowPunct/>
              <w:topLinePunct w:val="0"/>
              <w:bidi w:val="0"/>
              <w:snapToGrid w:val="0"/>
              <w:spacing w:after="31" w:afterLines="10" w:line="400" w:lineRule="exact"/>
              <w:ind w:firstLine="420" w:firstLineChars="200"/>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符合第三章3.评标程序第3.2.3项规定。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57" w:hRule="atLeast"/>
        </w:trPr>
        <w:tc>
          <w:tcPr>
            <w:tcW w:w="1002" w:type="dxa"/>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p>
        </w:tc>
        <w:tc>
          <w:tcPr>
            <w:tcW w:w="1438" w:type="dxa"/>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评标程序</w:t>
            </w:r>
          </w:p>
        </w:tc>
        <w:tc>
          <w:tcPr>
            <w:tcW w:w="7245" w:type="dxa"/>
            <w:gridSpan w:val="2"/>
            <w:tcBorders>
              <w:left w:val="single" w:color="auto" w:sz="4" w:space="0"/>
            </w:tcBorders>
            <w:vAlign w:val="center"/>
          </w:tcPr>
          <w:p>
            <w:pPr>
              <w:keepNext w:val="0"/>
              <w:keepLines w:val="0"/>
              <w:pageBreakBefore w:val="0"/>
              <w:kinsoku/>
              <w:wordWrap/>
              <w:overflowPunct/>
              <w:topLinePunct w:val="0"/>
              <w:bidi w:val="0"/>
              <w:spacing w:after="31" w:afterLines="10"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对报价不高于最高限价的所有投标人的投标文件，按照报价由低到高的顺序排序。需技术部分评审的，由电子评标系统对技术部分进行自动随机编号。在投标函部分评审前，推送给评标委员会的投标文件不得显示排序。</w:t>
            </w:r>
          </w:p>
          <w:p>
            <w:pPr>
              <w:keepNext w:val="0"/>
              <w:keepLines w:val="0"/>
              <w:pageBreakBefore w:val="0"/>
              <w:kinsoku/>
              <w:wordWrap/>
              <w:overflowPunct/>
              <w:topLinePunct w:val="0"/>
              <w:bidi w:val="0"/>
              <w:spacing w:after="31" w:afterLines="10"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2.根据本章第2.2款约定进行符合性审查</w:t>
            </w:r>
            <w:r>
              <w:rPr>
                <w:rFonts w:hint="eastAsia" w:asciiTheme="minorEastAsia" w:hAnsiTheme="minorEastAsia" w:eastAsiaTheme="minorEastAsia" w:cstheme="minorEastAsia"/>
                <w:spacing w:val="4"/>
                <w:kern w:val="0"/>
                <w:sz w:val="21"/>
                <w:szCs w:val="21"/>
                <w:highlight w:val="none"/>
              </w:rPr>
              <w:t>。符合性审查</w:t>
            </w:r>
            <w:r>
              <w:rPr>
                <w:rFonts w:hint="eastAsia" w:asciiTheme="minorEastAsia" w:hAnsiTheme="minorEastAsia" w:eastAsiaTheme="minorEastAsia" w:cstheme="minorEastAsia"/>
                <w:kern w:val="0"/>
                <w:sz w:val="21"/>
                <w:szCs w:val="21"/>
                <w:highlight w:val="none"/>
              </w:rPr>
              <w:t>合格的投标人中，报价最低的成为第一中标候选人，报价次低的成为第二中标候选人，依次类推。</w:t>
            </w:r>
          </w:p>
          <w:p>
            <w:pPr>
              <w:keepNext w:val="0"/>
              <w:keepLines w:val="0"/>
              <w:pageBreakBefore w:val="0"/>
              <w:kinsoku/>
              <w:wordWrap/>
              <w:overflowPunct/>
              <w:topLinePunct w:val="0"/>
              <w:bidi w:val="0"/>
              <w:spacing w:after="31" w:afterLines="10" w:line="400" w:lineRule="exact"/>
              <w:ind w:firstLine="420" w:firstLineChars="200"/>
              <w:jc w:val="left"/>
              <w:textAlignment w:val="auto"/>
              <w:rPr>
                <w:rFonts w:hint="eastAsia" w:asciiTheme="minorEastAsia" w:hAnsiTheme="minorEastAsia" w:eastAsiaTheme="minorEastAsia" w:cstheme="minorEastAsia"/>
                <w:i/>
                <w:kern w:val="0"/>
                <w:sz w:val="21"/>
                <w:szCs w:val="21"/>
                <w:highlight w:val="none"/>
              </w:rPr>
            </w:pPr>
            <w:r>
              <w:rPr>
                <w:rFonts w:hint="eastAsia" w:asciiTheme="minorEastAsia" w:hAnsiTheme="minorEastAsia" w:eastAsiaTheme="minorEastAsia" w:cstheme="minorEastAsia"/>
                <w:i/>
                <w:kern w:val="0"/>
                <w:sz w:val="21"/>
                <w:szCs w:val="21"/>
                <w:highlight w:val="none"/>
              </w:rPr>
              <w:t>[提示：勾选技术部分评审的，符合性审查应首先进行技术部分评审，再按照资格、形式、响应性、投标函部分的顺序进行评审。]</w:t>
            </w:r>
          </w:p>
          <w:p>
            <w:pPr>
              <w:keepNext w:val="0"/>
              <w:keepLines w:val="0"/>
              <w:pageBreakBefore w:val="0"/>
              <w:kinsoku/>
              <w:wordWrap/>
              <w:overflowPunct/>
              <w:topLinePunct w:val="0"/>
              <w:bidi w:val="0"/>
              <w:spacing w:after="31" w:afterLines="10"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w:t>
            </w:r>
            <w:r>
              <w:rPr>
                <w:rFonts w:hint="eastAsia" w:asciiTheme="minorEastAsia" w:hAnsiTheme="minorEastAsia" w:eastAsiaTheme="minorEastAsia" w:cstheme="minorEastAsia"/>
                <w:spacing w:val="4"/>
                <w:kern w:val="0"/>
                <w:sz w:val="21"/>
                <w:szCs w:val="21"/>
                <w:highlight w:val="none"/>
              </w:rPr>
              <w:t>若上述程序未能评出三名中标候选人</w:t>
            </w:r>
            <w:r>
              <w:rPr>
                <w:rFonts w:hint="eastAsia" w:asciiTheme="minorEastAsia" w:hAnsiTheme="minorEastAsia" w:eastAsiaTheme="minorEastAsia" w:cstheme="minorEastAsia"/>
                <w:kern w:val="0"/>
                <w:sz w:val="21"/>
                <w:szCs w:val="21"/>
                <w:highlight w:val="none"/>
              </w:rPr>
              <w:t>，则评标委员会对剩余投标文件继续按上述第2条进行评审，直至评出三名中标候选人，或者评审完所有投标文件。</w:t>
            </w:r>
          </w:p>
          <w:p>
            <w:pPr>
              <w:keepNext w:val="0"/>
              <w:keepLines w:val="0"/>
              <w:pageBreakBefore w:val="0"/>
              <w:kinsoku/>
              <w:wordWrap/>
              <w:overflowPunct/>
              <w:topLinePunct w:val="0"/>
              <w:bidi w:val="0"/>
              <w:spacing w:after="31" w:afterLines="10"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4.</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kern w:val="0"/>
                <w:sz w:val="21"/>
                <w:szCs w:val="21"/>
                <w:highlight w:val="none"/>
              </w:rPr>
              <w:t>因评标委员会作否决投标处理，导致有效投标人不足三个的，评标委员会应当否决所有投标。但是有效投标人的经济、技术等指标仍然具有市场竞争力，并满足招标文件要求的，评标委员会可以继续评标并确定中标候选人。</w:t>
            </w:r>
          </w:p>
          <w:p>
            <w:pPr>
              <w:keepNext w:val="0"/>
              <w:keepLines w:val="0"/>
              <w:pageBreakBefore w:val="0"/>
              <w:kinsoku/>
              <w:wordWrap/>
              <w:overflowPunct/>
              <w:topLinePunct w:val="0"/>
              <w:bidi w:val="0"/>
              <w:spacing w:after="31" w:afterLines="10" w:line="400" w:lineRule="exact"/>
              <w:ind w:firstLine="420" w:firstLineChars="20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注：若出现投标人投标报价相同的，以“投标人在红名单中优先”的原则排序</w:t>
            </w:r>
            <w:r>
              <w:rPr>
                <w:rFonts w:hint="eastAsia" w:asciiTheme="minorEastAsia" w:hAnsiTheme="minorEastAsia" w:eastAsiaTheme="minorEastAsia" w:cstheme="minorEastAsia"/>
                <w:iCs/>
                <w:kern w:val="0"/>
                <w:sz w:val="21"/>
                <w:szCs w:val="21"/>
                <w:highlight w:val="none"/>
              </w:rPr>
              <w:t>（联合体投标的，须联合体牵头人在红名单中），投标人是否属于红名单，以开标环节信用状况查询结果为准；</w:t>
            </w:r>
            <w:r>
              <w:rPr>
                <w:rFonts w:hint="eastAsia" w:asciiTheme="minorEastAsia" w:hAnsiTheme="minorEastAsia" w:eastAsiaTheme="minorEastAsia" w:cstheme="minorEastAsia"/>
                <w:spacing w:val="4"/>
                <w:kern w:val="0"/>
                <w:sz w:val="21"/>
                <w:szCs w:val="21"/>
                <w:highlight w:val="none"/>
              </w:rPr>
              <w:t>投标人均不在红名单中的，</w:t>
            </w:r>
            <w:r>
              <w:rPr>
                <w:rFonts w:hint="eastAsia" w:asciiTheme="minorEastAsia" w:hAnsiTheme="minorEastAsia" w:eastAsiaTheme="minorEastAsia" w:cstheme="minorEastAsia"/>
                <w:kern w:val="0"/>
                <w:sz w:val="21"/>
                <w:szCs w:val="21"/>
                <w:highlight w:val="none"/>
              </w:rPr>
              <w:t>以“投标人不良行为信息量化记分”低的优先；</w:t>
            </w:r>
            <w:r>
              <w:rPr>
                <w:rFonts w:hint="eastAsia" w:asciiTheme="minorEastAsia" w:hAnsiTheme="minorEastAsia" w:eastAsiaTheme="minorEastAsia" w:cstheme="minorEastAsia"/>
                <w:spacing w:val="4"/>
                <w:kern w:val="0"/>
                <w:sz w:val="21"/>
                <w:szCs w:val="21"/>
                <w:highlight w:val="none"/>
              </w:rPr>
              <w:t>投标人均在红名单中或</w:t>
            </w:r>
            <w:r>
              <w:rPr>
                <w:rFonts w:hint="eastAsia" w:asciiTheme="minorEastAsia" w:hAnsiTheme="minorEastAsia" w:eastAsiaTheme="minorEastAsia" w:cstheme="minorEastAsia"/>
                <w:kern w:val="0"/>
                <w:sz w:val="21"/>
                <w:szCs w:val="21"/>
                <w:highlight w:val="none"/>
              </w:rPr>
              <w:t>“投标人不良行为信息量化记分”相等的</w:t>
            </w:r>
            <w:r>
              <w:rPr>
                <w:rFonts w:hint="eastAsia" w:asciiTheme="minorEastAsia" w:hAnsiTheme="minorEastAsia" w:eastAsiaTheme="minorEastAsia" w:cstheme="minorEastAsia"/>
                <w:spacing w:val="4"/>
                <w:kern w:val="0"/>
                <w:sz w:val="21"/>
                <w:szCs w:val="21"/>
                <w:highlight w:val="none"/>
              </w:rPr>
              <w:t>，由评标委员会按照</w:t>
            </w:r>
            <w:r>
              <w:rPr>
                <w:rFonts w:hint="eastAsia" w:asciiTheme="minorEastAsia" w:hAnsiTheme="minorEastAsia" w:eastAsiaTheme="minorEastAsia" w:cstheme="minorEastAsia"/>
                <w:spacing w:val="4"/>
                <w:kern w:val="0"/>
                <w:sz w:val="21"/>
                <w:szCs w:val="21"/>
                <w:highlight w:val="none"/>
                <w:u w:val="single"/>
              </w:rPr>
              <w:t xml:space="preserve">         </w:t>
            </w:r>
            <w:r>
              <w:rPr>
                <w:rFonts w:hint="eastAsia" w:asciiTheme="minorEastAsia" w:hAnsiTheme="minorEastAsia" w:eastAsiaTheme="minorEastAsia" w:cstheme="minorEastAsia"/>
                <w:spacing w:val="4"/>
                <w:kern w:val="0"/>
                <w:sz w:val="21"/>
                <w:szCs w:val="21"/>
                <w:highlight w:val="none"/>
              </w:rPr>
              <w:t>原则排序。</w:t>
            </w:r>
            <w:r>
              <w:rPr>
                <w:rFonts w:hint="eastAsia" w:asciiTheme="minorEastAsia" w:hAnsiTheme="minorEastAsia" w:eastAsiaTheme="minorEastAsia" w:cstheme="minorEastAsia"/>
                <w:i/>
                <w:spacing w:val="4"/>
                <w:kern w:val="0"/>
                <w:sz w:val="21"/>
                <w:szCs w:val="21"/>
                <w:highlight w:val="none"/>
              </w:rPr>
              <w:t>[提示：由招标人事先在招标文件中按照有利于合同履行的原则确定</w:t>
            </w:r>
            <w:r>
              <w:rPr>
                <w:rFonts w:hint="eastAsia" w:asciiTheme="minorEastAsia" w:hAnsiTheme="minorEastAsia" w:eastAsiaTheme="minorEastAsia" w:cstheme="minorEastAsia"/>
                <w:i/>
                <w:color w:val="auto"/>
                <w:spacing w:val="4"/>
                <w:kern w:val="0"/>
                <w:sz w:val="21"/>
                <w:szCs w:val="21"/>
                <w:highlight w:val="none"/>
                <w:lang w:eastAsia="zh-CN"/>
              </w:rPr>
              <w:t>，</w:t>
            </w:r>
            <w:r>
              <w:rPr>
                <w:rFonts w:hint="eastAsia" w:asciiTheme="minorEastAsia" w:hAnsiTheme="minorEastAsia" w:eastAsiaTheme="minorEastAsia" w:cstheme="minorEastAsia"/>
                <w:i/>
                <w:color w:val="auto"/>
                <w:spacing w:val="4"/>
                <w:kern w:val="0"/>
                <w:sz w:val="21"/>
                <w:szCs w:val="21"/>
                <w:highlight w:val="none"/>
                <w:lang w:val="en-US" w:eastAsia="zh-CN"/>
              </w:rPr>
              <w:t>但不得采用抽签、摇号方式直接确定中标候选人</w:t>
            </w:r>
            <w:r>
              <w:rPr>
                <w:rFonts w:hint="eastAsia" w:asciiTheme="minorEastAsia" w:hAnsiTheme="minorEastAsia" w:eastAsiaTheme="minorEastAsia" w:cstheme="minorEastAsia"/>
                <w:i/>
                <w:spacing w:val="4"/>
                <w:kern w:val="0"/>
                <w:sz w:val="21"/>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82" w:hRule="atLeast"/>
        </w:trPr>
        <w:tc>
          <w:tcPr>
            <w:tcW w:w="1002" w:type="dxa"/>
            <w:tcBorders>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3.4</w:t>
            </w:r>
          </w:p>
        </w:tc>
        <w:tc>
          <w:tcPr>
            <w:tcW w:w="1438" w:type="dxa"/>
            <w:tcBorders>
              <w:left w:val="single" w:color="auto" w:sz="4" w:space="0"/>
              <w:right w:val="single" w:color="auto" w:sz="4" w:space="0"/>
            </w:tcBorders>
            <w:vAlign w:val="center"/>
          </w:tcPr>
          <w:p>
            <w:pPr>
              <w:keepNext w:val="0"/>
              <w:keepLines w:val="0"/>
              <w:pageBreakBefore w:val="0"/>
              <w:kinsoku/>
              <w:wordWrap/>
              <w:overflowPunct/>
              <w:topLinePunct w:val="0"/>
              <w:bidi w:val="0"/>
              <w:spacing w:line="400" w:lineRule="exact"/>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评标结果</w:t>
            </w:r>
          </w:p>
        </w:tc>
        <w:tc>
          <w:tcPr>
            <w:tcW w:w="7245" w:type="dxa"/>
            <w:gridSpan w:val="2"/>
            <w:tcBorders>
              <w:left w:val="single" w:color="auto" w:sz="4" w:space="0"/>
            </w:tcBorders>
            <w:vAlign w:val="center"/>
          </w:tcPr>
          <w:p>
            <w:pPr>
              <w:keepNext w:val="0"/>
              <w:keepLines w:val="0"/>
              <w:pageBreakBefore w:val="0"/>
              <w:kinsoku/>
              <w:wordWrap/>
              <w:overflowPunct/>
              <w:topLinePunct w:val="0"/>
              <w:autoSpaceDE w:val="0"/>
              <w:autoSpaceDN w:val="0"/>
              <w:bidi w:val="0"/>
              <w:adjustRightInd w:val="0"/>
              <w:snapToGrid w:val="0"/>
              <w:spacing w:line="400" w:lineRule="exact"/>
              <w:ind w:firstLine="420"/>
              <w:jc w:val="left"/>
              <w:textAlignment w:val="auto"/>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w:t>
            </w:r>
            <w:r>
              <w:rPr>
                <w:rFonts w:hint="eastAsia" w:asciiTheme="minorEastAsia" w:hAnsiTheme="minorEastAsia" w:eastAsiaTheme="minorEastAsia" w:cstheme="minorEastAsia"/>
                <w:spacing w:val="-1"/>
                <w:kern w:val="0"/>
                <w:sz w:val="21"/>
                <w:szCs w:val="21"/>
                <w:highlight w:val="none"/>
              </w:rPr>
              <w:t>4</w:t>
            </w:r>
            <w:r>
              <w:rPr>
                <w:rFonts w:hint="eastAsia" w:asciiTheme="minorEastAsia" w:hAnsiTheme="minorEastAsia" w:eastAsiaTheme="minorEastAsia" w:cstheme="minorEastAsia"/>
                <w:kern w:val="0"/>
                <w:sz w:val="21"/>
                <w:szCs w:val="21"/>
                <w:highlight w:val="none"/>
              </w:rPr>
              <w:t>.1 除第二章“投标</w:t>
            </w:r>
            <w:r>
              <w:rPr>
                <w:rFonts w:hint="eastAsia" w:asciiTheme="minorEastAsia" w:hAnsiTheme="minorEastAsia" w:eastAsiaTheme="minorEastAsia" w:cstheme="minorEastAsia"/>
                <w:spacing w:val="1"/>
                <w:kern w:val="0"/>
                <w:sz w:val="21"/>
                <w:szCs w:val="21"/>
                <w:highlight w:val="none"/>
              </w:rPr>
              <w:t>人</w:t>
            </w:r>
            <w:r>
              <w:rPr>
                <w:rFonts w:hint="eastAsia" w:asciiTheme="minorEastAsia" w:hAnsiTheme="minorEastAsia" w:eastAsiaTheme="minorEastAsia" w:cstheme="minorEastAsia"/>
                <w:kern w:val="0"/>
                <w:sz w:val="21"/>
                <w:szCs w:val="21"/>
                <w:highlight w:val="none"/>
              </w:rPr>
              <w:t>须知”前</w:t>
            </w:r>
            <w:r>
              <w:rPr>
                <w:rFonts w:hint="eastAsia" w:asciiTheme="minorEastAsia" w:hAnsiTheme="minorEastAsia" w:eastAsiaTheme="minorEastAsia" w:cstheme="minorEastAsia"/>
                <w:spacing w:val="1"/>
                <w:kern w:val="0"/>
                <w:sz w:val="21"/>
                <w:szCs w:val="21"/>
                <w:highlight w:val="none"/>
              </w:rPr>
              <w:t>附</w:t>
            </w:r>
            <w:r>
              <w:rPr>
                <w:rFonts w:hint="eastAsia" w:asciiTheme="minorEastAsia" w:hAnsiTheme="minorEastAsia" w:eastAsiaTheme="minorEastAsia" w:cstheme="minorEastAsia"/>
                <w:kern w:val="0"/>
                <w:sz w:val="21"/>
                <w:szCs w:val="21"/>
                <w:highlight w:val="none"/>
              </w:rPr>
              <w:t>表授权直</w:t>
            </w:r>
            <w:r>
              <w:rPr>
                <w:rFonts w:hint="eastAsia" w:asciiTheme="minorEastAsia" w:hAnsiTheme="minorEastAsia" w:eastAsiaTheme="minorEastAsia" w:cstheme="minorEastAsia"/>
                <w:spacing w:val="1"/>
                <w:kern w:val="0"/>
                <w:sz w:val="21"/>
                <w:szCs w:val="21"/>
                <w:highlight w:val="none"/>
              </w:rPr>
              <w:t>接</w:t>
            </w:r>
            <w:r>
              <w:rPr>
                <w:rFonts w:hint="eastAsia" w:asciiTheme="minorEastAsia" w:hAnsiTheme="minorEastAsia" w:eastAsiaTheme="minorEastAsia" w:cstheme="minorEastAsia"/>
                <w:kern w:val="0"/>
                <w:sz w:val="21"/>
                <w:szCs w:val="21"/>
                <w:highlight w:val="none"/>
              </w:rPr>
              <w:t>确定中标</w:t>
            </w:r>
            <w:r>
              <w:rPr>
                <w:rFonts w:hint="eastAsia" w:asciiTheme="minorEastAsia" w:hAnsiTheme="minorEastAsia" w:eastAsiaTheme="minorEastAsia" w:cstheme="minorEastAsia"/>
                <w:spacing w:val="1"/>
                <w:kern w:val="0"/>
                <w:sz w:val="21"/>
                <w:szCs w:val="21"/>
                <w:highlight w:val="none"/>
              </w:rPr>
              <w:t>人</w:t>
            </w:r>
            <w:r>
              <w:rPr>
                <w:rFonts w:hint="eastAsia" w:asciiTheme="minorEastAsia" w:hAnsiTheme="minorEastAsia" w:eastAsiaTheme="minorEastAsia" w:cstheme="minorEastAsia"/>
                <w:kern w:val="0"/>
                <w:sz w:val="21"/>
                <w:szCs w:val="21"/>
                <w:highlight w:val="none"/>
              </w:rPr>
              <w:t>外，评标</w:t>
            </w:r>
            <w:r>
              <w:rPr>
                <w:rFonts w:hint="eastAsia" w:asciiTheme="minorEastAsia" w:hAnsiTheme="minorEastAsia" w:eastAsiaTheme="minorEastAsia" w:cstheme="minorEastAsia"/>
                <w:spacing w:val="1"/>
                <w:kern w:val="0"/>
                <w:sz w:val="21"/>
                <w:szCs w:val="21"/>
                <w:highlight w:val="none"/>
              </w:rPr>
              <w:t>委</w:t>
            </w:r>
            <w:r>
              <w:rPr>
                <w:rFonts w:hint="eastAsia" w:asciiTheme="minorEastAsia" w:hAnsiTheme="minorEastAsia" w:eastAsiaTheme="minorEastAsia" w:cstheme="minorEastAsia"/>
                <w:kern w:val="0"/>
                <w:sz w:val="21"/>
                <w:szCs w:val="21"/>
                <w:highlight w:val="none"/>
              </w:rPr>
              <w:t>员会按经评审的最低投标价法推荐中标候选人。</w:t>
            </w:r>
          </w:p>
          <w:p>
            <w:pPr>
              <w:keepNext w:val="0"/>
              <w:keepLines w:val="0"/>
              <w:pageBreakBefore w:val="0"/>
              <w:kinsoku/>
              <w:wordWrap/>
              <w:overflowPunct/>
              <w:topLinePunct w:val="0"/>
              <w:bidi w:val="0"/>
              <w:spacing w:line="400" w:lineRule="exact"/>
              <w:ind w:firstLine="424"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1"/>
                <w:kern w:val="0"/>
                <w:sz w:val="21"/>
                <w:szCs w:val="21"/>
                <w:highlight w:val="none"/>
              </w:rPr>
              <w:t>3</w:t>
            </w:r>
            <w:r>
              <w:rPr>
                <w:rFonts w:hint="eastAsia" w:asciiTheme="minorEastAsia" w:hAnsiTheme="minorEastAsia" w:eastAsiaTheme="minorEastAsia" w:cstheme="minorEastAsia"/>
                <w:kern w:val="0"/>
                <w:sz w:val="21"/>
                <w:szCs w:val="21"/>
                <w:highlight w:val="none"/>
              </w:rPr>
              <w:t>.4.2 评标</w:t>
            </w:r>
            <w:r>
              <w:rPr>
                <w:rFonts w:hint="eastAsia" w:asciiTheme="minorEastAsia" w:hAnsiTheme="minorEastAsia" w:eastAsiaTheme="minorEastAsia" w:cstheme="minorEastAsia"/>
                <w:spacing w:val="-1"/>
                <w:kern w:val="0"/>
                <w:sz w:val="21"/>
                <w:szCs w:val="21"/>
                <w:highlight w:val="none"/>
              </w:rPr>
              <w:t>委</w:t>
            </w:r>
            <w:r>
              <w:rPr>
                <w:rFonts w:hint="eastAsia" w:asciiTheme="minorEastAsia" w:hAnsiTheme="minorEastAsia" w:eastAsiaTheme="minorEastAsia" w:cstheme="minorEastAsia"/>
                <w:kern w:val="0"/>
                <w:sz w:val="21"/>
                <w:szCs w:val="21"/>
                <w:highlight w:val="none"/>
              </w:rPr>
              <w:t>员会完成评标后，应当向招标人提交书面评标报告。</w:t>
            </w:r>
          </w:p>
        </w:tc>
      </w:tr>
    </w:tbl>
    <w:p>
      <w:pPr>
        <w:keepNext/>
        <w:keepLines/>
        <w:spacing w:line="360" w:lineRule="auto"/>
        <w:outlineLvl w:val="1"/>
        <w:rPr>
          <w:rFonts w:ascii="宋体" w:hAnsi="宋体"/>
          <w:b/>
          <w:snapToGrid w:val="0"/>
          <w:sz w:val="32"/>
          <w:szCs w:val="32"/>
          <w:highlight w:val="none"/>
        </w:rPr>
      </w:pPr>
      <w:r>
        <w:rPr>
          <w:rFonts w:ascii="宋体" w:hAnsi="宋体"/>
          <w:b/>
          <w:snapToGrid w:val="0"/>
          <w:sz w:val="32"/>
          <w:szCs w:val="32"/>
          <w:highlight w:val="none"/>
        </w:rPr>
        <w:br w:type="page"/>
      </w:r>
      <w:bookmarkStart w:id="1166" w:name="_Toc8403"/>
      <w:bookmarkStart w:id="1167" w:name="_Toc13302"/>
      <w:bookmarkStart w:id="1168" w:name="_Toc71624434"/>
      <w:bookmarkStart w:id="1169" w:name="_Toc12129"/>
      <w:bookmarkStart w:id="1170" w:name="_Toc58860123"/>
      <w:bookmarkStart w:id="1171" w:name="_Toc75857060"/>
      <w:bookmarkStart w:id="1172" w:name="_Toc13962"/>
      <w:bookmarkStart w:id="1173" w:name="_Toc16562"/>
      <w:r>
        <w:rPr>
          <w:rFonts w:ascii="宋体" w:hAnsi="宋体"/>
          <w:bCs/>
          <w:snapToGrid w:val="0"/>
          <w:sz w:val="32"/>
          <w:szCs w:val="32"/>
          <w:highlight w:val="none"/>
        </w:rPr>
        <w:t>1.  评标方法</w:t>
      </w:r>
      <w:bookmarkEnd w:id="1166"/>
      <w:bookmarkEnd w:id="1167"/>
      <w:bookmarkEnd w:id="1168"/>
      <w:bookmarkEnd w:id="1169"/>
      <w:bookmarkEnd w:id="1170"/>
      <w:bookmarkEnd w:id="1171"/>
      <w:bookmarkEnd w:id="1172"/>
      <w:bookmarkEnd w:id="1173"/>
    </w:p>
    <w:p>
      <w:pPr>
        <w:spacing w:line="360" w:lineRule="auto"/>
        <w:ind w:firstLine="420" w:firstLineChars="200"/>
        <w:rPr>
          <w:rFonts w:ascii="宋体" w:hAnsi="宋体"/>
          <w:highlight w:val="none"/>
        </w:rPr>
      </w:pPr>
      <w:r>
        <w:rPr>
          <w:rFonts w:hint="eastAsia" w:ascii="宋体" w:hAnsi="宋体"/>
          <w:highlight w:val="none"/>
        </w:rPr>
        <w:t>本次评标采用经评审的最低投标价法，评标委员会按照本章第2.1款进行报价排序，按照本章第2.2款进行符合性审查，符合性审查合格的投标人中按报价由低到高推荐中标候选人，或根据招标人授权直接确定中标人。若出现投标人投标报价相同的，以评标办法前附表约定的原则确定排序。</w:t>
      </w:r>
    </w:p>
    <w:p>
      <w:pPr>
        <w:keepNext/>
        <w:keepLines/>
        <w:spacing w:line="360" w:lineRule="auto"/>
        <w:outlineLvl w:val="1"/>
        <w:rPr>
          <w:rFonts w:ascii="宋体" w:hAnsi="宋体"/>
          <w:bCs/>
          <w:snapToGrid w:val="0"/>
          <w:sz w:val="32"/>
          <w:szCs w:val="32"/>
          <w:highlight w:val="none"/>
        </w:rPr>
      </w:pPr>
      <w:bookmarkStart w:id="1174" w:name="_Toc10691"/>
      <w:bookmarkStart w:id="1175" w:name="_Toc58860124"/>
      <w:bookmarkStart w:id="1176" w:name="_Toc7622"/>
      <w:bookmarkStart w:id="1177" w:name="_Toc71624435"/>
      <w:bookmarkStart w:id="1178" w:name="_Toc27210"/>
      <w:bookmarkStart w:id="1179" w:name="_Toc16022"/>
      <w:bookmarkStart w:id="1180" w:name="_Toc13025"/>
      <w:bookmarkStart w:id="1181" w:name="_Toc75857061"/>
      <w:r>
        <w:rPr>
          <w:rFonts w:ascii="宋体" w:hAnsi="宋体"/>
          <w:bCs/>
          <w:snapToGrid w:val="0"/>
          <w:sz w:val="32"/>
          <w:szCs w:val="32"/>
          <w:highlight w:val="none"/>
        </w:rPr>
        <w:t>2.  评审标准</w:t>
      </w:r>
      <w:bookmarkEnd w:id="1174"/>
      <w:bookmarkEnd w:id="1175"/>
      <w:bookmarkEnd w:id="1176"/>
      <w:bookmarkEnd w:id="1177"/>
      <w:bookmarkEnd w:id="1178"/>
      <w:bookmarkEnd w:id="1179"/>
      <w:bookmarkEnd w:id="1180"/>
      <w:bookmarkEnd w:id="1181"/>
    </w:p>
    <w:p>
      <w:pPr>
        <w:keepNext/>
        <w:keepLines/>
        <w:spacing w:line="360" w:lineRule="auto"/>
        <w:outlineLvl w:val="2"/>
        <w:rPr>
          <w:rFonts w:ascii="宋体" w:hAnsi="宋体" w:cs="宋体"/>
          <w:b/>
          <w:bCs/>
          <w:szCs w:val="21"/>
          <w:highlight w:val="none"/>
        </w:rPr>
      </w:pPr>
      <w:bookmarkStart w:id="1182" w:name="_Toc75857062"/>
      <w:bookmarkStart w:id="1183" w:name="_Toc13755"/>
      <w:bookmarkStart w:id="1184" w:name="_Toc2979"/>
      <w:bookmarkStart w:id="1185" w:name="_Toc58860125"/>
      <w:bookmarkStart w:id="1186" w:name="_Toc21087"/>
      <w:bookmarkStart w:id="1187" w:name="_Toc25904"/>
      <w:bookmarkStart w:id="1188" w:name="_Toc71624436"/>
      <w:bookmarkStart w:id="1189" w:name="_Toc24066"/>
      <w:r>
        <w:rPr>
          <w:rFonts w:ascii="宋体" w:hAnsi="宋体" w:cs="宋体"/>
          <w:b/>
          <w:bCs/>
          <w:szCs w:val="21"/>
          <w:highlight w:val="none"/>
        </w:rPr>
        <w:t>2.1</w:t>
      </w:r>
      <w:r>
        <w:rPr>
          <w:rFonts w:hint="eastAsia" w:ascii="宋体" w:hAnsi="宋体" w:cs="宋体"/>
          <w:b/>
          <w:bCs/>
          <w:szCs w:val="21"/>
          <w:highlight w:val="none"/>
        </w:rPr>
        <w:t>报价</w:t>
      </w:r>
      <w:r>
        <w:rPr>
          <w:rFonts w:ascii="宋体" w:hAnsi="宋体" w:cs="宋体"/>
          <w:b/>
          <w:bCs/>
          <w:szCs w:val="21"/>
          <w:highlight w:val="none"/>
        </w:rPr>
        <w:t>排序</w:t>
      </w:r>
      <w:r>
        <w:rPr>
          <w:rFonts w:hint="eastAsia" w:ascii="宋体" w:hAnsi="宋体" w:cs="宋体"/>
          <w:b/>
          <w:bCs/>
          <w:szCs w:val="21"/>
          <w:highlight w:val="none"/>
        </w:rPr>
        <w:t>标准</w:t>
      </w:r>
      <w:bookmarkEnd w:id="1182"/>
      <w:bookmarkEnd w:id="1183"/>
      <w:bookmarkEnd w:id="1184"/>
      <w:bookmarkEnd w:id="1185"/>
      <w:bookmarkEnd w:id="1186"/>
      <w:bookmarkEnd w:id="1187"/>
      <w:bookmarkEnd w:id="1188"/>
      <w:bookmarkEnd w:id="1189"/>
    </w:p>
    <w:p>
      <w:pPr>
        <w:autoSpaceDE w:val="0"/>
        <w:autoSpaceDN w:val="0"/>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见评标办法前附表。</w:t>
      </w:r>
    </w:p>
    <w:p>
      <w:pPr>
        <w:keepNext/>
        <w:keepLines/>
        <w:spacing w:line="360" w:lineRule="auto"/>
        <w:outlineLvl w:val="2"/>
        <w:rPr>
          <w:rFonts w:ascii="宋体" w:hAnsi="宋体" w:cs="宋体"/>
          <w:b/>
          <w:bCs/>
          <w:szCs w:val="21"/>
          <w:highlight w:val="none"/>
        </w:rPr>
      </w:pPr>
      <w:bookmarkStart w:id="1190" w:name="_Toc75857063"/>
      <w:bookmarkStart w:id="1191" w:name="_Toc71624437"/>
      <w:bookmarkStart w:id="1192" w:name="_Toc28895"/>
      <w:bookmarkStart w:id="1193" w:name="_Toc26482"/>
      <w:bookmarkStart w:id="1194" w:name="_Toc23708"/>
      <w:bookmarkStart w:id="1195" w:name="_Toc30860"/>
      <w:bookmarkStart w:id="1196" w:name="_Toc58860126"/>
      <w:bookmarkStart w:id="1197" w:name="_Toc4353"/>
      <w:r>
        <w:rPr>
          <w:rFonts w:ascii="宋体" w:hAnsi="宋体" w:cs="宋体"/>
          <w:b/>
          <w:bCs/>
          <w:szCs w:val="21"/>
          <w:highlight w:val="none"/>
        </w:rPr>
        <w:t>2.</w:t>
      </w:r>
      <w:r>
        <w:rPr>
          <w:rFonts w:hint="eastAsia" w:ascii="宋体" w:hAnsi="宋体" w:cs="宋体"/>
          <w:b/>
          <w:bCs/>
          <w:szCs w:val="21"/>
          <w:highlight w:val="none"/>
        </w:rPr>
        <w:t>2符合性审查标准</w:t>
      </w:r>
      <w:bookmarkEnd w:id="1190"/>
      <w:bookmarkEnd w:id="1191"/>
      <w:bookmarkEnd w:id="1192"/>
      <w:bookmarkEnd w:id="1193"/>
      <w:bookmarkEnd w:id="1194"/>
      <w:bookmarkEnd w:id="1195"/>
      <w:bookmarkEnd w:id="1196"/>
      <w:bookmarkEnd w:id="1197"/>
    </w:p>
    <w:p>
      <w:pPr>
        <w:autoSpaceDE w:val="0"/>
        <w:autoSpaceDN w:val="0"/>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评标委员会按评标办法前附表约定的投标单位报价排序数量进行符合性审查</w:t>
      </w:r>
      <w:r>
        <w:rPr>
          <w:rFonts w:hint="eastAsia" w:ascii="宋体" w:hAnsi="宋体" w:cs="宋体"/>
          <w:spacing w:val="4"/>
          <w:kern w:val="0"/>
          <w:szCs w:val="21"/>
          <w:highlight w:val="none"/>
        </w:rPr>
        <w:t>。</w:t>
      </w:r>
      <w:r>
        <w:rPr>
          <w:rFonts w:hint="eastAsia" w:ascii="宋体" w:hAnsi="宋体"/>
          <w:spacing w:val="4"/>
          <w:kern w:val="0"/>
          <w:szCs w:val="21"/>
          <w:highlight w:val="none"/>
        </w:rPr>
        <w:t>符合性审查内容：技术部分评审（如有）、资格评审、形式评审、响应性、投标函部分评审</w:t>
      </w:r>
      <w:r>
        <w:rPr>
          <w:rFonts w:hint="eastAsia" w:ascii="宋体" w:hAnsi="宋体" w:cs="宋体"/>
          <w:szCs w:val="21"/>
          <w:highlight w:val="none"/>
        </w:rPr>
        <w:t>。</w:t>
      </w:r>
    </w:p>
    <w:p>
      <w:pPr>
        <w:autoSpaceDE w:val="0"/>
        <w:autoSpaceDN w:val="0"/>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2.2.1  技术部分评审标准：见评标办法前附表。</w:t>
      </w:r>
    </w:p>
    <w:p>
      <w:pPr>
        <w:autoSpaceDE w:val="0"/>
        <w:autoSpaceDN w:val="0"/>
        <w:adjustRightInd w:val="0"/>
        <w:snapToGrid w:val="0"/>
        <w:spacing w:line="360" w:lineRule="auto"/>
        <w:ind w:firstLine="420" w:firstLineChars="200"/>
        <w:jc w:val="left"/>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2</w:t>
      </w:r>
      <w:r>
        <w:rPr>
          <w:rFonts w:ascii="宋体" w:hAnsi="宋体" w:cs="宋体"/>
          <w:szCs w:val="21"/>
          <w:highlight w:val="none"/>
        </w:rPr>
        <w:t>.</w:t>
      </w:r>
      <w:r>
        <w:rPr>
          <w:rFonts w:hint="eastAsia" w:ascii="宋体" w:hAnsi="宋体" w:cs="宋体"/>
          <w:szCs w:val="21"/>
          <w:highlight w:val="none"/>
        </w:rPr>
        <w:t>2A  资格评审标准：见资格预审文件第三章“资格审查办法”详细审查标准（适用于已进行资格预审的）。</w:t>
      </w:r>
    </w:p>
    <w:p>
      <w:pPr>
        <w:autoSpaceDE w:val="0"/>
        <w:autoSpaceDN w:val="0"/>
        <w:adjustRightInd w:val="0"/>
        <w:snapToGrid w:val="0"/>
        <w:spacing w:line="360" w:lineRule="auto"/>
        <w:ind w:firstLine="420" w:firstLineChars="200"/>
        <w:jc w:val="left"/>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2</w:t>
      </w:r>
      <w:r>
        <w:rPr>
          <w:rFonts w:ascii="宋体" w:hAnsi="宋体" w:cs="宋体"/>
          <w:szCs w:val="21"/>
          <w:highlight w:val="none"/>
        </w:rPr>
        <w:t>.</w:t>
      </w:r>
      <w:r>
        <w:rPr>
          <w:rFonts w:hint="eastAsia" w:ascii="宋体" w:hAnsi="宋体" w:cs="宋体"/>
          <w:szCs w:val="21"/>
          <w:highlight w:val="none"/>
        </w:rPr>
        <w:t>2B  资格评审标准：见评标办法前附表（适用于未进行资格预审的）。</w:t>
      </w:r>
    </w:p>
    <w:p>
      <w:pPr>
        <w:autoSpaceDE w:val="0"/>
        <w:autoSpaceDN w:val="0"/>
        <w:adjustRightInd w:val="0"/>
        <w:snapToGrid w:val="0"/>
        <w:spacing w:line="360" w:lineRule="auto"/>
        <w:ind w:firstLine="420" w:firstLineChars="200"/>
        <w:jc w:val="left"/>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2</w:t>
      </w:r>
      <w:r>
        <w:rPr>
          <w:rFonts w:ascii="宋体" w:hAnsi="宋体" w:cs="宋体"/>
          <w:szCs w:val="21"/>
          <w:highlight w:val="none"/>
        </w:rPr>
        <w:t>.</w:t>
      </w:r>
      <w:r>
        <w:rPr>
          <w:rFonts w:hint="eastAsia" w:ascii="宋体" w:hAnsi="宋体" w:cs="宋体"/>
          <w:szCs w:val="21"/>
          <w:highlight w:val="none"/>
        </w:rPr>
        <w:t>3  形式评审标准：见评标办法前附表。</w:t>
      </w:r>
    </w:p>
    <w:p>
      <w:pPr>
        <w:autoSpaceDE w:val="0"/>
        <w:autoSpaceDN w:val="0"/>
        <w:adjustRightInd w:val="0"/>
        <w:snapToGrid w:val="0"/>
        <w:spacing w:line="360" w:lineRule="auto"/>
        <w:ind w:firstLine="420" w:firstLineChars="200"/>
        <w:jc w:val="left"/>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2</w:t>
      </w:r>
      <w:r>
        <w:rPr>
          <w:rFonts w:ascii="宋体" w:hAnsi="宋体" w:cs="宋体"/>
          <w:szCs w:val="21"/>
          <w:highlight w:val="none"/>
        </w:rPr>
        <w:t>.</w:t>
      </w:r>
      <w:r>
        <w:rPr>
          <w:rFonts w:hint="eastAsia" w:ascii="宋体" w:hAnsi="宋体" w:cs="宋体"/>
          <w:szCs w:val="21"/>
          <w:highlight w:val="none"/>
        </w:rPr>
        <w:t>4  响应性评审标准：见评标办法前附表。</w:t>
      </w:r>
    </w:p>
    <w:p>
      <w:pPr>
        <w:autoSpaceDE w:val="0"/>
        <w:autoSpaceDN w:val="0"/>
        <w:adjustRightInd w:val="0"/>
        <w:snapToGri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2.2.5  投标函部分评审标准：见评标办法前附表。</w:t>
      </w:r>
    </w:p>
    <w:p>
      <w:pPr>
        <w:keepNext/>
        <w:keepLines/>
        <w:spacing w:line="360" w:lineRule="auto"/>
        <w:outlineLvl w:val="1"/>
        <w:rPr>
          <w:rFonts w:ascii="宋体" w:hAnsi="宋体"/>
          <w:bCs/>
          <w:snapToGrid w:val="0"/>
          <w:sz w:val="32"/>
          <w:szCs w:val="32"/>
          <w:highlight w:val="none"/>
        </w:rPr>
      </w:pPr>
      <w:bookmarkStart w:id="1198" w:name="_Toc14659"/>
      <w:bookmarkStart w:id="1199" w:name="_Toc58860127"/>
      <w:bookmarkStart w:id="1200" w:name="_Toc6882"/>
      <w:bookmarkStart w:id="1201" w:name="_Toc75857064"/>
      <w:bookmarkStart w:id="1202" w:name="_Toc71624438"/>
      <w:bookmarkStart w:id="1203" w:name="_Toc20731"/>
      <w:bookmarkStart w:id="1204" w:name="_Toc3728"/>
      <w:bookmarkStart w:id="1205" w:name="_Toc25417"/>
      <w:r>
        <w:rPr>
          <w:rFonts w:ascii="宋体" w:hAnsi="宋体"/>
          <w:bCs/>
          <w:snapToGrid w:val="0"/>
          <w:sz w:val="32"/>
          <w:szCs w:val="32"/>
          <w:highlight w:val="none"/>
        </w:rPr>
        <w:t>3.  评标程序</w:t>
      </w:r>
      <w:bookmarkEnd w:id="1198"/>
      <w:bookmarkEnd w:id="1199"/>
      <w:bookmarkEnd w:id="1200"/>
      <w:bookmarkEnd w:id="1201"/>
      <w:bookmarkEnd w:id="1202"/>
      <w:bookmarkEnd w:id="1203"/>
      <w:bookmarkEnd w:id="1204"/>
      <w:bookmarkEnd w:id="1205"/>
    </w:p>
    <w:p>
      <w:pPr>
        <w:keepNext/>
        <w:keepLines/>
        <w:spacing w:line="360" w:lineRule="auto"/>
        <w:outlineLvl w:val="2"/>
        <w:rPr>
          <w:rFonts w:ascii="宋体" w:hAnsi="宋体" w:cs="宋体"/>
          <w:b/>
          <w:bCs/>
          <w:szCs w:val="21"/>
          <w:highlight w:val="none"/>
        </w:rPr>
      </w:pPr>
      <w:bookmarkStart w:id="1206" w:name="_Toc71624439"/>
      <w:bookmarkStart w:id="1207" w:name="_Toc58860128"/>
      <w:bookmarkStart w:id="1208" w:name="_Toc75857065"/>
      <w:bookmarkStart w:id="1209" w:name="_Toc24788"/>
      <w:bookmarkStart w:id="1210" w:name="_Toc5505"/>
      <w:bookmarkStart w:id="1211" w:name="_Toc31834"/>
      <w:bookmarkStart w:id="1212" w:name="_Toc23962"/>
      <w:bookmarkStart w:id="1213" w:name="_Toc22799"/>
      <w:r>
        <w:rPr>
          <w:rFonts w:ascii="宋体" w:hAnsi="宋体" w:cs="宋体"/>
          <w:b/>
          <w:bCs/>
          <w:szCs w:val="21"/>
          <w:highlight w:val="none"/>
        </w:rPr>
        <w:t>3.1</w:t>
      </w:r>
      <w:r>
        <w:rPr>
          <w:rFonts w:hint="eastAsia" w:ascii="宋体" w:hAnsi="宋体" w:cs="宋体"/>
          <w:b/>
          <w:bCs/>
          <w:szCs w:val="21"/>
          <w:highlight w:val="none"/>
        </w:rPr>
        <w:t>报价排序</w:t>
      </w:r>
      <w:bookmarkEnd w:id="1206"/>
      <w:bookmarkEnd w:id="1207"/>
      <w:bookmarkEnd w:id="1208"/>
      <w:bookmarkEnd w:id="1209"/>
      <w:bookmarkEnd w:id="1210"/>
      <w:bookmarkEnd w:id="1211"/>
      <w:bookmarkEnd w:id="1212"/>
      <w:bookmarkEnd w:id="1213"/>
    </w:p>
    <w:p>
      <w:pPr>
        <w:spacing w:line="360" w:lineRule="auto"/>
        <w:ind w:firstLine="413" w:firstLineChars="197"/>
        <w:rPr>
          <w:rFonts w:ascii="宋体" w:hAnsi="宋体" w:cs="宋体"/>
          <w:szCs w:val="21"/>
          <w:highlight w:val="none"/>
        </w:rPr>
      </w:pPr>
      <w:r>
        <w:rPr>
          <w:rFonts w:hint="eastAsia" w:ascii="宋体" w:hAnsi="宋体" w:cs="宋体"/>
          <w:szCs w:val="21"/>
          <w:highlight w:val="none"/>
        </w:rPr>
        <w:t>对报价不高于最高限价的所有投标人的投标文件，按照报价由低到高的顺序排序。需技术部分评审的，由电子评标系统对技术部分进行自动随机编号。在投标函部分评审前，推送给评标委员会的投标文件不得显示排序。</w:t>
      </w:r>
    </w:p>
    <w:p>
      <w:pPr>
        <w:keepNext/>
        <w:keepLines/>
        <w:spacing w:line="360" w:lineRule="auto"/>
        <w:outlineLvl w:val="2"/>
        <w:rPr>
          <w:rFonts w:ascii="宋体" w:hAnsi="宋体" w:cs="宋体"/>
          <w:b/>
          <w:bCs/>
          <w:szCs w:val="21"/>
          <w:highlight w:val="none"/>
        </w:rPr>
      </w:pPr>
      <w:bookmarkStart w:id="1214" w:name="_Toc58860129"/>
      <w:bookmarkStart w:id="1215" w:name="_Toc1712"/>
      <w:bookmarkStart w:id="1216" w:name="_Toc71624440"/>
      <w:bookmarkStart w:id="1217" w:name="_Toc783"/>
      <w:bookmarkStart w:id="1218" w:name="_Toc30189"/>
      <w:bookmarkStart w:id="1219" w:name="_Toc75857066"/>
      <w:bookmarkStart w:id="1220" w:name="_Toc18220"/>
      <w:bookmarkStart w:id="1221" w:name="_Toc377"/>
      <w:r>
        <w:rPr>
          <w:rFonts w:ascii="宋体" w:hAnsi="宋体" w:cs="宋体"/>
          <w:b/>
          <w:bCs/>
          <w:szCs w:val="21"/>
          <w:highlight w:val="none"/>
        </w:rPr>
        <w:t>3.</w:t>
      </w:r>
      <w:r>
        <w:rPr>
          <w:rFonts w:hint="eastAsia" w:ascii="宋体" w:hAnsi="宋体" w:cs="宋体"/>
          <w:b/>
          <w:bCs/>
          <w:szCs w:val="21"/>
          <w:highlight w:val="none"/>
        </w:rPr>
        <w:t>2符合性审查</w:t>
      </w:r>
      <w:bookmarkEnd w:id="1214"/>
      <w:bookmarkEnd w:id="1215"/>
      <w:bookmarkEnd w:id="1216"/>
      <w:bookmarkEnd w:id="1217"/>
      <w:bookmarkEnd w:id="1218"/>
      <w:bookmarkEnd w:id="1219"/>
      <w:bookmarkEnd w:id="1220"/>
      <w:bookmarkEnd w:id="1221"/>
    </w:p>
    <w:p>
      <w:pPr>
        <w:spacing w:line="360" w:lineRule="auto"/>
        <w:ind w:firstLine="413" w:firstLineChars="197"/>
        <w:rPr>
          <w:rFonts w:ascii="宋体" w:hAnsi="宋体" w:cs="宋体"/>
          <w:szCs w:val="21"/>
          <w:highlight w:val="none"/>
        </w:rPr>
      </w:pPr>
      <w:r>
        <w:rPr>
          <w:rFonts w:ascii="宋体" w:hAnsi="宋体" w:cs="宋体"/>
          <w:szCs w:val="21"/>
          <w:highlight w:val="none"/>
        </w:rPr>
        <w:t>3.</w:t>
      </w:r>
      <w:r>
        <w:rPr>
          <w:rFonts w:hint="eastAsia" w:ascii="宋体" w:hAnsi="宋体" w:cs="宋体"/>
          <w:szCs w:val="21"/>
          <w:highlight w:val="none"/>
        </w:rPr>
        <w:t>2</w:t>
      </w:r>
      <w:r>
        <w:rPr>
          <w:rFonts w:ascii="宋体" w:hAnsi="宋体" w:cs="宋体"/>
          <w:szCs w:val="21"/>
          <w:highlight w:val="none"/>
        </w:rPr>
        <w:t>.1评标委员会依据本章第2.</w:t>
      </w:r>
      <w:r>
        <w:rPr>
          <w:rFonts w:hint="eastAsia" w:ascii="宋体" w:hAnsi="宋体" w:cs="宋体"/>
          <w:szCs w:val="21"/>
          <w:highlight w:val="none"/>
        </w:rPr>
        <w:t>2</w:t>
      </w:r>
      <w:r>
        <w:rPr>
          <w:rFonts w:ascii="宋体" w:hAnsi="宋体" w:cs="宋体"/>
          <w:szCs w:val="21"/>
          <w:highlight w:val="none"/>
        </w:rPr>
        <w:t xml:space="preserve"> </w:t>
      </w:r>
      <w:r>
        <w:rPr>
          <w:rFonts w:hint="eastAsia" w:ascii="宋体" w:hAnsi="宋体" w:cs="宋体"/>
          <w:szCs w:val="21"/>
          <w:highlight w:val="none"/>
        </w:rPr>
        <w:t>款规定的标准对投标文件进行符合性审查。符合性审查顺序：技术部分评审（如有）、资格评审、形式评审、响应性、投标函部分评审。</w:t>
      </w:r>
    </w:p>
    <w:p>
      <w:pPr>
        <w:spacing w:line="360" w:lineRule="auto"/>
        <w:ind w:firstLine="413" w:firstLineChars="197"/>
        <w:rPr>
          <w:rFonts w:ascii="宋体" w:hAnsi="宋体" w:cs="宋体"/>
          <w:szCs w:val="21"/>
          <w:highlight w:val="none"/>
        </w:rPr>
      </w:pPr>
      <w:r>
        <w:rPr>
          <w:rFonts w:hint="eastAsia" w:ascii="宋体" w:hAnsi="宋体" w:cs="宋体"/>
          <w:szCs w:val="21"/>
          <w:highlight w:val="none"/>
        </w:rPr>
        <w:t>勾选技术部分评审的，符合性审查应首先进行技术部分审查，再按照资格、形式、响应性、投标函部分的顺序进行评审。有一项不符合评审标准的，作否决投标处理。</w:t>
      </w:r>
    </w:p>
    <w:p>
      <w:pPr>
        <w:spacing w:line="360" w:lineRule="auto"/>
        <w:ind w:firstLine="420" w:firstLineChars="200"/>
        <w:rPr>
          <w:rFonts w:ascii="宋体" w:hAnsi="宋体" w:cs="宋体"/>
          <w:szCs w:val="21"/>
          <w:highlight w:val="none"/>
        </w:rPr>
      </w:pPr>
      <w:r>
        <w:rPr>
          <w:rFonts w:ascii="宋体" w:hAnsi="宋体" w:cs="宋体"/>
          <w:szCs w:val="21"/>
          <w:highlight w:val="none"/>
        </w:rPr>
        <w:t>3.</w:t>
      </w:r>
      <w:r>
        <w:rPr>
          <w:rFonts w:hint="eastAsia" w:ascii="宋体" w:hAnsi="宋体" w:cs="宋体"/>
          <w:szCs w:val="21"/>
          <w:highlight w:val="none"/>
        </w:rPr>
        <w:t>2</w:t>
      </w:r>
      <w:r>
        <w:rPr>
          <w:rFonts w:ascii="宋体" w:hAnsi="宋体" w:cs="宋体"/>
          <w:szCs w:val="21"/>
          <w:highlight w:val="none"/>
        </w:rPr>
        <w:t>.2 投标人有以下情形之一的，</w:t>
      </w:r>
      <w:r>
        <w:rPr>
          <w:rFonts w:hint="eastAsia" w:ascii="宋体" w:hAnsi="宋体" w:cs="宋体"/>
          <w:szCs w:val="21"/>
          <w:highlight w:val="none"/>
        </w:rPr>
        <w:t>其投标文件将被否决：</w:t>
      </w:r>
    </w:p>
    <w:p>
      <w:pPr>
        <w:spacing w:line="360" w:lineRule="auto"/>
        <w:ind w:firstLine="420" w:firstLineChars="200"/>
        <w:rPr>
          <w:rFonts w:ascii="宋体" w:hAnsi="宋体" w:cs="宋体"/>
          <w:szCs w:val="21"/>
          <w:highlight w:val="none"/>
        </w:rPr>
      </w:pPr>
      <w:r>
        <w:rPr>
          <w:rFonts w:ascii="宋体" w:hAnsi="宋体" w:cs="宋体"/>
          <w:szCs w:val="21"/>
          <w:highlight w:val="none"/>
        </w:rPr>
        <w:t>（1）对招标文件的偏差超出招标文件规定的偏差范围或最高项数；</w:t>
      </w:r>
    </w:p>
    <w:p>
      <w:pPr>
        <w:spacing w:line="360" w:lineRule="auto"/>
        <w:ind w:firstLine="420" w:firstLineChars="200"/>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有串通投标、弄虚作假等其他违反招投标相关法律、法规行为的</w:t>
      </w:r>
      <w:r>
        <w:rPr>
          <w:rFonts w:ascii="宋体" w:hAnsi="宋体" w:cs="宋体"/>
          <w:szCs w:val="21"/>
          <w:highlight w:val="none"/>
        </w:rPr>
        <w:t>；</w:t>
      </w:r>
    </w:p>
    <w:p>
      <w:pPr>
        <w:spacing w:line="360" w:lineRule="auto"/>
        <w:ind w:firstLine="420" w:firstLineChars="200"/>
        <w:rPr>
          <w:rFonts w:ascii="宋体" w:hAnsi="宋体" w:cs="宋体"/>
          <w:szCs w:val="21"/>
          <w:highlight w:val="none"/>
        </w:rPr>
      </w:pPr>
      <w:r>
        <w:rPr>
          <w:rFonts w:ascii="宋体" w:hAnsi="宋体" w:cs="宋体"/>
          <w:szCs w:val="21"/>
          <w:highlight w:val="none"/>
        </w:rPr>
        <w:t>（3）</w:t>
      </w:r>
      <w:r>
        <w:rPr>
          <w:rFonts w:hint="eastAsia" w:ascii="宋体" w:hAnsi="宋体" w:cs="宋体"/>
          <w:szCs w:val="21"/>
          <w:highlight w:val="none"/>
        </w:rPr>
        <w:t>拒绝</w:t>
      </w:r>
      <w:r>
        <w:rPr>
          <w:rFonts w:ascii="宋体" w:hAnsi="宋体" w:cs="宋体"/>
          <w:szCs w:val="21"/>
          <w:highlight w:val="none"/>
        </w:rPr>
        <w:t>按评标委员会要求澄清、说明或补正的</w:t>
      </w:r>
      <w:r>
        <w:rPr>
          <w:rFonts w:hint="eastAsia" w:ascii="宋体" w:hAnsi="宋体" w:cs="宋体"/>
          <w:szCs w:val="21"/>
          <w:highlight w:val="none"/>
        </w:rPr>
        <w:t>。</w:t>
      </w:r>
    </w:p>
    <w:p>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3.2.3 </w:t>
      </w:r>
      <w:r>
        <w:rPr>
          <w:rFonts w:ascii="宋体" w:hAnsi="宋体" w:cs="宋体"/>
          <w:szCs w:val="21"/>
          <w:highlight w:val="none"/>
        </w:rPr>
        <w:t>投标报价有算术错误及其他错误的，评标委员会按以下原则要求投标人对投标报价进行修正，并要求投标人书面澄清确认。投标人拒不澄清确认的，评标委员会应当否决其投标：</w:t>
      </w:r>
    </w:p>
    <w:p>
      <w:pPr>
        <w:spacing w:line="360" w:lineRule="auto"/>
        <w:ind w:firstLine="420" w:firstLineChars="200"/>
        <w:rPr>
          <w:rFonts w:ascii="宋体" w:hAnsi="宋体" w:cs="宋体"/>
          <w:szCs w:val="21"/>
          <w:highlight w:val="none"/>
        </w:rPr>
      </w:pPr>
      <w:r>
        <w:rPr>
          <w:rFonts w:ascii="宋体" w:hAnsi="宋体" w:cs="宋体"/>
          <w:szCs w:val="21"/>
          <w:highlight w:val="none"/>
        </w:rPr>
        <w:t>（1）投标文件中的大写金额与小写金额不一致的，以大写金额为准；</w:t>
      </w:r>
    </w:p>
    <w:p>
      <w:pPr>
        <w:spacing w:line="360" w:lineRule="auto"/>
        <w:ind w:firstLine="420" w:firstLineChars="200"/>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投标函中的投标</w:t>
      </w:r>
      <w:r>
        <w:rPr>
          <w:rFonts w:hint="eastAsia" w:ascii="宋体" w:hAnsi="宋体" w:cs="宋体"/>
          <w:szCs w:val="21"/>
          <w:highlight w:val="none"/>
          <w:lang w:val="en-US" w:eastAsia="zh-CN"/>
        </w:rPr>
        <w:t>总</w:t>
      </w:r>
      <w:r>
        <w:rPr>
          <w:rFonts w:hint="eastAsia" w:ascii="宋体" w:hAnsi="宋体" w:cs="宋体"/>
          <w:szCs w:val="21"/>
          <w:highlight w:val="none"/>
        </w:rPr>
        <w:t>报价与依据固定</w:t>
      </w:r>
      <w:r>
        <w:rPr>
          <w:rFonts w:hint="eastAsia" w:ascii="宋体" w:hAnsi="宋体" w:cs="宋体"/>
          <w:szCs w:val="21"/>
          <w:highlight w:val="none"/>
          <w:lang w:val="en-US" w:eastAsia="zh-CN"/>
        </w:rPr>
        <w:t>费</w:t>
      </w:r>
      <w:r>
        <w:rPr>
          <w:rFonts w:hint="eastAsia" w:ascii="宋体" w:hAnsi="宋体" w:cs="宋体"/>
          <w:szCs w:val="21"/>
          <w:highlight w:val="none"/>
        </w:rPr>
        <w:t>率（或固定单价）计算出的结果</w:t>
      </w:r>
      <w:r>
        <w:rPr>
          <w:rFonts w:ascii="宋体" w:hAnsi="宋体" w:cs="宋体"/>
          <w:szCs w:val="21"/>
          <w:highlight w:val="none"/>
        </w:rPr>
        <w:t>不一致的</w:t>
      </w:r>
      <w:r>
        <w:rPr>
          <w:rFonts w:hint="eastAsia" w:ascii="宋体" w:hAnsi="宋体" w:cs="宋体"/>
          <w:szCs w:val="21"/>
          <w:highlight w:val="none"/>
        </w:rPr>
        <w:t>；采用勘察费用清单报价的，投标函中的投标总报价与勘察费用清单合计报价</w:t>
      </w:r>
      <w:r>
        <w:rPr>
          <w:rFonts w:ascii="宋体" w:hAnsi="宋体" w:cs="宋体"/>
          <w:szCs w:val="21"/>
          <w:highlight w:val="none"/>
        </w:rPr>
        <w:t>不一致的</w:t>
      </w:r>
      <w:r>
        <w:rPr>
          <w:rFonts w:hint="eastAsia" w:ascii="宋体" w:hAnsi="宋体" w:cs="宋体"/>
          <w:szCs w:val="21"/>
          <w:highlight w:val="none"/>
        </w:rPr>
        <w:t>，均由评标委员会作否决投标处理</w:t>
      </w:r>
      <w:r>
        <w:rPr>
          <w:rFonts w:ascii="宋体" w:hAnsi="宋体" w:cs="宋体"/>
          <w:szCs w:val="21"/>
          <w:highlight w:val="none"/>
        </w:rPr>
        <w:t>。</w:t>
      </w:r>
    </w:p>
    <w:p>
      <w:pPr>
        <w:keepNext/>
        <w:keepLines/>
        <w:spacing w:line="360" w:lineRule="auto"/>
        <w:outlineLvl w:val="2"/>
        <w:rPr>
          <w:rFonts w:ascii="宋体" w:hAnsi="宋体" w:cs="宋体"/>
          <w:b/>
          <w:bCs/>
          <w:szCs w:val="21"/>
          <w:highlight w:val="none"/>
        </w:rPr>
      </w:pPr>
      <w:bookmarkStart w:id="1222" w:name="_Toc58860130"/>
      <w:bookmarkStart w:id="1223" w:name="_Toc4593"/>
      <w:bookmarkStart w:id="1224" w:name="_Toc75857067"/>
      <w:bookmarkStart w:id="1225" w:name="_Toc32531"/>
      <w:bookmarkStart w:id="1226" w:name="_Toc16590"/>
      <w:bookmarkStart w:id="1227" w:name="_Toc19662"/>
      <w:bookmarkStart w:id="1228" w:name="_Toc71624441"/>
      <w:bookmarkStart w:id="1229" w:name="_Toc3447"/>
      <w:r>
        <w:rPr>
          <w:rFonts w:ascii="宋体" w:hAnsi="宋体" w:cs="宋体"/>
          <w:b/>
          <w:bCs/>
          <w:szCs w:val="21"/>
          <w:highlight w:val="none"/>
        </w:rPr>
        <w:t>3.</w:t>
      </w:r>
      <w:r>
        <w:rPr>
          <w:rFonts w:hint="eastAsia" w:ascii="宋体" w:hAnsi="宋体" w:cs="宋体"/>
          <w:b/>
          <w:bCs/>
          <w:szCs w:val="21"/>
          <w:highlight w:val="none"/>
        </w:rPr>
        <w:t>3</w:t>
      </w:r>
      <w:r>
        <w:rPr>
          <w:rFonts w:ascii="宋体" w:hAnsi="宋体" w:cs="宋体"/>
          <w:b/>
          <w:bCs/>
          <w:szCs w:val="21"/>
          <w:highlight w:val="none"/>
        </w:rPr>
        <w:t xml:space="preserve"> </w:t>
      </w:r>
      <w:r>
        <w:rPr>
          <w:rFonts w:hint="eastAsia" w:ascii="宋体" w:hAnsi="宋体" w:cs="宋体"/>
          <w:b/>
          <w:bCs/>
          <w:szCs w:val="21"/>
          <w:highlight w:val="none"/>
        </w:rPr>
        <w:t>投标文件的澄清</w:t>
      </w:r>
      <w:bookmarkEnd w:id="1222"/>
      <w:bookmarkEnd w:id="1223"/>
      <w:bookmarkEnd w:id="1224"/>
      <w:bookmarkEnd w:id="1225"/>
      <w:bookmarkEnd w:id="1226"/>
      <w:bookmarkEnd w:id="1227"/>
      <w:bookmarkEnd w:id="1228"/>
      <w:bookmarkEnd w:id="1229"/>
    </w:p>
    <w:p>
      <w:pPr>
        <w:spacing w:line="360" w:lineRule="auto"/>
        <w:ind w:firstLine="420" w:firstLineChars="200"/>
        <w:rPr>
          <w:rFonts w:ascii="宋体" w:hAnsi="宋体" w:cs="宋体"/>
          <w:szCs w:val="21"/>
          <w:highlight w:val="none"/>
        </w:rPr>
      </w:pPr>
      <w:r>
        <w:rPr>
          <w:rFonts w:ascii="宋体" w:hAnsi="宋体" w:cs="宋体"/>
          <w:szCs w:val="21"/>
          <w:highlight w:val="none"/>
        </w:rPr>
        <w:t>3.3.1  在评标过程中，评标委员会可以书面形式要求投标人对所提交投标文件中</w:t>
      </w:r>
      <w:r>
        <w:rPr>
          <w:rFonts w:hint="eastAsia" w:ascii="宋体" w:hAnsi="宋体" w:cs="宋体"/>
          <w:szCs w:val="21"/>
          <w:highlight w:val="none"/>
        </w:rPr>
        <w:t>含义不明确、对同类问题表述不一致或者有明显文字和计算错误的内容作必要的澄清、说明或补正。澄清、说明或补正应以书面方式进行。评标委员会不接受投标人主动提出的澄清、说明或补正。</w:t>
      </w:r>
    </w:p>
    <w:p>
      <w:pPr>
        <w:spacing w:line="360" w:lineRule="auto"/>
        <w:ind w:firstLine="420" w:firstLineChars="200"/>
        <w:rPr>
          <w:rFonts w:ascii="宋体" w:hAnsi="宋体" w:cs="宋体"/>
          <w:szCs w:val="21"/>
          <w:highlight w:val="none"/>
        </w:rPr>
      </w:pPr>
      <w:r>
        <w:rPr>
          <w:rFonts w:ascii="宋体" w:hAnsi="宋体" w:cs="宋体"/>
          <w:szCs w:val="21"/>
          <w:highlight w:val="none"/>
        </w:rPr>
        <w:t>3.3.2  澄清、说明或补正不得超出投标文件的范围且不得改变投标文件的实质性内容，并构成投标文件的组成部分。</w:t>
      </w:r>
    </w:p>
    <w:p>
      <w:pPr>
        <w:spacing w:line="360" w:lineRule="auto"/>
        <w:ind w:firstLine="420" w:firstLineChars="200"/>
        <w:rPr>
          <w:rFonts w:ascii="宋体" w:hAnsi="宋体" w:cs="宋体"/>
          <w:szCs w:val="21"/>
          <w:highlight w:val="none"/>
        </w:rPr>
      </w:pPr>
      <w:r>
        <w:rPr>
          <w:rFonts w:ascii="宋体" w:hAnsi="宋体" w:cs="宋体"/>
          <w:szCs w:val="21"/>
          <w:highlight w:val="none"/>
        </w:rPr>
        <w:t>3.3.3  评标委员会对投标人提交的澄清、说明或补正有疑问的，可以要求投标人进一步澄清、说明或补正，直至满足评标委员会的要求。</w:t>
      </w:r>
    </w:p>
    <w:p>
      <w:pPr>
        <w:keepNext/>
        <w:keepLines/>
        <w:spacing w:line="360" w:lineRule="auto"/>
        <w:outlineLvl w:val="2"/>
        <w:rPr>
          <w:rFonts w:ascii="宋体" w:hAnsi="宋体" w:cs="宋体"/>
          <w:b/>
          <w:bCs/>
          <w:szCs w:val="21"/>
          <w:highlight w:val="none"/>
        </w:rPr>
      </w:pPr>
      <w:bookmarkStart w:id="1230" w:name="_Toc19264"/>
      <w:bookmarkStart w:id="1231" w:name="_Toc28734"/>
      <w:bookmarkStart w:id="1232" w:name="_Toc5362"/>
      <w:bookmarkStart w:id="1233" w:name="_Toc479262406"/>
      <w:bookmarkStart w:id="1234" w:name="_Toc58860131"/>
      <w:bookmarkStart w:id="1235" w:name="_Toc29319"/>
      <w:bookmarkStart w:id="1236" w:name="_Toc75857068"/>
      <w:bookmarkStart w:id="1237" w:name="_Toc5620"/>
      <w:bookmarkStart w:id="1238" w:name="_Toc71624442"/>
      <w:bookmarkStart w:id="1239" w:name="_Toc484465184"/>
      <w:r>
        <w:rPr>
          <w:rFonts w:ascii="宋体" w:hAnsi="宋体" w:cs="宋体"/>
          <w:b/>
          <w:bCs/>
          <w:szCs w:val="21"/>
          <w:highlight w:val="none"/>
        </w:rPr>
        <w:t>3.</w:t>
      </w:r>
      <w:r>
        <w:rPr>
          <w:rFonts w:hint="eastAsia" w:ascii="宋体" w:hAnsi="宋体" w:cs="宋体"/>
          <w:b/>
          <w:bCs/>
          <w:szCs w:val="21"/>
          <w:highlight w:val="none"/>
        </w:rPr>
        <w:t>4</w:t>
      </w:r>
      <w:r>
        <w:rPr>
          <w:rFonts w:ascii="宋体" w:hAnsi="宋体" w:cs="宋体"/>
          <w:b/>
          <w:bCs/>
          <w:szCs w:val="21"/>
          <w:highlight w:val="none"/>
        </w:rPr>
        <w:t xml:space="preserve"> </w:t>
      </w:r>
      <w:r>
        <w:rPr>
          <w:rFonts w:hint="eastAsia" w:ascii="宋体" w:hAnsi="宋体" w:cs="宋体"/>
          <w:b/>
          <w:bCs/>
          <w:szCs w:val="21"/>
          <w:highlight w:val="none"/>
        </w:rPr>
        <w:t>评标结果</w:t>
      </w:r>
      <w:bookmarkEnd w:id="1230"/>
      <w:bookmarkEnd w:id="1231"/>
      <w:bookmarkEnd w:id="1232"/>
      <w:bookmarkEnd w:id="1233"/>
      <w:bookmarkEnd w:id="1234"/>
      <w:bookmarkEnd w:id="1235"/>
      <w:bookmarkEnd w:id="1236"/>
      <w:bookmarkEnd w:id="1237"/>
      <w:bookmarkEnd w:id="1238"/>
      <w:bookmarkEnd w:id="1239"/>
    </w:p>
    <w:p>
      <w:pPr>
        <w:autoSpaceDE w:val="0"/>
        <w:autoSpaceDN w:val="0"/>
        <w:adjustRightInd w:val="0"/>
        <w:spacing w:line="360" w:lineRule="auto"/>
        <w:ind w:firstLine="420" w:firstLineChars="200"/>
        <w:jc w:val="left"/>
        <w:rPr>
          <w:rFonts w:ascii="宋体" w:hAnsi="宋体" w:cs="宋体"/>
          <w:kern w:val="0"/>
          <w:szCs w:val="21"/>
          <w:highlight w:val="none"/>
        </w:rPr>
      </w:pPr>
      <w:r>
        <w:rPr>
          <w:rFonts w:ascii="宋体" w:hAnsi="宋体" w:cs="宋体"/>
          <w:szCs w:val="21"/>
          <w:highlight w:val="none"/>
        </w:rPr>
        <w:t>3.</w:t>
      </w:r>
      <w:r>
        <w:rPr>
          <w:rFonts w:hint="eastAsia" w:ascii="宋体" w:hAnsi="宋体" w:cs="宋体"/>
          <w:szCs w:val="21"/>
          <w:highlight w:val="none"/>
        </w:rPr>
        <w:t>4</w:t>
      </w:r>
      <w:r>
        <w:rPr>
          <w:rFonts w:ascii="宋体" w:hAnsi="宋体" w:cs="宋体"/>
          <w:szCs w:val="21"/>
          <w:highlight w:val="none"/>
        </w:rPr>
        <w:t xml:space="preserve">.1 </w:t>
      </w:r>
      <w:r>
        <w:rPr>
          <w:rFonts w:hint="eastAsia" w:ascii="宋体" w:hAnsi="宋体" w:cs="宋体"/>
          <w:szCs w:val="21"/>
          <w:highlight w:val="none"/>
        </w:rPr>
        <w:t>除第二章“投标人须知”前附表授权直接确定中标人外，评标委员会按经评审的最低投标价法推荐中标候选人。</w:t>
      </w:r>
    </w:p>
    <w:p>
      <w:pPr>
        <w:spacing w:line="360" w:lineRule="auto"/>
        <w:ind w:firstLine="420" w:firstLineChars="200"/>
        <w:jc w:val="left"/>
        <w:rPr>
          <w:rFonts w:ascii="宋体" w:hAnsi="宋体" w:cs="宋体"/>
          <w:szCs w:val="21"/>
          <w:highlight w:val="none"/>
        </w:rPr>
      </w:pPr>
      <w:r>
        <w:rPr>
          <w:rFonts w:ascii="宋体" w:hAnsi="宋体" w:cs="宋体"/>
          <w:szCs w:val="21"/>
          <w:highlight w:val="none"/>
        </w:rPr>
        <w:t>3.</w:t>
      </w:r>
      <w:r>
        <w:rPr>
          <w:rFonts w:hint="eastAsia" w:ascii="宋体" w:hAnsi="宋体" w:cs="宋体"/>
          <w:szCs w:val="21"/>
          <w:highlight w:val="none"/>
        </w:rPr>
        <w:t>4</w:t>
      </w:r>
      <w:r>
        <w:rPr>
          <w:rFonts w:ascii="宋体" w:hAnsi="宋体" w:cs="宋体"/>
          <w:szCs w:val="21"/>
          <w:highlight w:val="none"/>
        </w:rPr>
        <w:t>.2</w:t>
      </w:r>
      <w:r>
        <w:rPr>
          <w:rFonts w:hint="eastAsia" w:ascii="宋体" w:hAnsi="宋体" w:cs="宋体"/>
          <w:szCs w:val="21"/>
          <w:highlight w:val="none"/>
        </w:rPr>
        <w:t xml:space="preserve"> 评标委员会完成评标后，应当向招标人提交书面评标报告和中标候选人名单。</w:t>
      </w:r>
    </w:p>
    <w:p>
      <w:pPr>
        <w:widowControl/>
        <w:spacing w:line="360" w:lineRule="auto"/>
        <w:jc w:val="center"/>
        <w:outlineLvl w:val="1"/>
        <w:rPr>
          <w:rFonts w:ascii="宋体" w:hAnsi="宋体"/>
          <w:b/>
          <w:kern w:val="0"/>
          <w:sz w:val="28"/>
          <w:szCs w:val="28"/>
          <w:highlight w:val="none"/>
        </w:rPr>
      </w:pPr>
      <w:r>
        <w:rPr>
          <w:rFonts w:ascii="宋体" w:hAnsi="宋体" w:cs="宋体"/>
          <w:kern w:val="0"/>
          <w:sz w:val="20"/>
          <w:szCs w:val="21"/>
          <w:highlight w:val="none"/>
          <w:u w:val="single"/>
        </w:rPr>
        <w:br w:type="page"/>
      </w:r>
      <w:bookmarkStart w:id="1240" w:name="_Toc75857069"/>
      <w:bookmarkStart w:id="1241" w:name="_Toc24506"/>
      <w:bookmarkStart w:id="1242" w:name="_Toc5987"/>
      <w:bookmarkStart w:id="1243" w:name="_Toc26697"/>
      <w:bookmarkStart w:id="1244" w:name="_Toc25231"/>
      <w:bookmarkStart w:id="1245" w:name="_Toc14007"/>
      <w:r>
        <w:rPr>
          <w:rFonts w:ascii="宋体" w:hAnsi="宋体"/>
          <w:b/>
          <w:kern w:val="0"/>
          <w:sz w:val="28"/>
          <w:szCs w:val="28"/>
          <w:highlight w:val="none"/>
        </w:rPr>
        <w:t>附件A：</w:t>
      </w:r>
      <w:r>
        <w:rPr>
          <w:rFonts w:hint="eastAsia" w:ascii="宋体" w:hAnsi="宋体"/>
          <w:b/>
          <w:kern w:val="0"/>
          <w:sz w:val="28"/>
          <w:szCs w:val="28"/>
          <w:highlight w:val="none"/>
        </w:rPr>
        <w:t>经评审的最低投标价法</w:t>
      </w:r>
      <w:r>
        <w:rPr>
          <w:rFonts w:ascii="宋体" w:hAnsi="宋体"/>
          <w:b/>
          <w:kern w:val="0"/>
          <w:sz w:val="28"/>
          <w:szCs w:val="28"/>
          <w:highlight w:val="none"/>
        </w:rPr>
        <w:t>否决投标情况一览表</w:t>
      </w:r>
      <w:bookmarkEnd w:id="1240"/>
      <w:bookmarkEnd w:id="1241"/>
      <w:bookmarkEnd w:id="1242"/>
      <w:bookmarkEnd w:id="1243"/>
      <w:bookmarkEnd w:id="1244"/>
      <w:bookmarkEnd w:id="1245"/>
    </w:p>
    <w:p>
      <w:pPr>
        <w:widowControl/>
        <w:spacing w:line="360" w:lineRule="auto"/>
        <w:ind w:firstLine="420" w:firstLineChars="200"/>
        <w:rPr>
          <w:rFonts w:ascii="宋体" w:hAnsi="宋体"/>
          <w:kern w:val="0"/>
          <w:szCs w:val="21"/>
          <w:highlight w:val="none"/>
        </w:rPr>
      </w:pPr>
      <w:r>
        <w:rPr>
          <w:rFonts w:hint="eastAsia" w:ascii="宋体" w:hAnsi="宋体"/>
          <w:kern w:val="0"/>
          <w:szCs w:val="21"/>
          <w:highlight w:val="none"/>
        </w:rPr>
        <w:t>投标文件存在本一览表下列情形之一的，投标文件视为重大偏差并作否决投标处理，否则，评标委员会不得视为重大偏差而否决投标人的投标文件。</w:t>
      </w:r>
    </w:p>
    <w:tbl>
      <w:tblPr>
        <w:tblStyle w:val="55"/>
        <w:tblW w:w="8993"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515"/>
        <w:gridCol w:w="7478"/>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Align w:val="center"/>
          </w:tcPr>
          <w:p>
            <w:pPr>
              <w:spacing w:line="400" w:lineRule="exact"/>
              <w:jc w:val="center"/>
              <w:rPr>
                <w:rFonts w:ascii="宋体" w:hAnsi="宋体"/>
                <w:b/>
                <w:szCs w:val="21"/>
                <w:highlight w:val="none"/>
              </w:rPr>
            </w:pPr>
            <w:r>
              <w:rPr>
                <w:rFonts w:ascii="宋体" w:hAnsi="宋体"/>
                <w:b/>
                <w:szCs w:val="21"/>
                <w:highlight w:val="none"/>
              </w:rPr>
              <w:t>条款名称</w:t>
            </w:r>
          </w:p>
        </w:tc>
        <w:tc>
          <w:tcPr>
            <w:tcW w:w="7478" w:type="dxa"/>
            <w:vAlign w:val="center"/>
          </w:tcPr>
          <w:p>
            <w:pPr>
              <w:spacing w:line="400" w:lineRule="exact"/>
              <w:jc w:val="center"/>
              <w:rPr>
                <w:rFonts w:ascii="宋体" w:hAnsi="宋体"/>
                <w:b/>
                <w:szCs w:val="21"/>
                <w:highlight w:val="none"/>
              </w:rPr>
            </w:pPr>
            <w:r>
              <w:rPr>
                <w:rFonts w:ascii="宋体" w:hAnsi="宋体"/>
                <w:b/>
                <w:szCs w:val="21"/>
                <w:highlight w:val="none"/>
              </w:rPr>
              <w:t>否决投标条件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tcBorders>
              <w:bottom w:val="single" w:color="auto" w:sz="4" w:space="0"/>
            </w:tcBorders>
            <w:vAlign w:val="center"/>
          </w:tcPr>
          <w:p>
            <w:pPr>
              <w:spacing w:line="400" w:lineRule="exact"/>
              <w:jc w:val="center"/>
              <w:rPr>
                <w:rFonts w:ascii="宋体" w:hAnsi="宋体"/>
                <w:szCs w:val="21"/>
                <w:highlight w:val="none"/>
              </w:rPr>
            </w:pPr>
            <w:r>
              <w:rPr>
                <w:rFonts w:hint="eastAsia" w:ascii="宋体" w:hAnsi="宋体"/>
                <w:szCs w:val="21"/>
                <w:highlight w:val="none"/>
              </w:rPr>
              <w:t>技术部分评审（如有）</w:t>
            </w: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A-1投标人的技术部分综合性评审不合格，由评标委员会作否决投标处理。技术方案采用暗标评审时，其形式应符合第二章投标人须知前附表第3.7.5项（3）技术部分的要求，否则由评标委员会作否决投标处理。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restart"/>
            <w:tcBorders>
              <w:top w:val="single" w:color="auto" w:sz="4" w:space="0"/>
            </w:tcBorders>
            <w:vAlign w:val="center"/>
          </w:tcPr>
          <w:p>
            <w:pPr>
              <w:spacing w:line="400" w:lineRule="exact"/>
              <w:jc w:val="center"/>
              <w:rPr>
                <w:rFonts w:ascii="宋体" w:hAnsi="宋体"/>
                <w:szCs w:val="21"/>
                <w:highlight w:val="none"/>
              </w:rPr>
            </w:pPr>
            <w:r>
              <w:rPr>
                <w:rFonts w:hint="eastAsia" w:ascii="宋体" w:hAnsi="宋体"/>
                <w:szCs w:val="21"/>
                <w:highlight w:val="none"/>
              </w:rPr>
              <w:t>资格评审</w:t>
            </w: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A-2投标人的资质条件、营业执照须满足投标人须知前附表第1.4.1项的要求，否则由评标委员会作否决投标处理。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A-3投标人的财务须满足投标人须知前附表第1.4.1项的要求，否则由评标委员会作否决投标处理（如有）。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A-4投标人的业绩须满足投标人须知前附表第1.4.1项的要求，否则由评标委员会作否决投标处理（如有）。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w:t>
            </w:r>
            <w:r>
              <w:rPr>
                <w:rFonts w:ascii="宋体" w:hAnsi="宋体"/>
                <w:szCs w:val="21"/>
                <w:highlight w:val="none"/>
              </w:rPr>
              <w:t>5</w:t>
            </w:r>
            <w:r>
              <w:rPr>
                <w:rFonts w:hint="eastAsia" w:ascii="宋体" w:hAnsi="宋体"/>
                <w:szCs w:val="21"/>
                <w:highlight w:val="none"/>
              </w:rPr>
              <w:t>投标人的投标截止日投标资格情况须满足投标人须知前附表第1.4.1项的要求，否则由评标委员会作否决投标处理。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w:t>
            </w:r>
            <w:r>
              <w:rPr>
                <w:rFonts w:ascii="宋体" w:hAnsi="宋体"/>
                <w:szCs w:val="21"/>
                <w:highlight w:val="none"/>
              </w:rPr>
              <w:t>6</w:t>
            </w:r>
            <w:r>
              <w:rPr>
                <w:rFonts w:hint="eastAsia" w:ascii="宋体" w:hAnsi="宋体"/>
                <w:szCs w:val="21"/>
                <w:highlight w:val="none"/>
              </w:rPr>
              <w:t>投标人的项目负责人资格须满足投标人须知前附表第1.4.1项的要求，否则由评标委员会作否决投标处理。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w:t>
            </w:r>
            <w:r>
              <w:rPr>
                <w:rFonts w:ascii="宋体" w:hAnsi="宋体"/>
                <w:szCs w:val="21"/>
                <w:highlight w:val="none"/>
              </w:rPr>
              <w:t>7</w:t>
            </w:r>
            <w:r>
              <w:rPr>
                <w:rFonts w:hint="eastAsia" w:ascii="宋体" w:hAnsi="宋体"/>
                <w:szCs w:val="21"/>
                <w:highlight w:val="none"/>
              </w:rPr>
              <w:t>投标人的其他要求须满足投标人须知前附表第1.4.1项的要求，否则由评标委员会作否决投标处理。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w:t>
            </w:r>
            <w:r>
              <w:rPr>
                <w:rFonts w:ascii="宋体" w:hAnsi="宋体"/>
                <w:szCs w:val="21"/>
                <w:highlight w:val="none"/>
              </w:rPr>
              <w:t>8</w:t>
            </w:r>
            <w:r>
              <w:rPr>
                <w:rFonts w:hint="eastAsia" w:ascii="宋体" w:hAnsi="宋体"/>
                <w:szCs w:val="21"/>
                <w:highlight w:val="none"/>
              </w:rPr>
              <w:t>若有联合体投标人，则：</w:t>
            </w:r>
          </w:p>
          <w:p>
            <w:pPr>
              <w:spacing w:line="400" w:lineRule="exact"/>
              <w:ind w:firstLine="420" w:firstLineChars="200"/>
              <w:rPr>
                <w:rFonts w:ascii="宋体" w:hAnsi="宋体"/>
                <w:szCs w:val="21"/>
                <w:highlight w:val="none"/>
              </w:rPr>
            </w:pPr>
            <w:r>
              <w:rPr>
                <w:rFonts w:hint="eastAsia" w:ascii="宋体" w:hAnsi="宋体"/>
                <w:szCs w:val="21"/>
                <w:highlight w:val="none"/>
              </w:rPr>
              <w:t>（1）</w:t>
            </w:r>
            <w:r>
              <w:rPr>
                <w:rFonts w:ascii="宋体" w:hAnsi="宋体"/>
                <w:szCs w:val="21"/>
                <w:highlight w:val="none"/>
              </w:rPr>
              <w:t>联合体各方应按招标文件提供的格式签订联合体协议书，明确联合体牵头人和各方权利义务，并承诺就中标项目向招标人承担连带责任；</w:t>
            </w:r>
          </w:p>
          <w:p>
            <w:pPr>
              <w:spacing w:line="400" w:lineRule="exact"/>
              <w:ind w:firstLine="420" w:firstLineChars="200"/>
              <w:rPr>
                <w:rFonts w:ascii="宋体" w:hAnsi="宋体"/>
                <w:szCs w:val="21"/>
                <w:highlight w:val="none"/>
              </w:rPr>
            </w:pPr>
            <w:r>
              <w:rPr>
                <w:rFonts w:hint="eastAsia" w:ascii="宋体" w:hAnsi="宋体"/>
                <w:szCs w:val="21"/>
                <w:highlight w:val="none"/>
              </w:rPr>
              <w:t>（2）联合体协议约定同一专业分工由两个及以上单位共同承担的</w:t>
            </w:r>
            <w:r>
              <w:rPr>
                <w:rFonts w:ascii="宋体" w:hAnsi="宋体"/>
                <w:szCs w:val="21"/>
                <w:highlight w:val="none"/>
              </w:rPr>
              <w:t>，按照资质等级较低的单位确定资质等级；</w:t>
            </w:r>
          </w:p>
          <w:p>
            <w:pPr>
              <w:spacing w:line="400" w:lineRule="exact"/>
              <w:ind w:firstLine="420" w:firstLineChars="200"/>
              <w:rPr>
                <w:rFonts w:ascii="宋体" w:hAnsi="宋体"/>
                <w:szCs w:val="21"/>
                <w:highlight w:val="none"/>
              </w:rPr>
            </w:pPr>
            <w:r>
              <w:rPr>
                <w:rFonts w:hint="eastAsia" w:ascii="宋体" w:hAnsi="宋体"/>
                <w:szCs w:val="21"/>
                <w:highlight w:val="none"/>
              </w:rPr>
              <w:t>（3）</w:t>
            </w:r>
            <w:r>
              <w:rPr>
                <w:rFonts w:ascii="宋体" w:hAnsi="宋体"/>
                <w:szCs w:val="21"/>
                <w:highlight w:val="none"/>
              </w:rPr>
              <w:t>联合体各方不得再以自己名义单独或参加其他联合体在</w:t>
            </w:r>
            <w:r>
              <w:rPr>
                <w:rFonts w:hint="eastAsia" w:ascii="宋体" w:hAnsi="宋体"/>
                <w:szCs w:val="21"/>
                <w:highlight w:val="none"/>
              </w:rPr>
              <w:t>本招标项目</w:t>
            </w:r>
            <w:r>
              <w:rPr>
                <w:rFonts w:hint="eastAsia" w:ascii="宋体" w:hAnsi="宋体"/>
                <w:szCs w:val="21"/>
                <w:highlight w:val="none"/>
                <w:lang w:val="en-US" w:eastAsia="zh-CN"/>
              </w:rPr>
              <w:t>同一标段</w:t>
            </w:r>
            <w:r>
              <w:rPr>
                <w:rFonts w:hint="eastAsia" w:ascii="宋体" w:hAnsi="宋体"/>
                <w:szCs w:val="21"/>
                <w:highlight w:val="none"/>
              </w:rPr>
              <w:t>中</w:t>
            </w:r>
            <w:r>
              <w:rPr>
                <w:rFonts w:ascii="宋体" w:hAnsi="宋体"/>
                <w:szCs w:val="21"/>
                <w:highlight w:val="none"/>
              </w:rPr>
              <w:t>投标</w:t>
            </w:r>
            <w:r>
              <w:rPr>
                <w:rFonts w:hint="eastAsia" w:ascii="宋体" w:hAnsi="宋体"/>
                <w:szCs w:val="21"/>
                <w:highlight w:val="none"/>
              </w:rPr>
              <w:t>。</w:t>
            </w:r>
          </w:p>
          <w:p>
            <w:pPr>
              <w:spacing w:line="400" w:lineRule="exact"/>
              <w:ind w:firstLine="420" w:firstLineChars="200"/>
              <w:rPr>
                <w:rFonts w:ascii="宋体" w:hAnsi="宋体"/>
                <w:szCs w:val="21"/>
                <w:highlight w:val="none"/>
              </w:rPr>
            </w:pPr>
            <w:r>
              <w:rPr>
                <w:rFonts w:hint="eastAsia" w:ascii="宋体" w:hAnsi="宋体"/>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cs="宋体"/>
                <w:kern w:val="0"/>
                <w:szCs w:val="22"/>
                <w:highlight w:val="none"/>
              </w:rPr>
              <w:t>A-</w:t>
            </w:r>
            <w:r>
              <w:rPr>
                <w:rFonts w:ascii="宋体" w:hAnsi="宋体" w:cs="宋体"/>
                <w:kern w:val="0"/>
                <w:szCs w:val="22"/>
                <w:highlight w:val="none"/>
              </w:rPr>
              <w:t>9</w:t>
            </w:r>
            <w:r>
              <w:rPr>
                <w:rFonts w:hint="eastAsia" w:ascii="宋体" w:hAnsi="宋体" w:cs="宋体"/>
                <w:kern w:val="0"/>
                <w:szCs w:val="22"/>
                <w:highlight w:val="none"/>
              </w:rPr>
              <w:t>投标人</w:t>
            </w:r>
            <w:r>
              <w:rPr>
                <w:rFonts w:ascii="宋体" w:hAnsi="宋体" w:cs="宋体"/>
                <w:kern w:val="0"/>
                <w:szCs w:val="22"/>
                <w:highlight w:val="none"/>
              </w:rPr>
              <w:t>不</w:t>
            </w:r>
            <w:r>
              <w:rPr>
                <w:rFonts w:hint="eastAsia" w:ascii="宋体" w:hAnsi="宋体" w:cs="宋体"/>
                <w:kern w:val="0"/>
                <w:szCs w:val="22"/>
                <w:highlight w:val="none"/>
              </w:rPr>
              <w:t>得</w:t>
            </w:r>
            <w:r>
              <w:rPr>
                <w:rFonts w:ascii="宋体" w:hAnsi="宋体" w:cs="宋体"/>
                <w:kern w:val="0"/>
                <w:szCs w:val="22"/>
                <w:highlight w:val="none"/>
              </w:rPr>
              <w:t>存在第二章“投标人须知”第 1.4.3 项规定的任何一种情形</w:t>
            </w:r>
            <w:r>
              <w:rPr>
                <w:rFonts w:hint="eastAsia" w:ascii="宋体" w:hAnsi="宋体" w:cs="宋体"/>
                <w:kern w:val="0"/>
                <w:szCs w:val="22"/>
                <w:highlight w:val="none"/>
              </w:rPr>
              <w:t>，</w:t>
            </w:r>
            <w:r>
              <w:rPr>
                <w:rFonts w:hint="eastAsia" w:ascii="宋体" w:hAnsi="宋体"/>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highlight w:val="none"/>
              </w:rPr>
            </w:pPr>
            <w:r>
              <w:rPr>
                <w:rFonts w:hint="eastAsia" w:ascii="宋体" w:hAnsi="宋体"/>
                <w:szCs w:val="21"/>
                <w:highlight w:val="none"/>
              </w:rPr>
              <w:t>形式评审</w:t>
            </w:r>
          </w:p>
        </w:tc>
        <w:tc>
          <w:tcPr>
            <w:tcW w:w="7478" w:type="dxa"/>
          </w:tcPr>
          <w:p>
            <w:pPr>
              <w:spacing w:line="400" w:lineRule="exact"/>
              <w:ind w:firstLine="420" w:firstLineChars="200"/>
              <w:rPr>
                <w:rFonts w:ascii="宋体" w:hAnsi="宋体"/>
                <w:szCs w:val="21"/>
                <w:highlight w:val="none"/>
              </w:rPr>
            </w:pPr>
            <w:r>
              <w:rPr>
                <w:rFonts w:hint="eastAsia" w:ascii="宋体" w:hAnsi="宋体"/>
                <w:szCs w:val="21"/>
                <w:highlight w:val="none"/>
              </w:rPr>
              <w:t>A-10投标人名称必须与营业执照、资质证书一致，依法变更名称的应提交相应证明材料，</w:t>
            </w:r>
            <w:r>
              <w:rPr>
                <w:rFonts w:ascii="宋体" w:hAnsi="宋体"/>
                <w:szCs w:val="21"/>
                <w:highlight w:val="none"/>
              </w:rPr>
              <w:t>否则</w:t>
            </w:r>
            <w:r>
              <w:rPr>
                <w:rFonts w:hint="eastAsia" w:ascii="宋体" w:hAnsi="宋体"/>
                <w:szCs w:val="21"/>
                <w:highlight w:val="none"/>
              </w:rPr>
              <w:t>由评标委员会</w:t>
            </w:r>
            <w:r>
              <w:rPr>
                <w:rFonts w:ascii="宋体" w:hAnsi="宋体"/>
                <w:szCs w:val="21"/>
                <w:highlight w:val="none"/>
              </w:rPr>
              <w:t>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tcPr>
          <w:p>
            <w:pPr>
              <w:spacing w:line="400" w:lineRule="exact"/>
              <w:ind w:firstLine="420" w:firstLineChars="200"/>
              <w:rPr>
                <w:rFonts w:ascii="宋体" w:hAnsi="宋体"/>
                <w:szCs w:val="21"/>
                <w:highlight w:val="none"/>
              </w:rPr>
            </w:pPr>
            <w:r>
              <w:rPr>
                <w:rFonts w:hint="eastAsia" w:ascii="宋体" w:hAnsi="宋体"/>
                <w:szCs w:val="21"/>
                <w:highlight w:val="none"/>
              </w:rPr>
              <w:t>A-11投标文件格式（不含投标函部分）符合第二章“投标人须知”第3.7款的要求，否则由评标委员会作否决投标处理。</w:t>
            </w:r>
          </w:p>
          <w:p>
            <w:pPr>
              <w:spacing w:line="400" w:lineRule="exact"/>
              <w:ind w:firstLine="420" w:firstLineChars="200"/>
              <w:rPr>
                <w:rFonts w:ascii="宋体" w:hAnsi="宋体"/>
                <w:szCs w:val="21"/>
                <w:highlight w:val="none"/>
              </w:rPr>
            </w:pPr>
            <w:r>
              <w:rPr>
                <w:rFonts w:hint="eastAsia" w:ascii="宋体" w:hAnsi="宋体"/>
                <w:szCs w:val="21"/>
                <w:highlight w:val="none"/>
              </w:rPr>
              <w:t>编制投标文件时不得对第六章“投标文件格式”的相应要素作实质性修改，否则视为重大偏差，由评标委员会作否决投标处理。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tcPr>
          <w:p>
            <w:pPr>
              <w:spacing w:line="400" w:lineRule="exact"/>
              <w:ind w:firstLine="420" w:firstLineChars="200"/>
              <w:rPr>
                <w:rFonts w:ascii="宋体" w:hAnsi="宋体"/>
                <w:szCs w:val="21"/>
                <w:highlight w:val="none"/>
              </w:rPr>
            </w:pPr>
            <w:r>
              <w:rPr>
                <w:rFonts w:hint="eastAsia" w:ascii="宋体" w:hAnsi="宋体"/>
                <w:szCs w:val="21"/>
                <w:highlight w:val="none"/>
              </w:rPr>
              <w:t>A-12联合体参与投标的应提交联合体协议书，并明确联合体牵头人。在联合体协议书第5条联合体各成员单位内部的职责分工中填写的联合体所有成员单位名称应与其营业执照、资质证书一致，依法变更名称的应提交相应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tcPr>
          <w:p>
            <w:pPr>
              <w:spacing w:line="400" w:lineRule="exact"/>
              <w:ind w:firstLine="420" w:firstLineChars="200"/>
              <w:rPr>
                <w:rFonts w:ascii="宋体" w:hAnsi="宋体" w:cs="宋体"/>
                <w:kern w:val="0"/>
                <w:highlight w:val="none"/>
              </w:rPr>
            </w:pPr>
            <w:r>
              <w:rPr>
                <w:rFonts w:ascii="宋体" w:hAnsi="宋体" w:cs="宋体"/>
                <w:kern w:val="0"/>
                <w:highlight w:val="none"/>
              </w:rPr>
              <w:t>A-13</w:t>
            </w:r>
            <w:r>
              <w:rPr>
                <w:rFonts w:hint="eastAsia" w:ascii="宋体" w:hAnsi="宋体" w:cs="宋体"/>
                <w:kern w:val="0"/>
                <w:highlight w:val="none"/>
              </w:rPr>
              <w:t>第六章 投标文件格式（不含投标函部分）要求法定代表人或其委托代理人签名（或盖章）的须齐全，</w:t>
            </w:r>
            <w:r>
              <w:rPr>
                <w:rFonts w:hint="eastAsia" w:ascii="宋体" w:hAnsi="宋体"/>
                <w:color w:val="auto"/>
                <w:szCs w:val="21"/>
                <w:highlight w:val="none"/>
                <w:lang w:val="en-US" w:eastAsia="zh-CN"/>
              </w:rPr>
              <w:t>要求签名的，</w:t>
            </w:r>
            <w:r>
              <w:rPr>
                <w:rFonts w:hint="eastAsia" w:ascii="宋体" w:hAnsi="宋体"/>
                <w:color w:val="auto"/>
                <w:szCs w:val="21"/>
                <w:highlight w:val="none"/>
              </w:rPr>
              <w:t>签名采用手写签名</w:t>
            </w:r>
            <w:r>
              <w:rPr>
                <w:rFonts w:hint="eastAsia" w:ascii="宋体" w:hAnsi="宋体"/>
                <w:color w:val="auto"/>
                <w:szCs w:val="21"/>
                <w:highlight w:val="none"/>
                <w:lang w:val="en-US" w:eastAsia="zh-CN"/>
              </w:rPr>
              <w:t>或签章</w:t>
            </w:r>
            <w:r>
              <w:rPr>
                <w:rFonts w:hint="eastAsia" w:ascii="宋体" w:hAnsi="宋体"/>
                <w:color w:val="auto"/>
                <w:szCs w:val="21"/>
                <w:highlight w:val="none"/>
              </w:rPr>
              <w:t>或加盖CA数字证书均可</w:t>
            </w:r>
            <w:r>
              <w:rPr>
                <w:rFonts w:hint="eastAsia" w:ascii="宋体" w:hAnsi="宋体"/>
                <w:color w:val="auto"/>
                <w:szCs w:val="21"/>
                <w:highlight w:val="none"/>
                <w:lang w:eastAsia="zh-CN"/>
              </w:rPr>
              <w:t>，</w:t>
            </w:r>
            <w:r>
              <w:rPr>
                <w:rFonts w:hint="eastAsia" w:ascii="宋体" w:hAnsi="宋体" w:cs="宋体"/>
                <w:kern w:val="0"/>
                <w:highlight w:val="none"/>
              </w:rPr>
              <w:t>否则由评标委员会作否决投标处理。</w:t>
            </w:r>
          </w:p>
          <w:p>
            <w:pPr>
              <w:spacing w:line="400" w:lineRule="exact"/>
              <w:ind w:firstLine="420" w:firstLineChars="200"/>
              <w:rPr>
                <w:rFonts w:ascii="宋体" w:hAnsi="宋体" w:cs="宋体"/>
                <w:kern w:val="0"/>
                <w:highlight w:val="none"/>
              </w:rPr>
            </w:pPr>
            <w:r>
              <w:rPr>
                <w:rFonts w:hint="eastAsia" w:ascii="宋体" w:hAnsi="宋体" w:cs="宋体"/>
                <w:kern w:val="0"/>
                <w:highlight w:val="none"/>
              </w:rPr>
              <w:t>若投标单位为联合体，则联合体协议书中各联合体成员单位签名（或盖章）须齐全，联合体协议书以外的投标文件格式中，要求法定代表人或其委托代理人签名（或盖章）的均由联合体牵头人法定代表人或其委托代理人签名（或盖章）。否则由评标委员会作否决投标处理。</w:t>
            </w:r>
          </w:p>
          <w:p>
            <w:pPr>
              <w:spacing w:line="400" w:lineRule="exact"/>
              <w:ind w:firstLine="420" w:firstLineChars="200"/>
              <w:rPr>
                <w:rFonts w:ascii="宋体" w:hAnsi="宋体" w:cs="宋体"/>
                <w:kern w:val="0"/>
                <w:highlight w:val="none"/>
              </w:rPr>
            </w:pPr>
            <w:r>
              <w:rPr>
                <w:rFonts w:hint="eastAsia" w:ascii="宋体" w:hAnsi="宋体" w:cs="宋体"/>
                <w:kern w:val="0"/>
                <w:highlight w:val="none"/>
              </w:rPr>
              <w:t>第六章 投标文件格式（不含投标函部分）要求加盖单位法人章的，应使用 CA 数字证书加盖投标人的单位电子印章，否则由评标委员会作否决投标处理。</w:t>
            </w:r>
          </w:p>
          <w:p>
            <w:pPr>
              <w:spacing w:line="400" w:lineRule="exact"/>
              <w:ind w:firstLine="420" w:firstLineChars="200"/>
              <w:rPr>
                <w:rFonts w:ascii="宋体" w:hAnsi="宋体" w:cs="宋体"/>
                <w:kern w:val="0"/>
                <w:highlight w:val="none"/>
              </w:rPr>
            </w:pPr>
            <w:r>
              <w:rPr>
                <w:rFonts w:hint="eastAsia" w:ascii="宋体" w:hAnsi="宋体" w:cs="宋体"/>
                <w:kern w:val="0"/>
                <w:highlight w:val="none"/>
              </w:rPr>
              <w:t>若投标单位为联合体，则联合体协议书中要求各联合体成员盖单位法人章的，各联合体成员盖章须齐全，联合体协议书以外的投标文件格式中要求投标人加盖单位法人章的，均由联合体牵头人使用</w:t>
            </w:r>
            <w:r>
              <w:rPr>
                <w:rFonts w:ascii="宋体" w:hAnsi="宋体" w:cs="宋体"/>
                <w:kern w:val="0"/>
                <w:highlight w:val="none"/>
              </w:rPr>
              <w:t xml:space="preserve"> CA </w:t>
            </w:r>
            <w:r>
              <w:rPr>
                <w:rFonts w:hint="eastAsia" w:ascii="宋体" w:hAnsi="宋体" w:cs="宋体"/>
                <w:kern w:val="0"/>
                <w:highlight w:val="none"/>
              </w:rPr>
              <w:t>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tcPr>
          <w:p>
            <w:pPr>
              <w:spacing w:line="400" w:lineRule="exact"/>
              <w:ind w:firstLine="420" w:firstLineChars="200"/>
              <w:rPr>
                <w:rFonts w:ascii="宋体" w:hAnsi="宋体"/>
                <w:szCs w:val="21"/>
                <w:highlight w:val="none"/>
              </w:rPr>
            </w:pPr>
            <w:r>
              <w:rPr>
                <w:rFonts w:hint="eastAsia" w:ascii="宋体" w:hAnsi="宋体"/>
                <w:szCs w:val="21"/>
                <w:highlight w:val="none"/>
              </w:rPr>
              <w:t>A-14投标人法定代表人的委托代理人有法定代表人签署的授权委托书和投标人为其缴纳的养老保险证明材料，否则由评标委员会作否决投标处理。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tcPr>
          <w:p>
            <w:pPr>
              <w:spacing w:line="400" w:lineRule="exact"/>
              <w:ind w:firstLine="420" w:firstLineChars="200"/>
              <w:rPr>
                <w:rFonts w:ascii="宋体" w:hAnsi="宋体"/>
                <w:szCs w:val="21"/>
                <w:highlight w:val="none"/>
              </w:rPr>
            </w:pPr>
            <w:r>
              <w:rPr>
                <w:rFonts w:hint="eastAsia" w:ascii="宋体" w:hAnsi="宋体"/>
                <w:szCs w:val="21"/>
                <w:highlight w:val="none"/>
              </w:rPr>
              <w:t>A-</w:t>
            </w:r>
            <w:r>
              <w:rPr>
                <w:rFonts w:ascii="宋体" w:hAnsi="宋体"/>
                <w:szCs w:val="21"/>
                <w:highlight w:val="none"/>
              </w:rPr>
              <w:t>15除招标文件明确允许提交备选投标方案外，投标人不得提交备选投标方案</w:t>
            </w:r>
            <w:r>
              <w:rPr>
                <w:rFonts w:hint="eastAsia" w:ascii="宋体" w:hAnsi="宋体"/>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highlight w:val="none"/>
              </w:rPr>
            </w:pPr>
            <w:r>
              <w:rPr>
                <w:rFonts w:hint="eastAsia" w:ascii="宋体" w:hAnsi="宋体"/>
                <w:szCs w:val="21"/>
                <w:highlight w:val="none"/>
              </w:rPr>
              <w:t>响应性评审</w:t>
            </w: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A-1</w:t>
            </w:r>
            <w:r>
              <w:rPr>
                <w:rFonts w:ascii="宋体" w:hAnsi="宋体"/>
                <w:szCs w:val="21"/>
                <w:highlight w:val="none"/>
              </w:rPr>
              <w:t>6</w:t>
            </w:r>
            <w:r>
              <w:rPr>
                <w:rFonts w:hint="eastAsia" w:ascii="宋体" w:hAnsi="宋体"/>
                <w:szCs w:val="21"/>
                <w:highlight w:val="none"/>
              </w:rPr>
              <w:t>投标内容符合第二章“投标人须知”第1.3.1项规定，否则由评标委员会作否决投标处理。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A-1</w:t>
            </w:r>
            <w:r>
              <w:rPr>
                <w:rFonts w:ascii="宋体" w:hAnsi="宋体"/>
                <w:szCs w:val="21"/>
                <w:highlight w:val="none"/>
              </w:rPr>
              <w:t>7</w:t>
            </w:r>
            <w:r>
              <w:rPr>
                <w:rFonts w:hint="eastAsia" w:ascii="宋体" w:hAnsi="宋体"/>
                <w:szCs w:val="21"/>
                <w:highlight w:val="none"/>
              </w:rPr>
              <w:t>投标人应按第二章“投标人须知”第</w:t>
            </w:r>
            <w:r>
              <w:rPr>
                <w:rFonts w:ascii="宋体" w:hAnsi="宋体"/>
                <w:szCs w:val="21"/>
                <w:highlight w:val="none"/>
              </w:rPr>
              <w:t>3</w:t>
            </w:r>
            <w:r>
              <w:rPr>
                <w:rFonts w:hint="eastAsia" w:ascii="宋体" w:hAnsi="宋体"/>
                <w:szCs w:val="21"/>
                <w:highlight w:val="none"/>
              </w:rPr>
              <w:t>.</w:t>
            </w:r>
            <w:r>
              <w:rPr>
                <w:rFonts w:ascii="宋体" w:hAnsi="宋体"/>
                <w:szCs w:val="21"/>
                <w:highlight w:val="none"/>
              </w:rPr>
              <w:t>4</w:t>
            </w:r>
            <w:r>
              <w:rPr>
                <w:rFonts w:hint="eastAsia" w:ascii="宋体" w:hAnsi="宋体"/>
                <w:szCs w:val="21"/>
                <w:highlight w:val="none"/>
              </w:rPr>
              <w:t>.1项规定递交投标保证金，并作为其投标文件的组成部分，否则由评标委员会作否决投标处理。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w:t>
            </w:r>
            <w:r>
              <w:rPr>
                <w:rFonts w:ascii="宋体" w:hAnsi="宋体"/>
                <w:szCs w:val="21"/>
                <w:highlight w:val="none"/>
              </w:rPr>
              <w:t>18符合第二章“投标人须知”第1.12.1项规定和第四章“合同条款及格式”中的实质性要求和条件，投标文件不应附有招标人不能接受的条件。</w:t>
            </w:r>
            <w:r>
              <w:rPr>
                <w:rFonts w:hint="eastAsia" w:ascii="宋体" w:hAnsi="宋体"/>
                <w:szCs w:val="21"/>
                <w:highlight w:val="none"/>
              </w:rPr>
              <w:t>否则由评标委员会作否决投标处理。（由投标人承诺，承诺书格式详见第六章投标文件格式。）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spacing w:line="360" w:lineRule="auto"/>
              <w:ind w:firstLine="420" w:firstLineChars="200"/>
              <w:rPr>
                <w:rFonts w:hint="eastAsia" w:ascii="Times New Roman" w:hAnsi="Times New Roman"/>
                <w:szCs w:val="22"/>
                <w:highlight w:val="none"/>
              </w:rPr>
            </w:pPr>
            <w:r>
              <w:rPr>
                <w:rFonts w:hint="eastAsia" w:ascii="宋体" w:hAnsi="宋体"/>
                <w:szCs w:val="21"/>
                <w:highlight w:val="none"/>
              </w:rPr>
              <w:t>A-19</w:t>
            </w:r>
            <w:r>
              <w:rPr>
                <w:rFonts w:hint="eastAsia"/>
                <w:color w:val="000000"/>
                <w:szCs w:val="22"/>
                <w:highlight w:val="none"/>
              </w:rPr>
              <w:t>符合第五章“发包人要求”中的实质性要求和条件（由投标人承诺，承诺书格式详见第六章投标文件格式。）本次投标不得有串通投标、弄虚作假等其他违反招投标相关法律、法规行为。按评标委员会要求澄清、说明或补正。</w:t>
            </w:r>
            <w:r>
              <w:rPr>
                <w:rFonts w:hint="eastAsia"/>
                <w:color w:val="000000"/>
                <w:szCs w:val="22"/>
                <w:highlight w:val="none"/>
                <w:lang w:val="en-US" w:eastAsia="zh-CN"/>
              </w:rPr>
              <w:t>否则</w:t>
            </w:r>
            <w:r>
              <w:rPr>
                <w:rFonts w:hint="eastAsia" w:ascii="宋体" w:hAnsi="宋体"/>
                <w:szCs w:val="21"/>
                <w:highlight w:val="none"/>
              </w:rPr>
              <w:t>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highlight w:val="none"/>
              </w:rPr>
            </w:pPr>
            <w:r>
              <w:rPr>
                <w:rFonts w:hint="eastAsia" w:ascii="宋体" w:hAnsi="宋体"/>
                <w:szCs w:val="21"/>
                <w:highlight w:val="none"/>
              </w:rPr>
              <w:t>投标</w:t>
            </w:r>
            <w:r>
              <w:rPr>
                <w:rFonts w:ascii="宋体" w:hAnsi="宋体"/>
                <w:szCs w:val="21"/>
                <w:highlight w:val="none"/>
              </w:rPr>
              <w:t>函部分及经济部分</w:t>
            </w:r>
            <w:r>
              <w:rPr>
                <w:rFonts w:hint="eastAsia" w:ascii="宋体" w:hAnsi="宋体"/>
                <w:szCs w:val="21"/>
                <w:highlight w:val="none"/>
              </w:rPr>
              <w:t>评审</w:t>
            </w:r>
          </w:p>
        </w:tc>
        <w:tc>
          <w:tcPr>
            <w:tcW w:w="7478" w:type="dxa"/>
            <w:vAlign w:val="center"/>
          </w:tcPr>
          <w:p>
            <w:pPr>
              <w:spacing w:line="400" w:lineRule="exact"/>
              <w:ind w:firstLine="420" w:firstLineChars="200"/>
              <w:rPr>
                <w:rFonts w:ascii="宋体" w:hAnsi="宋体"/>
                <w:szCs w:val="21"/>
                <w:highlight w:val="none"/>
              </w:rPr>
            </w:pPr>
            <w:r>
              <w:rPr>
                <w:rFonts w:hint="eastAsia" w:ascii="宋体" w:hAnsi="宋体"/>
                <w:szCs w:val="21"/>
                <w:highlight w:val="none"/>
              </w:rPr>
              <w:t>A-20投标函部分的格式要求法定代表人或其委托代理人签名（或盖章）的须齐全，</w:t>
            </w:r>
            <w:r>
              <w:rPr>
                <w:rFonts w:hint="eastAsia" w:ascii="宋体" w:hAnsi="宋体"/>
                <w:color w:val="auto"/>
                <w:szCs w:val="21"/>
                <w:highlight w:val="none"/>
                <w:lang w:val="en-US" w:eastAsia="zh-CN"/>
              </w:rPr>
              <w:t>要求签名的，</w:t>
            </w:r>
            <w:r>
              <w:rPr>
                <w:rFonts w:hint="eastAsia" w:ascii="宋体" w:hAnsi="宋体"/>
                <w:color w:val="auto"/>
                <w:szCs w:val="21"/>
                <w:highlight w:val="none"/>
              </w:rPr>
              <w:t>签名采用手写签名</w:t>
            </w:r>
            <w:r>
              <w:rPr>
                <w:rFonts w:hint="eastAsia" w:ascii="宋体" w:hAnsi="宋体"/>
                <w:color w:val="auto"/>
                <w:szCs w:val="21"/>
                <w:highlight w:val="none"/>
                <w:lang w:val="en-US" w:eastAsia="zh-CN"/>
              </w:rPr>
              <w:t>或签章</w:t>
            </w:r>
            <w:r>
              <w:rPr>
                <w:rFonts w:hint="eastAsia" w:ascii="宋体" w:hAnsi="宋体"/>
                <w:color w:val="auto"/>
                <w:szCs w:val="21"/>
                <w:highlight w:val="none"/>
              </w:rPr>
              <w:t>或加盖CA数字证书均可</w:t>
            </w:r>
            <w:r>
              <w:rPr>
                <w:rFonts w:hint="eastAsia" w:ascii="宋体" w:hAnsi="宋体"/>
                <w:color w:val="auto"/>
                <w:szCs w:val="21"/>
                <w:highlight w:val="none"/>
                <w:lang w:eastAsia="zh-CN"/>
              </w:rPr>
              <w:t>，</w:t>
            </w:r>
            <w:r>
              <w:rPr>
                <w:rFonts w:hint="eastAsia" w:ascii="宋体" w:hAnsi="宋体"/>
                <w:szCs w:val="21"/>
                <w:highlight w:val="none"/>
              </w:rPr>
              <w:t>要求加盖单位法人章的，应使用 CA 数字证书加盖投标人的单位电子印章，否则由评标委员会作否决投标处理。</w:t>
            </w:r>
          </w:p>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联合体投标的，投标函部分的格式中要求投标人加盖单位法人章的，均由联合体牵头人使用 CA 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A-21勘察服务期限符合第二章“投标人须知”第1.3.2项规定，否则由评标委员会作否决投标处理。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A-22质量标准符合第二章“投标人须知”第1.3.3项规定，否则由评标委员会作否决投标处理。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A-23投标有效期符合第二章“投标人须知”第3.3.1项规定，否则由评标委员会作否决投标处理。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A-24投标函中的投标报价</w:t>
            </w:r>
            <w:r>
              <w:rPr>
                <w:rFonts w:ascii="宋体" w:hAnsi="宋体"/>
                <w:szCs w:val="21"/>
                <w:highlight w:val="none"/>
              </w:rPr>
              <w:t>不得高于招标人公布的投标报价最高限价</w:t>
            </w:r>
            <w:r>
              <w:rPr>
                <w:rFonts w:hint="eastAsia" w:ascii="宋体" w:hAnsi="宋体"/>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A-25投标函中的</w:t>
            </w:r>
            <w:r>
              <w:rPr>
                <w:rFonts w:hint="eastAsia" w:ascii="宋体" w:hAnsi="宋体"/>
                <w:szCs w:val="21"/>
                <w:highlight w:val="none"/>
                <w:lang w:val="en-US" w:eastAsia="zh-CN"/>
              </w:rPr>
              <w:t>投标总</w:t>
            </w:r>
            <w:r>
              <w:rPr>
                <w:rFonts w:hint="eastAsia" w:ascii="宋体" w:hAnsi="宋体"/>
                <w:szCs w:val="21"/>
                <w:highlight w:val="none"/>
              </w:rPr>
              <w:t>报价必须与依据固定</w:t>
            </w:r>
            <w:r>
              <w:rPr>
                <w:rFonts w:hint="eastAsia" w:ascii="宋体" w:hAnsi="宋体"/>
                <w:szCs w:val="21"/>
                <w:highlight w:val="none"/>
                <w:lang w:val="en-US" w:eastAsia="zh-CN"/>
              </w:rPr>
              <w:t>费</w:t>
            </w:r>
            <w:r>
              <w:rPr>
                <w:rFonts w:hint="eastAsia" w:ascii="宋体" w:hAnsi="宋体"/>
                <w:szCs w:val="21"/>
                <w:highlight w:val="none"/>
              </w:rPr>
              <w:t>率（或</w:t>
            </w:r>
            <w:r>
              <w:rPr>
                <w:rFonts w:ascii="宋体" w:hAnsi="宋体"/>
                <w:szCs w:val="21"/>
                <w:highlight w:val="none"/>
              </w:rPr>
              <w:t>固定</w:t>
            </w:r>
            <w:r>
              <w:rPr>
                <w:rFonts w:hint="eastAsia" w:ascii="宋体" w:hAnsi="宋体"/>
                <w:szCs w:val="21"/>
                <w:highlight w:val="none"/>
              </w:rPr>
              <w:t>单价）计算出的结果</w:t>
            </w:r>
            <w:r>
              <w:rPr>
                <w:rFonts w:ascii="宋体" w:hAnsi="宋体"/>
                <w:szCs w:val="21"/>
                <w:highlight w:val="none"/>
              </w:rPr>
              <w:t>一致</w:t>
            </w:r>
            <w:r>
              <w:rPr>
                <w:rFonts w:hint="eastAsia" w:ascii="宋体" w:hAnsi="宋体"/>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A-26投标总报价低于最高限价85%的，投标人应在编制投标文件时，在投标函部分中递交低价风险担保</w:t>
            </w:r>
            <w:r>
              <w:rPr>
                <w:rFonts w:hint="eastAsia" w:ascii="宋体" w:hAnsi="宋体"/>
                <w:szCs w:val="21"/>
                <w:highlight w:val="none"/>
                <w:lang w:val="en-US" w:eastAsia="zh-CN"/>
              </w:rPr>
              <w:t>提交</w:t>
            </w:r>
            <w:r>
              <w:rPr>
                <w:rFonts w:hint="eastAsia" w:ascii="宋体" w:hAnsi="宋体"/>
                <w:szCs w:val="21"/>
                <w:highlight w:val="none"/>
              </w:rPr>
              <w:t>承诺书。承诺书格式详见第六章投标文件格式。否则由评标委员会作否决投标处理。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A-27</w:t>
            </w:r>
            <w:r>
              <w:rPr>
                <w:rFonts w:hint="eastAsia"/>
                <w:highlight w:val="none"/>
              </w:rPr>
              <w:t>采用勘察费用清单报价的，</w:t>
            </w:r>
            <w:r>
              <w:rPr>
                <w:rFonts w:hint="eastAsia" w:ascii="宋体" w:hAnsi="宋体"/>
                <w:szCs w:val="21"/>
                <w:highlight w:val="none"/>
              </w:rPr>
              <w:t>投标函中的投标总报价必须与勘察费用清单合计报价一致，否则由评标委员会作否决投标处理。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A-28只能有一个有效报价。在招标文件没有规定的情况下，不得提交选择性报价，否则由评标委员会作否决投标处理。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hint="eastAsia" w:ascii="宋体" w:hAnsi="宋体"/>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29</w:t>
            </w: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必须按照招标文件给定的金额填报</w:t>
            </w:r>
            <w:r>
              <w:rPr>
                <w:rFonts w:hint="eastAsia" w:ascii="宋体" w:hAnsi="宋体"/>
                <w:color w:val="auto"/>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w:t>
            </w:r>
            <w:r>
              <w:rPr>
                <w:rFonts w:hint="eastAsia" w:ascii="宋体" w:hAnsi="宋体"/>
                <w:szCs w:val="21"/>
                <w:highlight w:val="none"/>
                <w:lang w:val="en-US" w:eastAsia="zh-CN"/>
              </w:rPr>
              <w:t>30</w:t>
            </w:r>
            <w:r>
              <w:rPr>
                <w:rFonts w:hint="eastAsia" w:ascii="宋体" w:hAnsi="宋体"/>
                <w:szCs w:val="21"/>
                <w:highlight w:val="none"/>
              </w:rPr>
              <w:t>暂列金额、暂估价等暂定金额必须按照招标文件给定的金额填报，否则由评标委员会作否决投标处理。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highlight w:val="none"/>
              </w:rPr>
            </w:pPr>
          </w:p>
        </w:tc>
        <w:tc>
          <w:tcPr>
            <w:tcW w:w="7478" w:type="dxa"/>
            <w:vAlign w:val="center"/>
          </w:tcPr>
          <w:p>
            <w:pPr>
              <w:suppressLineNumbers w:val="0"/>
              <w:suppressAutoHyphens w:val="0"/>
              <w:spacing w:line="400" w:lineRule="exact"/>
              <w:ind w:firstLine="420" w:firstLineChars="200"/>
              <w:rPr>
                <w:rFonts w:ascii="宋体" w:hAnsi="宋体"/>
                <w:szCs w:val="21"/>
                <w:highlight w:val="none"/>
              </w:rPr>
            </w:pPr>
            <w:r>
              <w:rPr>
                <w:rFonts w:hint="eastAsia" w:ascii="宋体" w:hAnsi="宋体"/>
                <w:szCs w:val="21"/>
                <w:highlight w:val="none"/>
              </w:rPr>
              <w:t>A-3</w:t>
            </w:r>
            <w:r>
              <w:rPr>
                <w:rFonts w:hint="eastAsia" w:ascii="宋体" w:hAnsi="宋体"/>
                <w:szCs w:val="21"/>
                <w:highlight w:val="none"/>
                <w:lang w:val="en-US" w:eastAsia="zh-CN"/>
              </w:rPr>
              <w:t>1</w:t>
            </w:r>
            <w:r>
              <w:rPr>
                <w:rFonts w:hint="eastAsia" w:ascii="宋体" w:hAnsi="宋体"/>
                <w:szCs w:val="21"/>
                <w:highlight w:val="none"/>
              </w:rPr>
              <w:t>投标报价有算术错误的，按照第三章“评标办法”第3.2.3项规定执行，否则由评标委员会作否决投标处理。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515" w:type="dxa"/>
            <w:vAlign w:val="center"/>
          </w:tcPr>
          <w:p>
            <w:pPr>
              <w:spacing w:line="400" w:lineRule="exact"/>
              <w:jc w:val="center"/>
              <w:rPr>
                <w:rFonts w:ascii="宋体" w:hAnsi="宋体"/>
                <w:szCs w:val="21"/>
                <w:highlight w:val="none"/>
              </w:rPr>
            </w:pPr>
            <w:r>
              <w:rPr>
                <w:rFonts w:hint="eastAsia" w:ascii="宋体" w:hAnsi="宋体"/>
                <w:szCs w:val="21"/>
                <w:highlight w:val="none"/>
              </w:rPr>
              <w:t>其他</w:t>
            </w:r>
          </w:p>
        </w:tc>
        <w:tc>
          <w:tcPr>
            <w:tcW w:w="7478" w:type="dxa"/>
          </w:tcPr>
          <w:p>
            <w:pPr>
              <w:spacing w:line="400" w:lineRule="exact"/>
              <w:ind w:firstLine="420" w:firstLineChars="200"/>
              <w:rPr>
                <w:rFonts w:ascii="宋体" w:hAnsi="宋体"/>
                <w:i/>
                <w:szCs w:val="21"/>
                <w:highlight w:val="none"/>
              </w:rPr>
            </w:pPr>
            <w:r>
              <w:rPr>
                <w:rFonts w:hint="eastAsia" w:ascii="宋体" w:hAnsi="宋体"/>
                <w:i/>
                <w:szCs w:val="21"/>
                <w:highlight w:val="none"/>
              </w:rPr>
              <w:t>[提示：招标人必须将所有否决投标条款集中罗列于此表，若无其他否决投标条款则在该条写无。]</w:t>
            </w:r>
          </w:p>
        </w:tc>
      </w:tr>
    </w:tbl>
    <w:p>
      <w:pPr>
        <w:widowControl/>
        <w:spacing w:line="360" w:lineRule="auto"/>
        <w:rPr>
          <w:rFonts w:ascii="宋体" w:hAnsi="宋体"/>
          <w:kern w:val="0"/>
          <w:szCs w:val="21"/>
          <w:highlight w:val="none"/>
        </w:rPr>
      </w:pPr>
    </w:p>
    <w:p>
      <w:pPr>
        <w:rPr>
          <w:rFonts w:ascii="Calibri" w:hAnsi="Calibri"/>
          <w:szCs w:val="22"/>
          <w:highlight w:val="none"/>
        </w:rPr>
      </w:pPr>
    </w:p>
    <w:p>
      <w:pPr>
        <w:spacing w:line="240" w:lineRule="auto"/>
        <w:ind w:firstLine="0" w:firstLineChars="0"/>
        <w:rPr>
          <w:color w:val="000000"/>
          <w:szCs w:val="22"/>
          <w:highlight w:val="none"/>
        </w:rPr>
      </w:pPr>
      <w:r>
        <w:rPr>
          <w:color w:val="000000"/>
          <w:szCs w:val="22"/>
          <w:highlight w:val="none"/>
        </w:rPr>
        <w:br w:type="page"/>
      </w:r>
    </w:p>
    <w:p>
      <w:pPr>
        <w:pStyle w:val="2"/>
        <w:rPr>
          <w:highlight w:val="none"/>
        </w:rPr>
      </w:pPr>
    </w:p>
    <w:p>
      <w:pPr>
        <w:pStyle w:val="3"/>
        <w:spacing w:line="360" w:lineRule="auto"/>
        <w:jc w:val="center"/>
        <w:rPr>
          <w:rFonts w:ascii="宋体" w:hAnsi="宋体"/>
          <w:kern w:val="0"/>
          <w:highlight w:val="none"/>
        </w:rPr>
      </w:pPr>
      <w:bookmarkStart w:id="1246" w:name="_Toc19916"/>
      <w:bookmarkStart w:id="1247" w:name="_Toc75857070"/>
      <w:bookmarkStart w:id="1248" w:name="_Toc11374"/>
      <w:bookmarkStart w:id="1249" w:name="_Toc24185"/>
      <w:bookmarkStart w:id="1250" w:name="_Toc29440"/>
      <w:bookmarkStart w:id="1251" w:name="_Toc29787"/>
      <w:r>
        <w:rPr>
          <w:rFonts w:hint="eastAsia" w:ascii="宋体" w:hAnsi="宋体"/>
          <w:kern w:val="0"/>
          <w:highlight w:val="none"/>
        </w:rPr>
        <w:t>第四章  合同条款及格式</w:t>
      </w:r>
      <w:bookmarkEnd w:id="1014"/>
      <w:bookmarkEnd w:id="1015"/>
      <w:bookmarkEnd w:id="1246"/>
      <w:bookmarkEnd w:id="1247"/>
      <w:bookmarkEnd w:id="1248"/>
      <w:bookmarkEnd w:id="1249"/>
      <w:bookmarkEnd w:id="1250"/>
      <w:bookmarkEnd w:id="1251"/>
    </w:p>
    <w:p>
      <w:pPr>
        <w:rPr>
          <w:rFonts w:ascii="宋体" w:hAnsi="宋体"/>
          <w:sz w:val="44"/>
          <w:szCs w:val="44"/>
          <w:highlight w:val="none"/>
        </w:rPr>
      </w:pPr>
      <w:bookmarkStart w:id="1252" w:name="_Toc296503025"/>
      <w:bookmarkStart w:id="1253" w:name="_Toc296890982"/>
      <w:bookmarkStart w:id="1254" w:name="_Toc351203480"/>
    </w:p>
    <w:p>
      <w:pPr>
        <w:rPr>
          <w:rFonts w:ascii="宋体" w:hAnsi="宋体"/>
          <w:b/>
          <w:highlight w:val="none"/>
        </w:rPr>
      </w:pPr>
      <w:r>
        <w:rPr>
          <w:highlight w:val="none"/>
        </w:rPr>
        <mc:AlternateContent>
          <mc:Choice Requires="wps">
            <w:drawing>
              <wp:anchor distT="0" distB="0" distL="114300" distR="114300" simplePos="0" relativeHeight="251659264" behindDoc="0" locked="0" layoutInCell="1" allowOverlap="1">
                <wp:simplePos x="0" y="0"/>
                <wp:positionH relativeFrom="column">
                  <wp:posOffset>2691130</wp:posOffset>
                </wp:positionH>
                <wp:positionV relativeFrom="paragraph">
                  <wp:posOffset>8717280</wp:posOffset>
                </wp:positionV>
                <wp:extent cx="807720" cy="693420"/>
                <wp:effectExtent l="0" t="0" r="11430" b="11430"/>
                <wp:wrapNone/>
                <wp:docPr id="1" name="矩形 130"/>
                <wp:cNvGraphicFramePr/>
                <a:graphic xmlns:a="http://schemas.openxmlformats.org/drawingml/2006/main">
                  <a:graphicData uri="http://schemas.microsoft.com/office/word/2010/wordprocessingShape">
                    <wps:wsp>
                      <wps:cNvSpPr/>
                      <wps:spPr>
                        <a:xfrm>
                          <a:off x="0" y="0"/>
                          <a:ext cx="807720" cy="693420"/>
                        </a:xfrm>
                        <a:prstGeom prst="rect">
                          <a:avLst/>
                        </a:prstGeom>
                        <a:solidFill>
                          <a:srgbClr val="FFFFFF"/>
                        </a:solidFill>
                        <a:ln>
                          <a:noFill/>
                        </a:ln>
                      </wps:spPr>
                      <wps:txbx>
                        <w:txbxContent>
                          <w:p/>
                        </w:txbxContent>
                      </wps:txbx>
                      <wps:bodyPr wrap="square" upright="1"/>
                    </wps:wsp>
                  </a:graphicData>
                </a:graphic>
              </wp:anchor>
            </w:drawing>
          </mc:Choice>
          <mc:Fallback>
            <w:pict>
              <v:rect id="矩形 130" o:spid="_x0000_s1026" o:spt="1" style="position:absolute;left:0pt;margin-left:211.9pt;margin-top:686.4pt;height:54.6pt;width:63.6pt;z-index:251659264;mso-width-relative:page;mso-height-relative:page;" fillcolor="#FFFFFF" filled="t" stroked="f" coordsize="21600,21600" o:gfxdata="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Dz153fZAAAADQEAAA8A&#10;AAAAAAAAAQAgAAAAIgAAAGRycy9kb3ducmV2LnhtbFBLAQIUABQAAAAIAIdO4kAlk1sdpAEAACsD&#10;AAAOAAAAAAAAAAEAIAAAACgBAABkcnMvZTJvRG9jLnhtbFBLBQYAAAAABgAGAFkBAAA+BQAAAAA=&#10;">
                <v:fill on="t" focussize="0,0"/>
                <v:stroke on="f"/>
                <v:imagedata o:title=""/>
                <o:lock v:ext="edit" aspectratio="f"/>
                <v:textbox>
                  <w:txbxContent>
                    <w:p/>
                  </w:txbxContent>
                </v:textbox>
              </v:rect>
            </w:pict>
          </mc:Fallback>
        </mc:AlternateContent>
      </w:r>
      <w:r>
        <w:rPr>
          <w:rFonts w:ascii="宋体" w:hAnsi="宋体"/>
          <w:highlight w:val="none"/>
        </w:rPr>
        <w:br w:type="page"/>
      </w:r>
    </w:p>
    <w:p>
      <w:pPr>
        <w:keepNext/>
        <w:keepLines/>
        <w:widowControl/>
        <w:tabs>
          <w:tab w:val="left" w:pos="8931"/>
        </w:tabs>
        <w:spacing w:before="340" w:after="330" w:line="360" w:lineRule="auto"/>
        <w:ind w:right="120" w:rightChars="57"/>
        <w:jc w:val="center"/>
        <w:outlineLvl w:val="1"/>
        <w:rPr>
          <w:rFonts w:ascii="宋体" w:hAnsi="宋体"/>
          <w:b/>
          <w:bCs/>
          <w:kern w:val="44"/>
          <w:sz w:val="44"/>
          <w:szCs w:val="44"/>
          <w:highlight w:val="none"/>
        </w:rPr>
      </w:pPr>
      <w:bookmarkStart w:id="1255" w:name="_Toc6663"/>
      <w:bookmarkStart w:id="1256" w:name="_Toc8493"/>
      <w:bookmarkStart w:id="1257" w:name="_Toc31474"/>
      <w:bookmarkStart w:id="1258" w:name="_Toc75857071"/>
      <w:bookmarkStart w:id="1259" w:name="_Toc9623"/>
      <w:bookmarkStart w:id="1260" w:name="_Toc2151"/>
      <w:bookmarkStart w:id="1261" w:name="_Toc536463072"/>
      <w:bookmarkStart w:id="1262" w:name="_Toc492300833"/>
      <w:r>
        <w:rPr>
          <w:rFonts w:ascii="宋体" w:hAnsi="宋体"/>
          <w:b/>
          <w:bCs/>
          <w:kern w:val="44"/>
          <w:sz w:val="44"/>
          <w:szCs w:val="44"/>
          <w:highlight w:val="none"/>
        </w:rPr>
        <w:t>第一节 合同协议书</w:t>
      </w:r>
      <w:bookmarkEnd w:id="1255"/>
      <w:bookmarkEnd w:id="1256"/>
      <w:bookmarkEnd w:id="1257"/>
      <w:bookmarkEnd w:id="1258"/>
      <w:bookmarkEnd w:id="1259"/>
      <w:bookmarkEnd w:id="1260"/>
      <w:bookmarkEnd w:id="1261"/>
    </w:p>
    <w:p>
      <w:pPr>
        <w:widowControl/>
        <w:tabs>
          <w:tab w:val="left" w:pos="1820"/>
          <w:tab w:val="left" w:pos="8931"/>
          <w:tab w:val="left" w:pos="9781"/>
        </w:tabs>
        <w:adjustRightInd w:val="0"/>
        <w:snapToGrid w:val="0"/>
        <w:spacing w:line="360" w:lineRule="auto"/>
        <w:ind w:right="-99" w:rightChars="-47" w:firstLine="361" w:firstLineChars="200"/>
        <w:jc w:val="left"/>
        <w:rPr>
          <w:rFonts w:ascii="宋体" w:hAnsi="宋体"/>
          <w:kern w:val="0"/>
          <w:sz w:val="18"/>
          <w:szCs w:val="18"/>
          <w:highlight w:val="none"/>
          <w:u w:val="single"/>
        </w:rPr>
      </w:pPr>
      <w:r>
        <w:rPr>
          <w:rFonts w:ascii="宋体" w:hAnsi="宋体"/>
          <w:b/>
          <w:kern w:val="0"/>
          <w:sz w:val="18"/>
          <w:szCs w:val="18"/>
          <w:highlight w:val="none"/>
        </w:rPr>
        <w:t>发包人：</w:t>
      </w:r>
      <w:r>
        <w:rPr>
          <w:rFonts w:ascii="宋体" w:hAnsi="宋体"/>
          <w:kern w:val="0"/>
          <w:sz w:val="18"/>
          <w:szCs w:val="18"/>
          <w:highlight w:val="none"/>
          <w:u w:val="single"/>
        </w:rPr>
        <w:t xml:space="preserve">       </w:t>
      </w:r>
      <w:r>
        <w:rPr>
          <w:rFonts w:hint="eastAsia" w:ascii="宋体" w:hAnsi="宋体"/>
          <w:kern w:val="0"/>
          <w:sz w:val="18"/>
          <w:szCs w:val="18"/>
          <w:highlight w:val="none"/>
          <w:u w:val="single"/>
        </w:rPr>
        <w:t xml:space="preserve">      </w:t>
      </w:r>
      <w:r>
        <w:rPr>
          <w:rFonts w:ascii="宋体" w:hAnsi="宋体"/>
          <w:kern w:val="0"/>
          <w:sz w:val="18"/>
          <w:szCs w:val="18"/>
          <w:highlight w:val="none"/>
          <w:u w:val="single"/>
        </w:rPr>
        <w:t xml:space="preserve"> </w:t>
      </w:r>
      <w:r>
        <w:rPr>
          <w:rFonts w:hint="eastAsia" w:ascii="宋体" w:hAnsi="宋体"/>
          <w:kern w:val="0"/>
          <w:sz w:val="18"/>
          <w:szCs w:val="18"/>
          <w:highlight w:val="none"/>
          <w:u w:val="single"/>
        </w:rPr>
        <w:t xml:space="preserve"> </w:t>
      </w:r>
      <w:r>
        <w:rPr>
          <w:rFonts w:ascii="宋体" w:hAnsi="宋体"/>
          <w:kern w:val="0"/>
          <w:sz w:val="18"/>
          <w:szCs w:val="18"/>
          <w:highlight w:val="none"/>
          <w:u w:val="single"/>
        </w:rPr>
        <w:t xml:space="preserve">        </w:t>
      </w:r>
    </w:p>
    <w:p>
      <w:pPr>
        <w:widowControl/>
        <w:tabs>
          <w:tab w:val="left" w:pos="1820"/>
          <w:tab w:val="left" w:pos="8931"/>
          <w:tab w:val="left" w:pos="9781"/>
        </w:tabs>
        <w:adjustRightInd w:val="0"/>
        <w:snapToGrid w:val="0"/>
        <w:spacing w:line="360" w:lineRule="auto"/>
        <w:ind w:right="120" w:rightChars="57" w:firstLine="361" w:firstLineChars="200"/>
        <w:jc w:val="left"/>
        <w:rPr>
          <w:rFonts w:ascii="宋体" w:hAnsi="宋体"/>
          <w:b/>
          <w:kern w:val="0"/>
          <w:sz w:val="18"/>
          <w:szCs w:val="18"/>
          <w:highlight w:val="none"/>
        </w:rPr>
      </w:pPr>
      <w:r>
        <w:rPr>
          <w:rFonts w:hint="eastAsia" w:ascii="宋体" w:hAnsi="宋体"/>
          <w:b/>
          <w:kern w:val="0"/>
          <w:sz w:val="18"/>
          <w:szCs w:val="18"/>
          <w:highlight w:val="none"/>
        </w:rPr>
        <w:t>勘察</w:t>
      </w:r>
      <w:r>
        <w:rPr>
          <w:rFonts w:ascii="宋体" w:hAnsi="宋体"/>
          <w:b/>
          <w:kern w:val="0"/>
          <w:sz w:val="18"/>
          <w:szCs w:val="18"/>
          <w:highlight w:val="none"/>
        </w:rPr>
        <w:t>人：</w:t>
      </w:r>
      <w:r>
        <w:rPr>
          <w:rFonts w:ascii="宋体" w:hAnsi="宋体"/>
          <w:kern w:val="0"/>
          <w:sz w:val="18"/>
          <w:szCs w:val="18"/>
          <w:highlight w:val="none"/>
          <w:u w:val="single"/>
        </w:rPr>
        <w:t xml:space="preserve">        </w:t>
      </w:r>
      <w:r>
        <w:rPr>
          <w:rFonts w:hint="eastAsia" w:ascii="宋体" w:hAnsi="宋体"/>
          <w:kern w:val="0"/>
          <w:sz w:val="18"/>
          <w:szCs w:val="18"/>
          <w:highlight w:val="none"/>
          <w:u w:val="single"/>
        </w:rPr>
        <w:t xml:space="preserve">       </w:t>
      </w:r>
      <w:r>
        <w:rPr>
          <w:rFonts w:ascii="宋体" w:hAnsi="宋体"/>
          <w:kern w:val="0"/>
          <w:sz w:val="18"/>
          <w:szCs w:val="18"/>
          <w:highlight w:val="none"/>
          <w:u w:val="single"/>
        </w:rPr>
        <w:t xml:space="preserve">        </w:t>
      </w:r>
    </w:p>
    <w:p>
      <w:pPr>
        <w:widowControl/>
        <w:tabs>
          <w:tab w:val="left" w:pos="1044"/>
          <w:tab w:val="left" w:pos="893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依据《</w:t>
      </w:r>
      <w:r>
        <w:rPr>
          <w:rFonts w:ascii="宋体" w:hAnsi="宋体"/>
          <w:szCs w:val="21"/>
          <w:highlight w:val="none"/>
        </w:rPr>
        <w:t>中华人民共和国</w:t>
      </w:r>
      <w:r>
        <w:rPr>
          <w:rFonts w:hint="eastAsia" w:ascii="宋体" w:hAnsi="宋体"/>
          <w:szCs w:val="21"/>
          <w:highlight w:val="none"/>
        </w:rPr>
        <w:t>民法典</w:t>
      </w:r>
      <w:r>
        <w:rPr>
          <w:rFonts w:ascii="宋体" w:hAnsi="宋体"/>
          <w:szCs w:val="21"/>
          <w:highlight w:val="none"/>
        </w:rPr>
        <w:t>》、《中华人民共和国建筑法》、《建设工程勘察设计管理条例》</w:t>
      </w:r>
      <w:r>
        <w:rPr>
          <w:rFonts w:ascii="宋体" w:hAnsi="宋体"/>
          <w:kern w:val="0"/>
          <w:szCs w:val="21"/>
          <w:highlight w:val="none"/>
        </w:rPr>
        <w:t>及有关法律规定，遵循平等、自愿、公平和诚实信用的原则，双方就</w:t>
      </w:r>
      <w:r>
        <w:rPr>
          <w:rFonts w:ascii="宋体" w:hAnsi="宋体"/>
          <w:kern w:val="0"/>
          <w:szCs w:val="21"/>
          <w:highlight w:val="none"/>
          <w:u w:val="single"/>
        </w:rPr>
        <w:t xml:space="preserve">      （项目名称）       </w:t>
      </w:r>
      <w:r>
        <w:rPr>
          <w:rFonts w:ascii="宋体" w:hAnsi="宋体"/>
          <w:kern w:val="0"/>
          <w:szCs w:val="21"/>
          <w:highlight w:val="none"/>
        </w:rPr>
        <w:t>勘察服务及有关事项协商一致，共同达成如下协议：</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1.下列文件一起构成合同文件：</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（1）合同协议书及</w:t>
      </w:r>
      <w:r>
        <w:rPr>
          <w:rFonts w:hint="eastAsia" w:ascii="宋体" w:hAnsi="宋体"/>
          <w:kern w:val="0"/>
          <w:szCs w:val="21"/>
          <w:highlight w:val="none"/>
        </w:rPr>
        <w:t>补充协议（如有）</w:t>
      </w:r>
      <w:r>
        <w:rPr>
          <w:rFonts w:ascii="宋体" w:hAnsi="宋体"/>
          <w:kern w:val="0"/>
          <w:szCs w:val="21"/>
          <w:highlight w:val="none"/>
        </w:rPr>
        <w:t>；</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（2）中标通知书；</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（3）投标函及投标函附录；</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（4）专用合同条款；</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（5）通用合同条款；</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（6）发包人要求；</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w:t>
      </w:r>
      <w:r>
        <w:rPr>
          <w:rFonts w:hint="eastAsia" w:ascii="宋体" w:hAnsi="宋体"/>
          <w:kern w:val="0"/>
          <w:szCs w:val="21"/>
          <w:highlight w:val="none"/>
        </w:rPr>
        <w:t>7</w:t>
      </w:r>
      <w:r>
        <w:rPr>
          <w:rFonts w:ascii="宋体" w:hAnsi="宋体"/>
          <w:kern w:val="0"/>
          <w:szCs w:val="21"/>
          <w:highlight w:val="none"/>
        </w:rPr>
        <w:t>）勘察费用清单</w:t>
      </w:r>
      <w:r>
        <w:rPr>
          <w:rFonts w:hint="eastAsia" w:ascii="宋体" w:hAnsi="宋体"/>
          <w:kern w:val="0"/>
          <w:szCs w:val="21"/>
          <w:highlight w:val="none"/>
          <w:lang w:eastAsia="zh-CN"/>
        </w:rPr>
        <w:t>（</w:t>
      </w:r>
      <w:r>
        <w:rPr>
          <w:rFonts w:hint="eastAsia" w:ascii="宋体" w:hAnsi="宋体"/>
          <w:kern w:val="0"/>
          <w:szCs w:val="21"/>
          <w:highlight w:val="none"/>
          <w:lang w:val="en-US" w:eastAsia="zh-CN"/>
        </w:rPr>
        <w:t>如有</w:t>
      </w:r>
      <w:r>
        <w:rPr>
          <w:rFonts w:hint="eastAsia" w:ascii="宋体" w:hAnsi="宋体"/>
          <w:kern w:val="0"/>
          <w:szCs w:val="21"/>
          <w:highlight w:val="none"/>
          <w:lang w:eastAsia="zh-CN"/>
        </w:rPr>
        <w:t>）</w:t>
      </w:r>
      <w:r>
        <w:rPr>
          <w:rFonts w:ascii="宋体" w:hAnsi="宋体"/>
          <w:kern w:val="0"/>
          <w:szCs w:val="21"/>
          <w:highlight w:val="none"/>
        </w:rPr>
        <w:t>；</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w:t>
      </w:r>
      <w:r>
        <w:rPr>
          <w:rFonts w:hint="eastAsia" w:ascii="宋体" w:hAnsi="宋体"/>
          <w:kern w:val="0"/>
          <w:szCs w:val="21"/>
          <w:highlight w:val="none"/>
        </w:rPr>
        <w:t>8</w:t>
      </w:r>
      <w:r>
        <w:rPr>
          <w:rFonts w:ascii="宋体" w:hAnsi="宋体"/>
          <w:kern w:val="0"/>
          <w:szCs w:val="21"/>
          <w:highlight w:val="none"/>
        </w:rPr>
        <w:t>）勘察纲要；</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hint="eastAsia" w:ascii="宋体" w:hAnsi="宋体"/>
          <w:kern w:val="0"/>
          <w:szCs w:val="21"/>
          <w:highlight w:val="none"/>
        </w:rPr>
        <w:t>（9）主要人员汇总表；</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hint="eastAsia" w:ascii="宋体" w:hAnsi="宋体"/>
          <w:kern w:val="0"/>
          <w:szCs w:val="21"/>
          <w:highlight w:val="none"/>
          <w:u w:val="single"/>
        </w:rPr>
        <w:t>（10）其他合同文件</w:t>
      </w:r>
      <w:r>
        <w:rPr>
          <w:rFonts w:hint="eastAsia" w:ascii="宋体" w:hAnsi="宋体"/>
          <w:kern w:val="0"/>
          <w:szCs w:val="21"/>
          <w:highlight w:val="none"/>
        </w:rPr>
        <w:t>。</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上述各项合同文件包括合同当事人就该项合同文件所</w:t>
      </w:r>
      <w:r>
        <w:rPr>
          <w:rFonts w:hint="eastAsia" w:ascii="宋体" w:hAnsi="宋体"/>
          <w:kern w:val="0"/>
          <w:szCs w:val="21"/>
          <w:highlight w:val="none"/>
        </w:rPr>
        <w:t>做出</w:t>
      </w:r>
      <w:r>
        <w:rPr>
          <w:rFonts w:ascii="宋体" w:hAnsi="宋体"/>
          <w:kern w:val="0"/>
          <w:szCs w:val="21"/>
          <w:highlight w:val="none"/>
        </w:rPr>
        <w:t>的补充和修改，属于同一类内容的文件，应以最新签署的为准。</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2.上述合同文件互相补充和解释。如果合同文件之间存在矛盾或不一致之处，以上述文件的排列顺序在先者为准。</w:t>
      </w:r>
    </w:p>
    <w:p>
      <w:pPr>
        <w:widowControl/>
        <w:tabs>
          <w:tab w:val="left" w:pos="8931"/>
        </w:tabs>
        <w:snapToGrid w:val="0"/>
        <w:spacing w:line="600" w:lineRule="exact"/>
        <w:ind w:right="-99" w:rightChars="-47" w:firstLine="420" w:firstLineChars="200"/>
        <w:jc w:val="left"/>
        <w:rPr>
          <w:rFonts w:ascii="宋体" w:hAnsi="宋体"/>
          <w:kern w:val="0"/>
          <w:szCs w:val="21"/>
          <w:highlight w:val="none"/>
        </w:rPr>
      </w:pPr>
      <w:r>
        <w:rPr>
          <w:rFonts w:ascii="宋体" w:hAnsi="宋体"/>
          <w:kern w:val="0"/>
          <w:szCs w:val="21"/>
          <w:highlight w:val="none"/>
        </w:rPr>
        <w:t>3.项目名称、项目规模及勘察</w:t>
      </w:r>
      <w:r>
        <w:rPr>
          <w:rFonts w:hint="eastAsia" w:ascii="宋体" w:hAnsi="宋体"/>
          <w:kern w:val="0"/>
          <w:szCs w:val="21"/>
          <w:highlight w:val="none"/>
        </w:rPr>
        <w:t>工作</w:t>
      </w:r>
      <w:r>
        <w:rPr>
          <w:rFonts w:ascii="宋体" w:hAnsi="宋体"/>
          <w:kern w:val="0"/>
          <w:szCs w:val="21"/>
          <w:highlight w:val="none"/>
        </w:rPr>
        <w:t>内容（根据行业特点填写）</w:t>
      </w:r>
    </w:p>
    <w:p>
      <w:pPr>
        <w:widowControl/>
        <w:tabs>
          <w:tab w:val="left" w:pos="8931"/>
        </w:tabs>
        <w:adjustRightInd w:val="0"/>
        <w:snapToGrid w:val="0"/>
        <w:spacing w:line="600" w:lineRule="exact"/>
        <w:ind w:right="120" w:rightChars="57" w:firstLine="420" w:firstLineChars="200"/>
        <w:jc w:val="left"/>
        <w:rPr>
          <w:rFonts w:ascii="宋体" w:hAnsi="宋体"/>
          <w:kern w:val="0"/>
          <w:szCs w:val="21"/>
          <w:highlight w:val="none"/>
        </w:rPr>
      </w:pPr>
      <w:r>
        <w:rPr>
          <w:rFonts w:hint="eastAsia" w:ascii="宋体" w:hAnsi="宋体" w:cs="宋体"/>
          <w:bCs/>
          <w:kern w:val="0"/>
          <w:szCs w:val="21"/>
          <w:highlight w:val="none"/>
        </w:rPr>
        <w:t>①</w:t>
      </w:r>
      <w:r>
        <w:rPr>
          <w:rFonts w:ascii="宋体" w:hAnsi="宋体"/>
          <w:kern w:val="0"/>
          <w:szCs w:val="21"/>
          <w:highlight w:val="none"/>
        </w:rPr>
        <w:t>项目</w:t>
      </w:r>
      <w:r>
        <w:rPr>
          <w:rFonts w:ascii="宋体" w:hAnsi="宋体"/>
          <w:bCs/>
          <w:kern w:val="0"/>
          <w:szCs w:val="21"/>
          <w:highlight w:val="none"/>
        </w:rPr>
        <w:t>名称</w:t>
      </w:r>
      <w:r>
        <w:rPr>
          <w:rFonts w:ascii="宋体" w:hAnsi="宋体"/>
          <w:kern w:val="0"/>
          <w:szCs w:val="21"/>
          <w:highlight w:val="none"/>
        </w:rPr>
        <w:t>：</w:t>
      </w:r>
      <w:r>
        <w:rPr>
          <w:rFonts w:ascii="宋体" w:hAnsi="宋体"/>
          <w:kern w:val="0"/>
          <w:szCs w:val="21"/>
          <w:highlight w:val="none"/>
          <w:u w:val="single"/>
        </w:rPr>
        <w:tab/>
      </w:r>
      <w:r>
        <w:rPr>
          <w:rFonts w:ascii="宋体" w:hAnsi="宋体"/>
          <w:kern w:val="0"/>
          <w:szCs w:val="21"/>
          <w:highlight w:val="none"/>
        </w:rPr>
        <w:t>。</w:t>
      </w:r>
    </w:p>
    <w:p>
      <w:pPr>
        <w:widowControl/>
        <w:tabs>
          <w:tab w:val="left" w:pos="8931"/>
        </w:tabs>
        <w:adjustRightInd w:val="0"/>
        <w:snapToGrid w:val="0"/>
        <w:spacing w:line="600" w:lineRule="exact"/>
        <w:ind w:right="120" w:rightChars="57" w:firstLine="420" w:firstLineChars="200"/>
        <w:jc w:val="left"/>
        <w:rPr>
          <w:rFonts w:ascii="宋体" w:hAnsi="宋体"/>
          <w:kern w:val="0"/>
          <w:szCs w:val="21"/>
          <w:highlight w:val="none"/>
          <w:u w:val="single"/>
        </w:rPr>
      </w:pPr>
      <w:r>
        <w:rPr>
          <w:rFonts w:hint="eastAsia" w:ascii="宋体" w:hAnsi="宋体" w:cs="宋体"/>
          <w:bCs/>
          <w:kern w:val="0"/>
          <w:szCs w:val="21"/>
          <w:highlight w:val="none"/>
        </w:rPr>
        <w:t>②</w:t>
      </w:r>
      <w:r>
        <w:rPr>
          <w:rFonts w:ascii="宋体" w:hAnsi="宋体"/>
          <w:kern w:val="0"/>
          <w:szCs w:val="21"/>
          <w:highlight w:val="none"/>
        </w:rPr>
        <w:t>项目规模：</w:t>
      </w:r>
      <w:r>
        <w:rPr>
          <w:rFonts w:ascii="宋体" w:hAnsi="宋体"/>
          <w:kern w:val="0"/>
          <w:szCs w:val="21"/>
          <w:highlight w:val="none"/>
          <w:u w:val="single"/>
        </w:rPr>
        <w:tab/>
      </w:r>
      <w:r>
        <w:rPr>
          <w:rFonts w:ascii="宋体" w:hAnsi="宋体"/>
          <w:kern w:val="0"/>
          <w:szCs w:val="21"/>
          <w:highlight w:val="none"/>
        </w:rPr>
        <w:t>。</w:t>
      </w:r>
    </w:p>
    <w:p>
      <w:pPr>
        <w:widowControl/>
        <w:tabs>
          <w:tab w:val="left" w:pos="8931"/>
        </w:tabs>
        <w:adjustRightInd w:val="0"/>
        <w:snapToGrid w:val="0"/>
        <w:spacing w:line="600" w:lineRule="exact"/>
        <w:ind w:right="120" w:rightChars="57" w:firstLine="420" w:firstLineChars="200"/>
        <w:jc w:val="left"/>
        <w:rPr>
          <w:rFonts w:ascii="宋体" w:hAnsi="宋体"/>
          <w:bCs/>
          <w:kern w:val="0"/>
          <w:szCs w:val="21"/>
          <w:highlight w:val="none"/>
        </w:rPr>
      </w:pPr>
      <w:r>
        <w:rPr>
          <w:rFonts w:hint="eastAsia" w:ascii="宋体" w:hAnsi="宋体" w:cs="宋体"/>
          <w:bCs/>
          <w:kern w:val="0"/>
          <w:szCs w:val="21"/>
          <w:highlight w:val="none"/>
        </w:rPr>
        <w:t>③</w:t>
      </w:r>
      <w:r>
        <w:rPr>
          <w:rFonts w:ascii="宋体" w:hAnsi="宋体"/>
          <w:kern w:val="0"/>
          <w:szCs w:val="21"/>
          <w:highlight w:val="none"/>
        </w:rPr>
        <w:t>项目</w:t>
      </w:r>
      <w:r>
        <w:rPr>
          <w:rFonts w:ascii="宋体" w:hAnsi="宋体"/>
          <w:bCs/>
          <w:kern w:val="0"/>
          <w:szCs w:val="21"/>
          <w:highlight w:val="none"/>
        </w:rPr>
        <w:t>地点：</w:t>
      </w:r>
      <w:r>
        <w:rPr>
          <w:rFonts w:ascii="宋体" w:hAnsi="宋体"/>
          <w:kern w:val="0"/>
          <w:szCs w:val="21"/>
          <w:highlight w:val="none"/>
          <w:u w:val="single"/>
        </w:rPr>
        <w:tab/>
      </w:r>
      <w:r>
        <w:rPr>
          <w:rFonts w:ascii="宋体" w:hAnsi="宋体"/>
          <w:kern w:val="0"/>
          <w:szCs w:val="21"/>
          <w:highlight w:val="none"/>
        </w:rPr>
        <w:t>。</w:t>
      </w:r>
    </w:p>
    <w:p>
      <w:pPr>
        <w:widowControl/>
        <w:tabs>
          <w:tab w:val="left" w:pos="8931"/>
        </w:tabs>
        <w:adjustRightInd w:val="0"/>
        <w:snapToGrid w:val="0"/>
        <w:spacing w:line="600" w:lineRule="exact"/>
        <w:ind w:right="120" w:rightChars="57" w:firstLine="420" w:firstLineChars="200"/>
        <w:jc w:val="left"/>
        <w:rPr>
          <w:rFonts w:ascii="宋体" w:hAnsi="宋体"/>
          <w:bCs/>
          <w:kern w:val="0"/>
          <w:szCs w:val="21"/>
          <w:highlight w:val="none"/>
        </w:rPr>
      </w:pPr>
      <w:r>
        <w:rPr>
          <w:rFonts w:hint="eastAsia" w:ascii="宋体" w:hAnsi="宋体" w:cs="宋体"/>
          <w:bCs/>
          <w:kern w:val="0"/>
          <w:szCs w:val="21"/>
          <w:highlight w:val="none"/>
        </w:rPr>
        <w:t>④</w:t>
      </w:r>
      <w:r>
        <w:rPr>
          <w:rFonts w:ascii="宋体" w:hAnsi="宋体"/>
          <w:kern w:val="0"/>
          <w:szCs w:val="21"/>
          <w:highlight w:val="none"/>
        </w:rPr>
        <w:t>项目</w:t>
      </w:r>
      <w:r>
        <w:rPr>
          <w:rFonts w:ascii="宋体" w:hAnsi="宋体"/>
          <w:bCs/>
          <w:kern w:val="0"/>
          <w:szCs w:val="21"/>
          <w:highlight w:val="none"/>
        </w:rPr>
        <w:t>立项：</w:t>
      </w:r>
      <w:r>
        <w:rPr>
          <w:rFonts w:ascii="宋体" w:hAnsi="宋体"/>
          <w:kern w:val="0"/>
          <w:szCs w:val="21"/>
          <w:highlight w:val="none"/>
          <w:u w:val="single"/>
        </w:rPr>
        <w:tab/>
      </w:r>
      <w:r>
        <w:rPr>
          <w:rFonts w:ascii="宋体" w:hAnsi="宋体"/>
          <w:bCs/>
          <w:kern w:val="0"/>
          <w:szCs w:val="21"/>
          <w:highlight w:val="none"/>
        </w:rPr>
        <w:t>。</w:t>
      </w:r>
    </w:p>
    <w:p>
      <w:pPr>
        <w:widowControl/>
        <w:tabs>
          <w:tab w:val="left" w:pos="8931"/>
        </w:tabs>
        <w:adjustRightInd w:val="0"/>
        <w:snapToGrid w:val="0"/>
        <w:spacing w:line="600" w:lineRule="exact"/>
        <w:ind w:right="120" w:rightChars="57" w:firstLine="420" w:firstLineChars="200"/>
        <w:jc w:val="left"/>
        <w:rPr>
          <w:rFonts w:ascii="宋体" w:hAnsi="宋体"/>
          <w:bCs/>
          <w:kern w:val="0"/>
          <w:szCs w:val="21"/>
          <w:highlight w:val="none"/>
        </w:rPr>
      </w:pPr>
      <w:r>
        <w:rPr>
          <w:rFonts w:hint="eastAsia" w:ascii="宋体" w:hAnsi="宋体" w:cs="宋体"/>
          <w:bCs/>
          <w:kern w:val="0"/>
          <w:szCs w:val="21"/>
          <w:highlight w:val="none"/>
        </w:rPr>
        <w:t>⑤</w:t>
      </w:r>
      <w:r>
        <w:rPr>
          <w:rFonts w:ascii="宋体" w:hAnsi="宋体"/>
          <w:bCs/>
          <w:kern w:val="0"/>
          <w:szCs w:val="21"/>
          <w:highlight w:val="none"/>
        </w:rPr>
        <w:t>资金来源：</w:t>
      </w:r>
      <w:r>
        <w:rPr>
          <w:rFonts w:ascii="宋体" w:hAnsi="宋体"/>
          <w:kern w:val="0"/>
          <w:szCs w:val="21"/>
          <w:highlight w:val="none"/>
          <w:u w:val="single"/>
        </w:rPr>
        <w:tab/>
      </w:r>
      <w:r>
        <w:rPr>
          <w:rFonts w:ascii="宋体" w:hAnsi="宋体"/>
          <w:bCs/>
          <w:kern w:val="0"/>
          <w:szCs w:val="21"/>
          <w:highlight w:val="none"/>
        </w:rPr>
        <w:t>。</w:t>
      </w:r>
    </w:p>
    <w:p>
      <w:pPr>
        <w:widowControl/>
        <w:tabs>
          <w:tab w:val="left" w:pos="8931"/>
        </w:tabs>
        <w:adjustRightInd w:val="0"/>
        <w:snapToGrid w:val="0"/>
        <w:spacing w:line="600" w:lineRule="exact"/>
        <w:ind w:right="42" w:rightChars="20" w:firstLine="420" w:firstLineChars="200"/>
        <w:jc w:val="left"/>
        <w:rPr>
          <w:rFonts w:ascii="宋体" w:hAnsi="宋体"/>
          <w:bCs/>
          <w:kern w:val="0"/>
          <w:szCs w:val="21"/>
          <w:highlight w:val="none"/>
        </w:rPr>
      </w:pPr>
      <w:r>
        <w:rPr>
          <w:rFonts w:hint="eastAsia" w:ascii="宋体" w:hAnsi="宋体" w:cs="宋体"/>
          <w:bCs/>
          <w:kern w:val="0"/>
          <w:szCs w:val="21"/>
          <w:highlight w:val="none"/>
        </w:rPr>
        <w:t>⑥</w:t>
      </w:r>
      <w:r>
        <w:rPr>
          <w:rFonts w:hint="eastAsia" w:ascii="宋体" w:hAnsi="宋体"/>
          <w:kern w:val="0"/>
          <w:szCs w:val="21"/>
          <w:highlight w:val="none"/>
        </w:rPr>
        <w:t>勘察</w:t>
      </w:r>
      <w:r>
        <w:rPr>
          <w:rFonts w:ascii="宋体" w:hAnsi="宋体"/>
          <w:kern w:val="0"/>
          <w:szCs w:val="21"/>
          <w:highlight w:val="none"/>
        </w:rPr>
        <w:t>工作内容</w:t>
      </w:r>
      <w:r>
        <w:rPr>
          <w:rFonts w:ascii="宋体" w:hAnsi="宋体"/>
          <w:bCs/>
          <w:kern w:val="0"/>
          <w:szCs w:val="21"/>
          <w:highlight w:val="none"/>
        </w:rPr>
        <w:t>：</w:t>
      </w:r>
      <w:r>
        <w:rPr>
          <w:rFonts w:ascii="宋体" w:hAnsi="宋体"/>
          <w:kern w:val="0"/>
          <w:szCs w:val="21"/>
          <w:highlight w:val="none"/>
          <w:u w:val="single"/>
        </w:rPr>
        <w:tab/>
      </w:r>
      <w:r>
        <w:rPr>
          <w:rFonts w:ascii="宋体" w:hAnsi="宋体"/>
          <w:bCs/>
          <w:kern w:val="0"/>
          <w:szCs w:val="21"/>
          <w:highlight w:val="none"/>
        </w:rPr>
        <w:t xml:space="preserve">。 </w:t>
      </w:r>
    </w:p>
    <w:p>
      <w:pPr>
        <w:widowControl/>
        <w:tabs>
          <w:tab w:val="left" w:pos="8789"/>
        </w:tabs>
        <w:adjustRightInd w:val="0"/>
        <w:snapToGrid w:val="0"/>
        <w:spacing w:line="600" w:lineRule="exact"/>
        <w:ind w:right="-99" w:rightChars="-47" w:firstLine="420" w:firstLineChars="200"/>
        <w:jc w:val="left"/>
        <w:rPr>
          <w:rFonts w:hint="eastAsia" w:ascii="宋体" w:hAnsi="宋体" w:eastAsia="宋体"/>
          <w:kern w:val="0"/>
          <w:szCs w:val="21"/>
          <w:highlight w:val="none"/>
          <w:lang w:val="en-US" w:eastAsia="zh-CN"/>
        </w:rPr>
      </w:pPr>
      <w:r>
        <w:rPr>
          <w:rFonts w:ascii="宋体" w:hAnsi="宋体"/>
          <w:kern w:val="0"/>
          <w:szCs w:val="21"/>
          <w:highlight w:val="none"/>
        </w:rPr>
        <w:t>4.签约合同价：人民币（大写）</w:t>
      </w:r>
      <w:r>
        <w:rPr>
          <w:rFonts w:ascii="宋体" w:hAnsi="宋体"/>
          <w:kern w:val="0"/>
          <w:szCs w:val="21"/>
          <w:highlight w:val="none"/>
          <w:u w:val="single"/>
        </w:rPr>
        <w:t xml:space="preserve">                 </w:t>
      </w:r>
      <w:r>
        <w:rPr>
          <w:rFonts w:ascii="宋体" w:hAnsi="宋体"/>
          <w:kern w:val="0"/>
          <w:szCs w:val="21"/>
          <w:highlight w:val="none"/>
        </w:rPr>
        <w:t>（¥</w:t>
      </w:r>
      <w:r>
        <w:rPr>
          <w:rFonts w:ascii="宋体" w:hAnsi="宋体"/>
          <w:kern w:val="0"/>
          <w:szCs w:val="21"/>
          <w:highlight w:val="none"/>
          <w:u w:val="single"/>
        </w:rPr>
        <w:t xml:space="preserve">）          </w:t>
      </w:r>
      <w:r>
        <w:rPr>
          <w:rFonts w:hint="eastAsia" w:ascii="宋体" w:hAnsi="宋体"/>
          <w:kern w:val="0"/>
          <w:szCs w:val="21"/>
          <w:highlight w:val="none"/>
        </w:rPr>
        <w:t>。</w:t>
      </w:r>
      <w:r>
        <w:rPr>
          <w:rFonts w:hint="eastAsia"/>
          <w:highlight w:val="none"/>
          <w:lang w:val="en-US" w:eastAsia="zh-CN"/>
        </w:rPr>
        <w:t>其中</w:t>
      </w:r>
      <w:r>
        <w:rPr>
          <w:rFonts w:hint="eastAsia"/>
          <w:highlight w:val="none"/>
        </w:rPr>
        <w:t>□B</w:t>
      </w:r>
      <w:r>
        <w:rPr>
          <w:highlight w:val="none"/>
        </w:rPr>
        <w:t>IM</w:t>
      </w:r>
      <w:r>
        <w:rPr>
          <w:rFonts w:hint="eastAsia"/>
          <w:highlight w:val="none"/>
        </w:rPr>
        <w:t>技术费用为</w:t>
      </w:r>
      <w:r>
        <w:rPr>
          <w:rFonts w:hint="eastAsia"/>
          <w:highlight w:val="none"/>
          <w:u w:val="single"/>
          <w:lang w:val="en-US" w:eastAsia="zh-CN"/>
        </w:rPr>
        <w:t xml:space="preserve"> </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u w:val="single"/>
          <w:lang w:val="en-US" w:eastAsia="zh-CN"/>
        </w:rPr>
        <w:t xml:space="preserve"> </w:t>
      </w:r>
      <w:r>
        <w:rPr>
          <w:rFonts w:hint="eastAsia"/>
          <w:highlight w:val="none"/>
        </w:rPr>
        <w:t>元，□专项勘察费为</w:t>
      </w:r>
      <w:r>
        <w:rPr>
          <w:rFonts w:hint="eastAsia"/>
          <w:highlight w:val="none"/>
          <w:u w:val="single"/>
        </w:rPr>
        <w:t xml:space="preserve">  </w:t>
      </w:r>
      <w:r>
        <w:rPr>
          <w:rFonts w:hint="eastAsia"/>
          <w:highlight w:val="none"/>
          <w:u w:val="single"/>
          <w:lang w:val="en-US" w:eastAsia="zh-CN"/>
        </w:rPr>
        <w:t xml:space="preserve">  </w:t>
      </w:r>
      <w:r>
        <w:rPr>
          <w:rFonts w:hint="eastAsia"/>
          <w:highlight w:val="none"/>
          <w:u w:val="single"/>
        </w:rPr>
        <w:t xml:space="preserve"> </w:t>
      </w:r>
      <w:r>
        <w:rPr>
          <w:rFonts w:hint="eastAsia"/>
          <w:highlight w:val="none"/>
          <w:u w:val="single"/>
          <w:lang w:val="en-US" w:eastAsia="zh-CN"/>
        </w:rPr>
        <w:t xml:space="preserve">  </w:t>
      </w:r>
      <w:r>
        <w:rPr>
          <w:rFonts w:hint="eastAsia"/>
          <w:highlight w:val="none"/>
        </w:rPr>
        <w:t>元，□</w:t>
      </w:r>
      <w:r>
        <w:rPr>
          <w:rFonts w:hint="eastAsia"/>
          <w:highlight w:val="none"/>
          <w:u w:val="single"/>
        </w:rPr>
        <w:t xml:space="preserve">其他费用价为  </w:t>
      </w:r>
      <w:r>
        <w:rPr>
          <w:rFonts w:hint="eastAsia"/>
          <w:highlight w:val="none"/>
          <w:u w:val="single"/>
          <w:lang w:val="en-US" w:eastAsia="zh-CN"/>
        </w:rPr>
        <w:t xml:space="preserve">  </w:t>
      </w:r>
      <w:r>
        <w:rPr>
          <w:rFonts w:hint="eastAsia"/>
          <w:highlight w:val="none"/>
          <w:u w:val="single"/>
        </w:rPr>
        <w:t xml:space="preserve">  元</w:t>
      </w:r>
      <w:r>
        <w:rPr>
          <w:rFonts w:hint="eastAsia"/>
          <w:highlight w:val="none"/>
          <w:lang w:eastAsia="zh-CN"/>
        </w:rPr>
        <w:t>。</w:t>
      </w:r>
    </w:p>
    <w:p>
      <w:pPr>
        <w:widowControl/>
        <w:tabs>
          <w:tab w:val="left" w:pos="1044"/>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hint="eastAsia" w:ascii="宋体" w:hAnsi="宋体"/>
          <w:kern w:val="0"/>
          <w:szCs w:val="21"/>
          <w:highlight w:val="none"/>
        </w:rPr>
        <w:t>本项目采用以下第</w:t>
      </w:r>
      <w:r>
        <w:rPr>
          <w:rFonts w:hint="eastAsia" w:ascii="宋体" w:hAnsi="宋体"/>
          <w:kern w:val="0"/>
          <w:szCs w:val="21"/>
          <w:highlight w:val="none"/>
          <w:u w:val="single"/>
        </w:rPr>
        <w:t xml:space="preserve">      </w:t>
      </w:r>
      <w:r>
        <w:rPr>
          <w:rFonts w:hint="eastAsia" w:ascii="宋体" w:hAnsi="宋体"/>
          <w:kern w:val="0"/>
          <w:szCs w:val="21"/>
          <w:highlight w:val="none"/>
        </w:rPr>
        <w:t>种合同价格形式，具体费用的计价原则和结算方式以专用合同条款约定为准。</w:t>
      </w:r>
    </w:p>
    <w:p>
      <w:pPr>
        <w:widowControl/>
        <w:tabs>
          <w:tab w:val="left" w:pos="8931"/>
          <w:tab w:val="left" w:pos="9640"/>
        </w:tabs>
        <w:adjustRightInd w:val="0"/>
        <w:snapToGrid w:val="0"/>
        <w:spacing w:line="600" w:lineRule="exact"/>
        <w:ind w:firstLine="420" w:firstLineChars="200"/>
        <w:jc w:val="left"/>
        <w:rPr>
          <w:rFonts w:ascii="宋体" w:hAnsi="宋体"/>
          <w:kern w:val="0"/>
          <w:szCs w:val="21"/>
          <w:highlight w:val="none"/>
        </w:rPr>
      </w:pPr>
      <w:r>
        <w:rPr>
          <w:rFonts w:hint="eastAsia" w:ascii="宋体" w:hAnsi="宋体"/>
          <w:kern w:val="0"/>
          <w:szCs w:val="21"/>
          <w:highlight w:val="none"/>
        </w:rPr>
        <w:t>（1）采用固定总价的，除</w:t>
      </w:r>
      <w:r>
        <w:rPr>
          <w:rFonts w:ascii="宋体" w:hAnsi="宋体"/>
          <w:kern w:val="0"/>
          <w:szCs w:val="21"/>
          <w:highlight w:val="none"/>
        </w:rPr>
        <w:t>合同约定的其他费用</w:t>
      </w:r>
      <w:r>
        <w:rPr>
          <w:rFonts w:hint="eastAsia" w:ascii="宋体" w:hAnsi="宋体"/>
          <w:kern w:val="0"/>
          <w:szCs w:val="21"/>
          <w:highlight w:val="none"/>
        </w:rPr>
        <w:t>外，签约合同价即为勘察费结算价。</w:t>
      </w:r>
    </w:p>
    <w:p>
      <w:pPr>
        <w:widowControl/>
        <w:tabs>
          <w:tab w:val="left" w:pos="8931"/>
          <w:tab w:val="left" w:pos="9640"/>
        </w:tabs>
        <w:adjustRightInd w:val="0"/>
        <w:snapToGrid w:val="0"/>
        <w:spacing w:line="600" w:lineRule="exact"/>
        <w:ind w:firstLine="420" w:firstLineChars="200"/>
        <w:jc w:val="left"/>
        <w:rPr>
          <w:rFonts w:ascii="宋体" w:hAnsi="宋体"/>
          <w:kern w:val="0"/>
          <w:szCs w:val="21"/>
          <w:highlight w:val="none"/>
        </w:rPr>
      </w:pPr>
      <w:r>
        <w:rPr>
          <w:rFonts w:hint="eastAsia" w:ascii="宋体" w:hAnsi="宋体"/>
          <w:kern w:val="0"/>
          <w:szCs w:val="21"/>
          <w:highlight w:val="none"/>
        </w:rPr>
        <w:t>（2）采用固定单价的，签约合同价即为暂定价，其勘察固定</w:t>
      </w:r>
      <w:r>
        <w:rPr>
          <w:rFonts w:ascii="宋体" w:hAnsi="宋体"/>
          <w:szCs w:val="21"/>
          <w:highlight w:val="none"/>
        </w:rPr>
        <w:t>单价</w:t>
      </w:r>
      <w:r>
        <w:rPr>
          <w:rFonts w:hint="eastAsia" w:ascii="宋体" w:hAnsi="宋体"/>
          <w:kern w:val="0"/>
          <w:szCs w:val="21"/>
          <w:highlight w:val="none"/>
        </w:rPr>
        <w:t>为</w:t>
      </w:r>
      <w:r>
        <w:rPr>
          <w:rFonts w:ascii="宋体" w:hAnsi="宋体"/>
          <w:kern w:val="0"/>
          <w:szCs w:val="21"/>
          <w:highlight w:val="none"/>
          <w:u w:val="single"/>
        </w:rPr>
        <w:t xml:space="preserve">             </w:t>
      </w:r>
      <w:r>
        <w:rPr>
          <w:rFonts w:hint="eastAsia" w:ascii="宋体" w:hAnsi="宋体"/>
          <w:kern w:val="0"/>
          <w:szCs w:val="21"/>
          <w:highlight w:val="none"/>
        </w:rPr>
        <w:t>。</w:t>
      </w:r>
    </w:p>
    <w:p>
      <w:pPr>
        <w:widowControl/>
        <w:tabs>
          <w:tab w:val="left" w:pos="8931"/>
          <w:tab w:val="left" w:pos="9640"/>
        </w:tabs>
        <w:adjustRightInd w:val="0"/>
        <w:snapToGrid w:val="0"/>
        <w:spacing w:line="600" w:lineRule="exact"/>
        <w:ind w:firstLine="420" w:firstLineChars="200"/>
        <w:jc w:val="left"/>
        <w:rPr>
          <w:rFonts w:ascii="宋体" w:hAnsi="宋体"/>
          <w:kern w:val="0"/>
          <w:szCs w:val="21"/>
          <w:highlight w:val="none"/>
        </w:rPr>
      </w:pPr>
      <w:r>
        <w:rPr>
          <w:rFonts w:hint="eastAsia" w:ascii="宋体" w:hAnsi="宋体"/>
          <w:kern w:val="0"/>
          <w:szCs w:val="21"/>
          <w:highlight w:val="none"/>
        </w:rPr>
        <w:t>（3）采用固定费率的，签约合同价即为暂定价，其勘察固定费率为</w:t>
      </w:r>
      <w:r>
        <w:rPr>
          <w:rFonts w:ascii="宋体" w:hAnsi="宋体"/>
          <w:kern w:val="0"/>
          <w:szCs w:val="21"/>
          <w:highlight w:val="none"/>
          <w:u w:val="single"/>
        </w:rPr>
        <w:t xml:space="preserve">         </w:t>
      </w:r>
      <w:r>
        <w:rPr>
          <w:rFonts w:hint="eastAsia" w:ascii="宋体" w:hAnsi="宋体"/>
          <w:kern w:val="0"/>
          <w:szCs w:val="21"/>
          <w:highlight w:val="none"/>
        </w:rPr>
        <w:t>%。</w:t>
      </w:r>
    </w:p>
    <w:p>
      <w:pPr>
        <w:widowControl/>
        <w:tabs>
          <w:tab w:val="left" w:pos="8931"/>
        </w:tabs>
        <w:adjustRightInd w:val="0"/>
        <w:snapToGrid w:val="0"/>
        <w:spacing w:line="600" w:lineRule="exact"/>
        <w:ind w:right="120" w:rightChars="57" w:firstLine="420" w:firstLineChars="200"/>
        <w:jc w:val="left"/>
        <w:rPr>
          <w:rFonts w:ascii="宋体" w:hAnsi="宋体"/>
          <w:bCs/>
          <w:kern w:val="0"/>
          <w:szCs w:val="21"/>
          <w:highlight w:val="none"/>
        </w:rPr>
      </w:pPr>
      <w:r>
        <w:rPr>
          <w:rFonts w:ascii="宋体" w:hAnsi="宋体"/>
          <w:kern w:val="0"/>
          <w:szCs w:val="21"/>
          <w:highlight w:val="none"/>
        </w:rPr>
        <w:t>5.项目负责人：</w:t>
      </w:r>
      <w:r>
        <w:rPr>
          <w:rFonts w:ascii="宋体" w:hAnsi="宋体"/>
          <w:kern w:val="0"/>
          <w:szCs w:val="21"/>
          <w:highlight w:val="none"/>
          <w:u w:val="single"/>
        </w:rPr>
        <w:tab/>
      </w:r>
      <w:r>
        <w:rPr>
          <w:rFonts w:ascii="宋体" w:hAnsi="宋体"/>
          <w:bCs/>
          <w:kern w:val="0"/>
          <w:szCs w:val="21"/>
          <w:highlight w:val="none"/>
        </w:rPr>
        <w:t>。</w:t>
      </w:r>
    </w:p>
    <w:p>
      <w:pPr>
        <w:widowControl/>
        <w:tabs>
          <w:tab w:val="left" w:pos="8931"/>
        </w:tabs>
        <w:adjustRightInd w:val="0"/>
        <w:snapToGrid w:val="0"/>
        <w:spacing w:line="600" w:lineRule="exact"/>
        <w:ind w:right="-99" w:rightChars="-47" w:firstLine="420" w:firstLineChars="200"/>
        <w:jc w:val="left"/>
        <w:rPr>
          <w:rFonts w:ascii="宋体" w:hAnsi="宋体"/>
          <w:kern w:val="0"/>
          <w:szCs w:val="21"/>
          <w:highlight w:val="none"/>
        </w:rPr>
      </w:pPr>
      <w:r>
        <w:rPr>
          <w:rFonts w:ascii="宋体" w:hAnsi="宋体"/>
          <w:kern w:val="0"/>
          <w:szCs w:val="21"/>
          <w:highlight w:val="none"/>
        </w:rPr>
        <w:t>6.勘察工作质量符合的标准和要求</w:t>
      </w:r>
    </w:p>
    <w:p>
      <w:pPr>
        <w:snapToGrid w:val="0"/>
        <w:spacing w:line="400" w:lineRule="exact"/>
        <w:ind w:firstLine="420" w:firstLineChars="200"/>
        <w:rPr>
          <w:rFonts w:ascii="宋体" w:hAnsi="宋体"/>
          <w:szCs w:val="21"/>
          <w:highlight w:val="none"/>
        </w:rPr>
      </w:pPr>
      <w:r>
        <w:rPr>
          <w:rFonts w:hint="eastAsia"/>
          <w:highlight w:val="none"/>
        </w:rPr>
        <w:t>工程勘察严格执行</w:t>
      </w:r>
      <w:r>
        <w:rPr>
          <w:rFonts w:hint="eastAsia" w:ascii="宋体" w:hAnsi="宋体"/>
          <w:szCs w:val="21"/>
          <w:highlight w:val="none"/>
          <w:lang w:val="en-US" w:eastAsia="zh-CN"/>
        </w:rPr>
        <w:t>工程建设</w:t>
      </w:r>
      <w:r>
        <w:rPr>
          <w:rFonts w:hint="eastAsia"/>
          <w:highlight w:val="none"/>
        </w:rPr>
        <w:t>强制性质量标准，</w:t>
      </w:r>
      <w:r>
        <w:rPr>
          <w:rFonts w:hint="eastAsia"/>
          <w:highlight w:val="none"/>
          <w:u w:val="single"/>
        </w:rPr>
        <w:t xml:space="preserve">                    </w:t>
      </w:r>
      <w:r>
        <w:rPr>
          <w:rFonts w:ascii="宋体" w:hAnsi="宋体"/>
          <w:szCs w:val="21"/>
          <w:highlight w:val="none"/>
        </w:rPr>
        <w:t>。</w:t>
      </w:r>
    </w:p>
    <w:p>
      <w:pPr>
        <w:widowControl/>
        <w:tabs>
          <w:tab w:val="left" w:pos="8931"/>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7.</w:t>
      </w:r>
      <w:r>
        <w:rPr>
          <w:rFonts w:hint="eastAsia" w:ascii="宋体" w:hAnsi="宋体"/>
          <w:kern w:val="0"/>
          <w:szCs w:val="21"/>
          <w:highlight w:val="none"/>
        </w:rPr>
        <w:t>勘察人</w:t>
      </w:r>
      <w:r>
        <w:rPr>
          <w:rFonts w:ascii="宋体" w:hAnsi="宋体"/>
          <w:kern w:val="0"/>
          <w:szCs w:val="21"/>
          <w:highlight w:val="none"/>
        </w:rPr>
        <w:t>承诺按合同约定承担工程的勘察工作。</w:t>
      </w:r>
    </w:p>
    <w:p>
      <w:pPr>
        <w:widowControl/>
        <w:tabs>
          <w:tab w:val="left" w:pos="8931"/>
        </w:tabs>
        <w:adjustRightInd w:val="0"/>
        <w:snapToGrid w:val="0"/>
        <w:spacing w:line="600" w:lineRule="exact"/>
        <w:ind w:right="-99" w:rightChars="-47" w:firstLine="420" w:firstLineChars="200"/>
        <w:jc w:val="left"/>
        <w:rPr>
          <w:rFonts w:ascii="宋体" w:hAnsi="宋体"/>
          <w:kern w:val="0"/>
          <w:szCs w:val="21"/>
          <w:highlight w:val="none"/>
        </w:rPr>
      </w:pPr>
      <w:r>
        <w:rPr>
          <w:rFonts w:ascii="宋体" w:hAnsi="宋体"/>
          <w:kern w:val="0"/>
          <w:szCs w:val="21"/>
          <w:highlight w:val="none"/>
        </w:rPr>
        <w:t>8.发包人承诺按合同约定的条件、时间和方式向</w:t>
      </w:r>
      <w:r>
        <w:rPr>
          <w:rFonts w:hint="eastAsia" w:ascii="宋体" w:hAnsi="宋体"/>
          <w:kern w:val="0"/>
          <w:szCs w:val="21"/>
          <w:highlight w:val="none"/>
        </w:rPr>
        <w:t>勘察</w:t>
      </w:r>
      <w:r>
        <w:rPr>
          <w:rFonts w:ascii="宋体" w:hAnsi="宋体"/>
          <w:kern w:val="0"/>
          <w:szCs w:val="21"/>
          <w:highlight w:val="none"/>
        </w:rPr>
        <w:t>人支付合同价款。</w:t>
      </w:r>
    </w:p>
    <w:p>
      <w:pPr>
        <w:widowControl/>
        <w:tabs>
          <w:tab w:val="left" w:pos="8931"/>
          <w:tab w:val="left" w:pos="9640"/>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9.</w:t>
      </w:r>
      <w:r>
        <w:rPr>
          <w:rFonts w:hint="eastAsia" w:ascii="宋体" w:hAnsi="宋体"/>
          <w:kern w:val="0"/>
          <w:szCs w:val="21"/>
          <w:highlight w:val="none"/>
        </w:rPr>
        <w:t>勘察人</w:t>
      </w:r>
      <w:r>
        <w:rPr>
          <w:rFonts w:ascii="宋体" w:hAnsi="宋体"/>
          <w:kern w:val="0"/>
          <w:szCs w:val="21"/>
          <w:highlight w:val="none"/>
        </w:rPr>
        <w:t>计划开始勘察</w:t>
      </w:r>
      <w:r>
        <w:rPr>
          <w:rFonts w:hint="eastAsia" w:ascii="宋体" w:hAnsi="宋体"/>
          <w:kern w:val="0"/>
          <w:szCs w:val="21"/>
          <w:highlight w:val="none"/>
        </w:rPr>
        <w:t>工作</w:t>
      </w:r>
      <w:r>
        <w:rPr>
          <w:rFonts w:ascii="宋体" w:hAnsi="宋体"/>
          <w:kern w:val="0"/>
          <w:szCs w:val="21"/>
          <w:highlight w:val="none"/>
        </w:rPr>
        <w:t>日期：</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，实际日期以发包人在开始勘察通知中载明的开始勘察日期为准。勘察服务期限为</w:t>
      </w:r>
      <w:r>
        <w:rPr>
          <w:rFonts w:ascii="宋体" w:hAnsi="宋体"/>
          <w:kern w:val="0"/>
          <w:szCs w:val="21"/>
          <w:highlight w:val="none"/>
          <w:u w:val="single"/>
        </w:rPr>
        <w:t xml:space="preserve">    </w:t>
      </w:r>
      <w:r>
        <w:rPr>
          <w:rFonts w:ascii="宋体" w:hAnsi="宋体"/>
          <w:kern w:val="0"/>
          <w:szCs w:val="21"/>
          <w:highlight w:val="none"/>
        </w:rPr>
        <w:t>天。</w:t>
      </w:r>
    </w:p>
    <w:p>
      <w:pPr>
        <w:widowControl/>
        <w:tabs>
          <w:tab w:val="left" w:pos="8931"/>
          <w:tab w:val="left" w:pos="9640"/>
        </w:tabs>
        <w:adjustRightInd w:val="0"/>
        <w:snapToGrid w:val="0"/>
        <w:spacing w:line="600" w:lineRule="exact"/>
        <w:ind w:right="120" w:rightChars="57" w:firstLine="420" w:firstLineChars="200"/>
        <w:jc w:val="left"/>
        <w:rPr>
          <w:rFonts w:ascii="宋体" w:hAnsi="宋体"/>
          <w:kern w:val="0"/>
          <w:szCs w:val="21"/>
          <w:highlight w:val="none"/>
          <w:u w:val="single"/>
        </w:rPr>
      </w:pPr>
      <w:r>
        <w:rPr>
          <w:rFonts w:hint="eastAsia" w:ascii="宋体" w:hAnsi="宋体"/>
          <w:kern w:val="0"/>
          <w:szCs w:val="21"/>
          <w:highlight w:val="none"/>
          <w:u w:val="single"/>
        </w:rPr>
        <w:t>其中：初步勘察      天；详细勘察      天；（其他工作内容）   天。</w:t>
      </w:r>
    </w:p>
    <w:p>
      <w:pPr>
        <w:widowControl/>
        <w:tabs>
          <w:tab w:val="left" w:pos="8931"/>
          <w:tab w:val="left" w:pos="9640"/>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10.合同生效：</w:t>
      </w:r>
    </w:p>
    <w:p>
      <w:pPr>
        <w:snapToGrid w:val="0"/>
        <w:spacing w:line="600" w:lineRule="exact"/>
        <w:ind w:firstLine="420" w:firstLineChars="200"/>
        <w:rPr>
          <w:rFonts w:ascii="宋体" w:hAnsi="宋体" w:cs="宋体"/>
          <w:bCs/>
          <w:szCs w:val="21"/>
          <w:highlight w:val="none"/>
        </w:rPr>
      </w:pPr>
      <w:r>
        <w:rPr>
          <w:rFonts w:hint="eastAsia" w:ascii="宋体" w:hAnsi="宋体" w:cs="宋体"/>
          <w:bCs/>
          <w:szCs w:val="21"/>
          <w:highlight w:val="none"/>
        </w:rPr>
        <w:t>合同在以下条件全部满足之后生效：</w:t>
      </w:r>
    </w:p>
    <w:p>
      <w:pPr>
        <w:snapToGrid w:val="0"/>
        <w:spacing w:line="600" w:lineRule="exact"/>
        <w:ind w:firstLine="420" w:firstLineChars="200"/>
        <w:rPr>
          <w:rFonts w:ascii="宋体" w:hAnsi="宋体" w:cs="宋体"/>
          <w:szCs w:val="21"/>
          <w:highlight w:val="none"/>
        </w:rPr>
      </w:pPr>
      <w:r>
        <w:rPr>
          <w:rFonts w:hint="eastAsia" w:ascii="宋体" w:hAnsi="宋体" w:cs="宋体"/>
          <w:bCs/>
          <w:szCs w:val="21"/>
          <w:highlight w:val="none"/>
        </w:rPr>
        <w:t>①合同</w:t>
      </w:r>
      <w:r>
        <w:rPr>
          <w:rFonts w:hint="eastAsia" w:ascii="宋体" w:hAnsi="宋体" w:cs="宋体"/>
          <w:szCs w:val="21"/>
          <w:highlight w:val="none"/>
        </w:rPr>
        <w:t>经双方法定代表人或其委托代理人签名并加盖</w:t>
      </w:r>
      <w:r>
        <w:rPr>
          <w:rFonts w:hint="eastAsia" w:ascii="宋体" w:hAnsi="宋体" w:cs="宋体"/>
          <w:snapToGrid w:val="0"/>
          <w:kern w:val="0"/>
          <w:szCs w:val="21"/>
          <w:highlight w:val="none"/>
        </w:rPr>
        <w:t>公章或合同专用章</w:t>
      </w:r>
      <w:r>
        <w:rPr>
          <w:rFonts w:hint="eastAsia" w:ascii="宋体" w:hAnsi="宋体" w:cs="宋体"/>
          <w:szCs w:val="21"/>
          <w:highlight w:val="none"/>
        </w:rPr>
        <w:t>；</w:t>
      </w:r>
    </w:p>
    <w:p>
      <w:pPr>
        <w:snapToGrid w:val="0"/>
        <w:spacing w:line="600" w:lineRule="exact"/>
        <w:ind w:firstLine="420" w:firstLineChars="200"/>
        <w:rPr>
          <w:rFonts w:ascii="宋体" w:hAnsi="宋体" w:cs="宋体"/>
          <w:bCs/>
          <w:szCs w:val="21"/>
          <w:highlight w:val="none"/>
        </w:rPr>
      </w:pPr>
      <w:r>
        <w:rPr>
          <w:rFonts w:hint="eastAsia" w:ascii="宋体" w:hAnsi="宋体" w:cs="宋体"/>
          <w:bCs/>
          <w:szCs w:val="21"/>
          <w:highlight w:val="none"/>
        </w:rPr>
        <w:t>②采用保函形式递交履约担保的，承包人按合同约定向发包人提交履约担保后。</w:t>
      </w:r>
    </w:p>
    <w:p>
      <w:pPr>
        <w:snapToGrid w:val="0"/>
        <w:spacing w:line="600" w:lineRule="exact"/>
        <w:ind w:firstLine="420" w:firstLineChars="200"/>
        <w:rPr>
          <w:highlight w:val="none"/>
        </w:rPr>
      </w:pPr>
      <w:r>
        <w:rPr>
          <w:rFonts w:hint="eastAsia" w:ascii="宋体" w:hAnsi="宋体" w:cs="宋体"/>
          <w:bCs/>
          <w:szCs w:val="21"/>
          <w:highlight w:val="none"/>
        </w:rPr>
        <w:t>③</w:t>
      </w:r>
      <w:r>
        <w:rPr>
          <w:rFonts w:hint="eastAsia" w:ascii="宋体" w:hAnsi="宋体" w:cs="宋体"/>
          <w:bCs/>
          <w:szCs w:val="21"/>
          <w:highlight w:val="none"/>
          <w:u w:val="single"/>
        </w:rPr>
        <w:t xml:space="preserve">                          </w:t>
      </w:r>
      <w:r>
        <w:rPr>
          <w:rFonts w:hint="eastAsia" w:ascii="宋体" w:hAnsi="宋体" w:cs="宋体"/>
          <w:bCs/>
          <w:szCs w:val="21"/>
          <w:highlight w:val="none"/>
        </w:rPr>
        <w:t>。</w:t>
      </w:r>
    </w:p>
    <w:p>
      <w:pPr>
        <w:widowControl/>
        <w:tabs>
          <w:tab w:val="left" w:pos="8931"/>
          <w:tab w:val="left" w:pos="9640"/>
        </w:tabs>
        <w:adjustRightInd w:val="0"/>
        <w:snapToGrid w:val="0"/>
        <w:spacing w:line="600" w:lineRule="exact"/>
        <w:ind w:right="120" w:rightChars="57" w:firstLine="420" w:firstLineChars="200"/>
        <w:jc w:val="left"/>
        <w:rPr>
          <w:rFonts w:ascii="宋体" w:hAnsi="宋体"/>
          <w:kern w:val="0"/>
          <w:szCs w:val="21"/>
          <w:highlight w:val="none"/>
        </w:rPr>
      </w:pPr>
      <w:r>
        <w:rPr>
          <w:rFonts w:ascii="宋体" w:hAnsi="宋体"/>
          <w:kern w:val="0"/>
          <w:szCs w:val="21"/>
          <w:highlight w:val="none"/>
        </w:rPr>
        <w:t>11.本合同协议书一式</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份，合同双方各执</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份。</w:t>
      </w:r>
    </w:p>
    <w:p>
      <w:pPr>
        <w:widowControl/>
        <w:tabs>
          <w:tab w:val="left" w:pos="8931"/>
          <w:tab w:val="left" w:pos="9781"/>
        </w:tabs>
        <w:adjustRightInd w:val="0"/>
        <w:snapToGrid w:val="0"/>
        <w:spacing w:line="600" w:lineRule="exact"/>
        <w:ind w:right="120" w:rightChars="57" w:firstLine="420" w:firstLineChars="200"/>
        <w:jc w:val="left"/>
        <w:rPr>
          <w:rFonts w:ascii="宋体" w:hAnsi="宋体"/>
          <w:kern w:val="0"/>
          <w:szCs w:val="21"/>
          <w:highlight w:val="none"/>
        </w:rPr>
      </w:pPr>
      <w:r>
        <w:rPr>
          <w:rFonts w:hint="eastAsia" w:ascii="宋体" w:hAnsi="宋体"/>
          <w:kern w:val="0"/>
          <w:szCs w:val="21"/>
          <w:highlight w:val="none"/>
        </w:rPr>
        <w:t>12.</w:t>
      </w:r>
      <w:r>
        <w:rPr>
          <w:rFonts w:ascii="宋体" w:hAnsi="宋体"/>
          <w:kern w:val="0"/>
          <w:szCs w:val="21"/>
          <w:highlight w:val="none"/>
        </w:rPr>
        <w:t>合同未尽事宜，双方另行签订补充协议。补充协议是合同的组成部分。</w:t>
      </w:r>
    </w:p>
    <w:p>
      <w:pPr>
        <w:widowControl/>
        <w:tabs>
          <w:tab w:val="left" w:pos="8931"/>
        </w:tabs>
        <w:adjustRightInd w:val="0"/>
        <w:snapToGrid w:val="0"/>
        <w:spacing w:line="600" w:lineRule="exact"/>
        <w:ind w:right="-99" w:rightChars="-47" w:firstLine="420" w:firstLineChars="200"/>
        <w:jc w:val="left"/>
        <w:rPr>
          <w:rFonts w:ascii="宋体" w:hAnsi="宋体"/>
          <w:kern w:val="0"/>
          <w:szCs w:val="21"/>
          <w:highlight w:val="none"/>
        </w:rPr>
      </w:pPr>
    </w:p>
    <w:p>
      <w:pPr>
        <w:snapToGrid w:val="0"/>
        <w:spacing w:line="600" w:lineRule="exact"/>
        <w:ind w:firstLine="420" w:firstLineChars="200"/>
        <w:rPr>
          <w:rFonts w:ascii="宋体" w:hAnsi="宋体" w:cs="宋体"/>
          <w:bCs/>
          <w:szCs w:val="21"/>
          <w:highlight w:val="none"/>
        </w:rPr>
      </w:pPr>
      <w:r>
        <w:rPr>
          <w:rFonts w:hint="eastAsia"/>
          <w:highlight w:val="none"/>
        </w:rPr>
        <w:t xml:space="preserve">    </w:t>
      </w:r>
      <w:r>
        <w:rPr>
          <w:rFonts w:hint="eastAsia" w:ascii="宋体" w:hAnsi="宋体" w:cs="宋体"/>
          <w:bCs/>
          <w:szCs w:val="21"/>
          <w:highlight w:val="none"/>
        </w:rPr>
        <w:t>（以下为签名盖章页）。</w:t>
      </w:r>
    </w:p>
    <w:p>
      <w:pPr>
        <w:pStyle w:val="2"/>
        <w:rPr>
          <w:highlight w:val="none"/>
        </w:rPr>
      </w:pPr>
    </w:p>
    <w:p>
      <w:pPr>
        <w:widowControl/>
        <w:tabs>
          <w:tab w:val="left" w:pos="8931"/>
        </w:tabs>
        <w:adjustRightInd w:val="0"/>
        <w:snapToGrid w:val="0"/>
        <w:spacing w:line="480" w:lineRule="auto"/>
        <w:ind w:right="-99" w:rightChars="-47" w:firstLine="420" w:firstLineChars="200"/>
        <w:jc w:val="left"/>
        <w:rPr>
          <w:rFonts w:ascii="宋体" w:hAnsi="宋体"/>
          <w:kern w:val="0"/>
          <w:szCs w:val="21"/>
          <w:highlight w:val="none"/>
        </w:rPr>
      </w:pPr>
      <w:r>
        <w:rPr>
          <w:rFonts w:ascii="宋体" w:hAnsi="宋体"/>
          <w:kern w:val="0"/>
          <w:szCs w:val="21"/>
          <w:highlight w:val="none"/>
        </w:rPr>
        <w:t>发包人：     （盖单位</w:t>
      </w:r>
      <w:r>
        <w:rPr>
          <w:rFonts w:hint="eastAsia" w:ascii="宋体" w:hAnsi="宋体"/>
          <w:kern w:val="0"/>
          <w:szCs w:val="21"/>
          <w:highlight w:val="none"/>
          <w:lang w:val="en-US" w:eastAsia="zh-CN"/>
        </w:rPr>
        <w:t>法人</w:t>
      </w:r>
      <w:r>
        <w:rPr>
          <w:rFonts w:ascii="宋体" w:hAnsi="宋体"/>
          <w:kern w:val="0"/>
          <w:szCs w:val="21"/>
          <w:highlight w:val="none"/>
        </w:rPr>
        <w:t xml:space="preserve">章）    </w:t>
      </w:r>
      <w:r>
        <w:rPr>
          <w:rFonts w:hint="eastAsia" w:ascii="宋体" w:hAnsi="宋体"/>
          <w:kern w:val="0"/>
          <w:szCs w:val="21"/>
          <w:highlight w:val="none"/>
        </w:rPr>
        <w:t>勘察</w:t>
      </w:r>
      <w:r>
        <w:rPr>
          <w:rFonts w:ascii="宋体" w:hAnsi="宋体"/>
          <w:kern w:val="0"/>
          <w:szCs w:val="21"/>
          <w:highlight w:val="none"/>
        </w:rPr>
        <w:t>人：     （盖单位</w:t>
      </w:r>
      <w:r>
        <w:rPr>
          <w:rFonts w:hint="eastAsia" w:ascii="宋体" w:hAnsi="宋体"/>
          <w:kern w:val="0"/>
          <w:szCs w:val="21"/>
          <w:highlight w:val="none"/>
          <w:lang w:val="en-US" w:eastAsia="zh-CN"/>
        </w:rPr>
        <w:t>法人</w:t>
      </w:r>
      <w:r>
        <w:rPr>
          <w:rFonts w:ascii="宋体" w:hAnsi="宋体"/>
          <w:kern w:val="0"/>
          <w:szCs w:val="21"/>
          <w:highlight w:val="none"/>
        </w:rPr>
        <w:t>章）</w:t>
      </w:r>
    </w:p>
    <w:p>
      <w:pPr>
        <w:widowControl/>
        <w:tabs>
          <w:tab w:val="left" w:pos="8931"/>
        </w:tabs>
        <w:adjustRightInd w:val="0"/>
        <w:snapToGrid w:val="0"/>
        <w:spacing w:line="480" w:lineRule="auto"/>
        <w:ind w:right="-99" w:rightChars="-47" w:firstLine="420" w:firstLineChars="200"/>
        <w:jc w:val="left"/>
        <w:rPr>
          <w:rFonts w:ascii="宋体" w:hAnsi="宋体"/>
          <w:kern w:val="0"/>
          <w:szCs w:val="21"/>
          <w:highlight w:val="none"/>
        </w:rPr>
      </w:pPr>
    </w:p>
    <w:p>
      <w:pPr>
        <w:widowControl/>
        <w:tabs>
          <w:tab w:val="left" w:pos="8931"/>
        </w:tabs>
        <w:adjustRightInd w:val="0"/>
        <w:snapToGrid w:val="0"/>
        <w:spacing w:line="480" w:lineRule="auto"/>
        <w:ind w:right="-99" w:rightChars="-47" w:firstLine="420" w:firstLineChars="200"/>
        <w:jc w:val="left"/>
        <w:rPr>
          <w:rFonts w:ascii="宋体" w:hAnsi="宋体"/>
          <w:kern w:val="0"/>
          <w:szCs w:val="21"/>
          <w:highlight w:val="none"/>
        </w:rPr>
      </w:pPr>
      <w:r>
        <w:rPr>
          <w:rFonts w:ascii="宋体" w:hAnsi="宋体"/>
          <w:kern w:val="0"/>
          <w:szCs w:val="21"/>
          <w:highlight w:val="none"/>
        </w:rPr>
        <w:t>法定代表人或其委托代理人：   法定代表人或其委托代理人：</w:t>
      </w:r>
    </w:p>
    <w:p>
      <w:pPr>
        <w:widowControl/>
        <w:tabs>
          <w:tab w:val="left" w:pos="8931"/>
        </w:tabs>
        <w:adjustRightInd w:val="0"/>
        <w:snapToGrid w:val="0"/>
        <w:spacing w:line="480" w:lineRule="auto"/>
        <w:ind w:right="-99" w:rightChars="-47" w:firstLine="420" w:firstLineChars="200"/>
        <w:jc w:val="left"/>
        <w:rPr>
          <w:rFonts w:ascii="宋体" w:hAnsi="宋体"/>
          <w:kern w:val="0"/>
          <w:szCs w:val="21"/>
          <w:highlight w:val="none"/>
        </w:rPr>
      </w:pPr>
    </w:p>
    <w:p>
      <w:pPr>
        <w:widowControl/>
        <w:tabs>
          <w:tab w:val="left" w:pos="8931"/>
        </w:tabs>
        <w:adjustRightInd w:val="0"/>
        <w:snapToGrid w:val="0"/>
        <w:spacing w:line="480" w:lineRule="auto"/>
        <w:ind w:right="-99" w:rightChars="-47" w:firstLine="420" w:firstLineChars="200"/>
        <w:jc w:val="left"/>
        <w:rPr>
          <w:rFonts w:ascii="宋体" w:hAnsi="宋体"/>
          <w:kern w:val="0"/>
          <w:szCs w:val="21"/>
          <w:highlight w:val="none"/>
        </w:rPr>
      </w:pPr>
      <w:r>
        <w:rPr>
          <w:rFonts w:ascii="宋体" w:hAnsi="宋体"/>
          <w:kern w:val="0"/>
          <w:szCs w:val="21"/>
          <w:highlight w:val="none"/>
        </w:rPr>
        <w:t xml:space="preserve">                  （签名）                       （签名）</w:t>
      </w:r>
    </w:p>
    <w:p>
      <w:pPr>
        <w:widowControl/>
        <w:tabs>
          <w:tab w:val="left" w:pos="8931"/>
          <w:tab w:val="left" w:pos="9781"/>
        </w:tabs>
        <w:adjustRightInd w:val="0"/>
        <w:snapToGrid w:val="0"/>
        <w:spacing w:line="480" w:lineRule="auto"/>
        <w:ind w:right="120" w:rightChars="57" w:firstLine="420" w:firstLineChars="200"/>
        <w:jc w:val="left"/>
        <w:rPr>
          <w:rFonts w:ascii="宋体" w:hAnsi="宋体"/>
          <w:kern w:val="0"/>
          <w:szCs w:val="21"/>
          <w:highlight w:val="none"/>
        </w:rPr>
      </w:pPr>
      <w:r>
        <w:rPr>
          <w:rFonts w:ascii="宋体" w:hAnsi="宋体"/>
          <w:kern w:val="0"/>
          <w:szCs w:val="21"/>
          <w:highlight w:val="none"/>
        </w:rPr>
        <w:t>统一社会信用代码：</w:t>
      </w:r>
      <w:r>
        <w:rPr>
          <w:rFonts w:ascii="宋体" w:hAnsi="宋体"/>
          <w:kern w:val="0"/>
          <w:szCs w:val="21"/>
          <w:highlight w:val="none"/>
          <w:u w:val="single"/>
        </w:rPr>
        <w:t xml:space="preserve">  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统一社会信用代码：</w:t>
      </w:r>
      <w:r>
        <w:rPr>
          <w:rFonts w:ascii="宋体" w:hAnsi="宋体"/>
          <w:kern w:val="0"/>
          <w:szCs w:val="21"/>
          <w:highlight w:val="none"/>
          <w:u w:val="single"/>
        </w:rPr>
        <w:t></w:t>
      </w:r>
      <w:r>
        <w:rPr>
          <w:rFonts w:hint="eastAsia" w:ascii="宋体" w:hAnsi="宋体"/>
          <w:kern w:val="0"/>
          <w:szCs w:val="21"/>
          <w:highlight w:val="none"/>
          <w:u w:val="single"/>
        </w:rPr>
        <w:t xml:space="preserve">        </w:t>
      </w:r>
      <w:r>
        <w:rPr>
          <w:rFonts w:ascii="宋体" w:hAnsi="宋体"/>
          <w:kern w:val="0"/>
          <w:szCs w:val="21"/>
          <w:highlight w:val="none"/>
          <w:u w:val="single"/>
        </w:rPr>
        <w:t xml:space="preserve">    </w:t>
      </w:r>
    </w:p>
    <w:p>
      <w:pPr>
        <w:widowControl/>
        <w:tabs>
          <w:tab w:val="left" w:pos="8931"/>
          <w:tab w:val="left" w:pos="9781"/>
        </w:tabs>
        <w:adjustRightInd w:val="0"/>
        <w:snapToGrid w:val="0"/>
        <w:spacing w:line="48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地  址：</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地  址：</w:t>
      </w:r>
      <w:r>
        <w:rPr>
          <w:rFonts w:ascii="宋体" w:hAnsi="宋体"/>
          <w:kern w:val="0"/>
          <w:szCs w:val="21"/>
          <w:highlight w:val="none"/>
          <w:u w:val="single"/>
        </w:rPr>
        <w:t> </w:t>
      </w:r>
      <w:r>
        <w:rPr>
          <w:rFonts w:hint="eastAsia" w:ascii="宋体" w:hAnsi="宋体"/>
          <w:kern w:val="0"/>
          <w:szCs w:val="21"/>
          <w:highlight w:val="none"/>
          <w:u w:val="single"/>
        </w:rPr>
        <w:t xml:space="preserve">        </w:t>
      </w:r>
      <w:r>
        <w:rPr>
          <w:rFonts w:ascii="宋体" w:hAnsi="宋体"/>
          <w:kern w:val="0"/>
          <w:szCs w:val="21"/>
          <w:highlight w:val="none"/>
          <w:u w:val="single"/>
        </w:rPr>
        <w:t xml:space="preserve">   </w:t>
      </w:r>
    </w:p>
    <w:p>
      <w:pPr>
        <w:widowControl/>
        <w:tabs>
          <w:tab w:val="left" w:pos="8931"/>
          <w:tab w:val="left" w:pos="9781"/>
        </w:tabs>
        <w:adjustRightInd w:val="0"/>
        <w:snapToGrid w:val="0"/>
        <w:spacing w:line="480" w:lineRule="auto"/>
        <w:ind w:right="120" w:rightChars="57" w:firstLine="420" w:firstLineChars="200"/>
        <w:jc w:val="left"/>
        <w:rPr>
          <w:rFonts w:ascii="宋体" w:hAnsi="宋体"/>
          <w:kern w:val="0"/>
          <w:szCs w:val="21"/>
          <w:highlight w:val="none"/>
        </w:rPr>
      </w:pPr>
      <w:r>
        <w:rPr>
          <w:rFonts w:ascii="宋体" w:hAnsi="宋体"/>
          <w:kern w:val="0"/>
          <w:szCs w:val="21"/>
          <w:highlight w:val="none"/>
        </w:rPr>
        <w:t>邮政编码：</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     </w:t>
      </w:r>
      <w:r>
        <w:rPr>
          <w:rFonts w:ascii="宋体" w:hAnsi="宋体"/>
          <w:kern w:val="0"/>
          <w:szCs w:val="21"/>
          <w:highlight w:val="none"/>
        </w:rPr>
        <w:t xml:space="preserve"> 邮政编码：</w:t>
      </w:r>
      <w:r>
        <w:rPr>
          <w:rFonts w:ascii="宋体" w:hAnsi="宋体"/>
          <w:kern w:val="0"/>
          <w:szCs w:val="21"/>
          <w:highlight w:val="none"/>
          <w:u w:val="single"/>
        </w:rPr>
        <w:t></w:t>
      </w:r>
      <w:r>
        <w:rPr>
          <w:rFonts w:hint="eastAsia" w:ascii="宋体" w:hAnsi="宋体"/>
          <w:kern w:val="0"/>
          <w:szCs w:val="21"/>
          <w:highlight w:val="none"/>
          <w:u w:val="single"/>
        </w:rPr>
        <w:t xml:space="preserve">        </w:t>
      </w:r>
      <w:r>
        <w:rPr>
          <w:rFonts w:ascii="宋体" w:hAnsi="宋体"/>
          <w:kern w:val="0"/>
          <w:szCs w:val="21"/>
          <w:highlight w:val="none"/>
          <w:u w:val="single"/>
        </w:rPr>
        <w:t></w:t>
      </w:r>
    </w:p>
    <w:p>
      <w:pPr>
        <w:widowControl/>
        <w:tabs>
          <w:tab w:val="left" w:pos="8931"/>
          <w:tab w:val="left" w:pos="9781"/>
        </w:tabs>
        <w:adjustRightInd w:val="0"/>
        <w:snapToGrid w:val="0"/>
        <w:spacing w:line="480" w:lineRule="auto"/>
        <w:ind w:right="120" w:rightChars="57" w:firstLine="420" w:firstLineChars="200"/>
        <w:jc w:val="left"/>
        <w:rPr>
          <w:rFonts w:ascii="宋体" w:hAnsi="宋体"/>
          <w:kern w:val="0"/>
          <w:szCs w:val="21"/>
          <w:highlight w:val="none"/>
        </w:rPr>
      </w:pPr>
      <w:r>
        <w:rPr>
          <w:rFonts w:ascii="宋体" w:hAnsi="宋体"/>
          <w:kern w:val="0"/>
          <w:szCs w:val="21"/>
          <w:highlight w:val="none"/>
        </w:rPr>
        <w:t>电  话：</w:t>
      </w:r>
      <w:r>
        <w:rPr>
          <w:rFonts w:ascii="宋体" w:hAnsi="宋体"/>
          <w:kern w:val="0"/>
          <w:szCs w:val="21"/>
          <w:highlight w:val="none"/>
          <w:u w:val="single"/>
        </w:rPr>
        <w:t></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电  话：</w:t>
      </w:r>
      <w:r>
        <w:rPr>
          <w:rFonts w:ascii="宋体" w:hAnsi="宋体"/>
          <w:kern w:val="0"/>
          <w:szCs w:val="21"/>
          <w:highlight w:val="none"/>
          <w:u w:val="single"/>
        </w:rPr>
        <w:t></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p>
    <w:p>
      <w:pPr>
        <w:widowControl/>
        <w:tabs>
          <w:tab w:val="left" w:pos="8931"/>
          <w:tab w:val="left" w:pos="9781"/>
        </w:tabs>
        <w:adjustRightInd w:val="0"/>
        <w:snapToGrid w:val="0"/>
        <w:spacing w:line="480" w:lineRule="auto"/>
        <w:ind w:right="120" w:rightChars="57" w:firstLine="420" w:firstLineChars="200"/>
        <w:jc w:val="left"/>
        <w:rPr>
          <w:rFonts w:ascii="宋体" w:hAnsi="宋体"/>
          <w:kern w:val="0"/>
          <w:szCs w:val="21"/>
          <w:highlight w:val="none"/>
        </w:rPr>
      </w:pPr>
      <w:r>
        <w:rPr>
          <w:rFonts w:ascii="宋体" w:hAnsi="宋体"/>
          <w:kern w:val="0"/>
          <w:szCs w:val="21"/>
          <w:highlight w:val="none"/>
        </w:rPr>
        <w:t>传  真：</w:t>
      </w:r>
      <w:r>
        <w:rPr>
          <w:rFonts w:ascii="宋体" w:hAnsi="宋体"/>
          <w:kern w:val="0"/>
          <w:szCs w:val="21"/>
          <w:highlight w:val="none"/>
          <w:u w:val="single"/>
        </w:rPr>
        <w:t></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传  真：</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w:t>
      </w:r>
    </w:p>
    <w:p>
      <w:pPr>
        <w:widowControl/>
        <w:tabs>
          <w:tab w:val="left" w:pos="8931"/>
          <w:tab w:val="left" w:pos="9781"/>
        </w:tabs>
        <w:adjustRightInd w:val="0"/>
        <w:snapToGrid w:val="0"/>
        <w:spacing w:line="480" w:lineRule="auto"/>
        <w:ind w:right="120" w:rightChars="57" w:firstLine="420" w:firstLineChars="200"/>
        <w:jc w:val="left"/>
        <w:rPr>
          <w:rFonts w:ascii="宋体" w:hAnsi="宋体"/>
          <w:kern w:val="0"/>
          <w:szCs w:val="21"/>
          <w:highlight w:val="none"/>
        </w:rPr>
      </w:pPr>
      <w:r>
        <w:rPr>
          <w:rFonts w:ascii="宋体" w:hAnsi="宋体"/>
          <w:kern w:val="0"/>
          <w:szCs w:val="21"/>
          <w:highlight w:val="none"/>
        </w:rPr>
        <w:t>电子信箱：</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电子信箱：</w:t>
      </w:r>
      <w:r>
        <w:rPr>
          <w:rFonts w:ascii="宋体" w:hAnsi="宋体"/>
          <w:kern w:val="0"/>
          <w:szCs w:val="21"/>
          <w:highlight w:val="none"/>
          <w:u w:val="single"/>
        </w:rPr>
        <w:t></w:t>
      </w:r>
      <w:r>
        <w:rPr>
          <w:rFonts w:hint="eastAsia" w:ascii="宋体" w:hAnsi="宋体"/>
          <w:kern w:val="0"/>
          <w:szCs w:val="21"/>
          <w:highlight w:val="none"/>
          <w:u w:val="single"/>
        </w:rPr>
        <w:t xml:space="preserve">        </w:t>
      </w:r>
      <w:r>
        <w:rPr>
          <w:rFonts w:ascii="宋体" w:hAnsi="宋体"/>
          <w:kern w:val="0"/>
          <w:szCs w:val="21"/>
          <w:highlight w:val="none"/>
          <w:u w:val="single"/>
        </w:rPr>
        <w:t></w:t>
      </w:r>
    </w:p>
    <w:p>
      <w:pPr>
        <w:widowControl/>
        <w:tabs>
          <w:tab w:val="left" w:pos="8931"/>
          <w:tab w:val="left" w:pos="9781"/>
        </w:tabs>
        <w:adjustRightInd w:val="0"/>
        <w:snapToGrid w:val="0"/>
        <w:spacing w:line="48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开户银行：</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开户银行：</w:t>
      </w:r>
      <w:r>
        <w:rPr>
          <w:rFonts w:ascii="宋体" w:hAnsi="宋体"/>
          <w:kern w:val="0"/>
          <w:szCs w:val="21"/>
          <w:highlight w:val="none"/>
          <w:u w:val="single"/>
        </w:rPr>
        <w:t></w:t>
      </w:r>
      <w:r>
        <w:rPr>
          <w:rFonts w:hint="eastAsia" w:ascii="宋体" w:hAnsi="宋体"/>
          <w:kern w:val="0"/>
          <w:szCs w:val="21"/>
          <w:highlight w:val="none"/>
          <w:u w:val="single"/>
        </w:rPr>
        <w:t xml:space="preserve">        </w:t>
      </w:r>
      <w:r>
        <w:rPr>
          <w:rFonts w:ascii="宋体" w:hAnsi="宋体"/>
          <w:kern w:val="0"/>
          <w:szCs w:val="21"/>
          <w:highlight w:val="none"/>
          <w:u w:val="single"/>
        </w:rPr>
        <w:t></w:t>
      </w:r>
    </w:p>
    <w:p>
      <w:pPr>
        <w:widowControl/>
        <w:tabs>
          <w:tab w:val="left" w:pos="8931"/>
          <w:tab w:val="left" w:pos="9781"/>
        </w:tabs>
        <w:adjustRightInd w:val="0"/>
        <w:snapToGrid w:val="0"/>
        <w:spacing w:line="48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账  号：</w:t>
      </w:r>
      <w:r>
        <w:rPr>
          <w:rFonts w:ascii="宋体" w:hAnsi="宋体"/>
          <w:kern w:val="0"/>
          <w:szCs w:val="21"/>
          <w:highlight w:val="none"/>
          <w:u w:val="single"/>
        </w:rPr>
        <w:t xml:space="preserve"> 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账  号：</w:t>
      </w:r>
      <w:r>
        <w:rPr>
          <w:rFonts w:ascii="宋体" w:hAnsi="宋体"/>
          <w:kern w:val="0"/>
          <w:szCs w:val="21"/>
          <w:highlight w:val="none"/>
          <w:u w:val="single"/>
        </w:rPr>
        <w:t></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p>
    <w:p>
      <w:pPr>
        <w:widowControl/>
        <w:tabs>
          <w:tab w:val="left" w:pos="8931"/>
        </w:tabs>
        <w:adjustRightInd w:val="0"/>
        <w:snapToGrid w:val="0"/>
        <w:spacing w:line="480" w:lineRule="auto"/>
        <w:ind w:right="42" w:rightChars="20" w:firstLine="420" w:firstLineChars="200"/>
        <w:jc w:val="left"/>
        <w:rPr>
          <w:rFonts w:ascii="宋体" w:hAnsi="宋体"/>
          <w:kern w:val="0"/>
          <w:szCs w:val="21"/>
          <w:highlight w:val="none"/>
        </w:rPr>
      </w:pPr>
      <w:r>
        <w:rPr>
          <w:rFonts w:ascii="宋体" w:hAnsi="宋体"/>
          <w:kern w:val="0"/>
          <w:szCs w:val="21"/>
          <w:highlight w:val="none"/>
        </w:rPr>
        <w:t>签约时间：</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年</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rPr>
        <w:t>月</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日</w:t>
      </w:r>
      <w:r>
        <w:rPr>
          <w:rFonts w:hint="eastAsia" w:ascii="宋体" w:hAnsi="宋体"/>
          <w:kern w:val="0"/>
          <w:szCs w:val="21"/>
          <w:highlight w:val="none"/>
        </w:rPr>
        <w:t xml:space="preserve">  </w:t>
      </w:r>
      <w:r>
        <w:rPr>
          <w:rFonts w:ascii="宋体" w:hAnsi="宋体"/>
          <w:kern w:val="0"/>
          <w:szCs w:val="21"/>
          <w:highlight w:val="none"/>
        </w:rPr>
        <w:t>签约时间：</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年</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月</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日</w:t>
      </w:r>
    </w:p>
    <w:p>
      <w:pPr>
        <w:widowControl/>
        <w:tabs>
          <w:tab w:val="left" w:pos="8931"/>
          <w:tab w:val="left" w:pos="9781"/>
        </w:tabs>
        <w:adjustRightInd w:val="0"/>
        <w:snapToGrid w:val="0"/>
        <w:spacing w:line="600" w:lineRule="exact"/>
        <w:ind w:right="120" w:rightChars="57"/>
        <w:jc w:val="left"/>
        <w:rPr>
          <w:rFonts w:ascii="宋体" w:hAnsi="宋体"/>
          <w:kern w:val="0"/>
          <w:sz w:val="30"/>
          <w:szCs w:val="30"/>
          <w:highlight w:val="none"/>
        </w:rPr>
      </w:pPr>
    </w:p>
    <w:p>
      <w:pPr>
        <w:widowControl/>
        <w:jc w:val="left"/>
        <w:rPr>
          <w:rFonts w:ascii="宋体" w:hAnsi="宋体"/>
          <w:b/>
          <w:color w:val="000000"/>
          <w:sz w:val="32"/>
          <w:szCs w:val="20"/>
          <w:highlight w:val="none"/>
        </w:rPr>
      </w:pPr>
      <w:r>
        <w:rPr>
          <w:rFonts w:ascii="宋体" w:hAnsi="宋体"/>
          <w:b/>
          <w:color w:val="000000"/>
          <w:sz w:val="32"/>
          <w:szCs w:val="20"/>
          <w:highlight w:val="none"/>
        </w:rPr>
        <w:br w:type="page"/>
      </w:r>
    </w:p>
    <w:p>
      <w:pPr>
        <w:keepNext/>
        <w:keepLines/>
        <w:widowControl/>
        <w:tabs>
          <w:tab w:val="left" w:pos="8931"/>
        </w:tabs>
        <w:spacing w:before="340" w:after="330" w:line="360" w:lineRule="auto"/>
        <w:ind w:right="120" w:rightChars="57"/>
        <w:jc w:val="center"/>
        <w:outlineLvl w:val="1"/>
        <w:rPr>
          <w:rFonts w:ascii="宋体" w:hAnsi="宋体"/>
          <w:b/>
          <w:bCs/>
          <w:kern w:val="44"/>
          <w:sz w:val="44"/>
          <w:szCs w:val="44"/>
          <w:highlight w:val="none"/>
        </w:rPr>
      </w:pPr>
      <w:bookmarkStart w:id="1263" w:name="_Toc18075"/>
      <w:bookmarkStart w:id="1264" w:name="_Toc19541"/>
      <w:bookmarkStart w:id="1265" w:name="_Toc12585"/>
      <w:bookmarkStart w:id="1266" w:name="_Toc75857072"/>
      <w:bookmarkStart w:id="1267" w:name="_Toc27771"/>
      <w:bookmarkStart w:id="1268" w:name="_Toc19971"/>
      <w:r>
        <w:rPr>
          <w:rFonts w:hint="eastAsia" w:ascii="宋体" w:hAnsi="宋体"/>
          <w:b/>
          <w:bCs/>
          <w:kern w:val="44"/>
          <w:sz w:val="44"/>
          <w:szCs w:val="44"/>
          <w:highlight w:val="none"/>
        </w:rPr>
        <w:t>第二节 通用合同条款</w:t>
      </w:r>
      <w:bookmarkEnd w:id="1262"/>
      <w:bookmarkEnd w:id="1263"/>
      <w:bookmarkEnd w:id="1264"/>
      <w:bookmarkEnd w:id="1265"/>
      <w:bookmarkEnd w:id="1266"/>
      <w:bookmarkEnd w:id="1267"/>
      <w:bookmarkEnd w:id="1268"/>
    </w:p>
    <w:p>
      <w:pPr>
        <w:keepNext/>
        <w:keepLines/>
        <w:tabs>
          <w:tab w:val="left" w:pos="8931"/>
        </w:tabs>
        <w:spacing w:before="260" w:after="260" w:line="413" w:lineRule="auto"/>
        <w:ind w:firstLine="108"/>
        <w:outlineLvl w:val="2"/>
        <w:rPr>
          <w:rFonts w:ascii="宋体" w:hAnsi="宋体"/>
          <w:sz w:val="32"/>
          <w:szCs w:val="20"/>
          <w:highlight w:val="none"/>
        </w:rPr>
      </w:pPr>
      <w:bookmarkStart w:id="1269" w:name="_Toc482188546"/>
      <w:bookmarkStart w:id="1270" w:name="_Toc15449"/>
      <w:bookmarkStart w:id="1271" w:name="_Toc75857073"/>
      <w:bookmarkStart w:id="1272" w:name="_Toc492300834"/>
      <w:bookmarkStart w:id="1273" w:name="_Toc10109"/>
      <w:bookmarkStart w:id="1274" w:name="_Toc4185"/>
      <w:bookmarkStart w:id="1275" w:name="_Toc2017"/>
      <w:bookmarkStart w:id="1276" w:name="_Toc32450"/>
      <w:r>
        <w:rPr>
          <w:rFonts w:ascii="宋体" w:hAnsi="宋体"/>
          <w:sz w:val="32"/>
          <w:szCs w:val="20"/>
          <w:highlight w:val="none"/>
        </w:rPr>
        <w:t xml:space="preserve">1. </w:t>
      </w:r>
      <w:r>
        <w:rPr>
          <w:rFonts w:hint="eastAsia" w:ascii="宋体" w:hAnsi="宋体"/>
          <w:sz w:val="32"/>
          <w:szCs w:val="20"/>
          <w:highlight w:val="none"/>
        </w:rPr>
        <w:t>一般约定</w:t>
      </w:r>
      <w:bookmarkEnd w:id="1269"/>
      <w:bookmarkEnd w:id="1270"/>
      <w:bookmarkEnd w:id="1271"/>
      <w:bookmarkEnd w:id="1272"/>
      <w:bookmarkEnd w:id="1273"/>
      <w:bookmarkEnd w:id="1274"/>
      <w:bookmarkEnd w:id="1275"/>
      <w:bookmarkEnd w:id="1276"/>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77" w:name="_Toc482188547"/>
      <w:bookmarkStart w:id="1278" w:name="_Toc492300835"/>
      <w:r>
        <w:rPr>
          <w:rFonts w:ascii="宋体" w:hAnsi="宋体"/>
          <w:color w:val="000000"/>
          <w:sz w:val="28"/>
          <w:szCs w:val="20"/>
          <w:highlight w:val="none"/>
        </w:rPr>
        <w:t xml:space="preserve">1.1 </w:t>
      </w:r>
      <w:r>
        <w:rPr>
          <w:rFonts w:hint="eastAsia" w:ascii="宋体" w:hAnsi="宋体"/>
          <w:color w:val="000000"/>
          <w:sz w:val="28"/>
          <w:szCs w:val="20"/>
          <w:highlight w:val="none"/>
        </w:rPr>
        <w:t>词语定义</w:t>
      </w:r>
      <w:bookmarkEnd w:id="1277"/>
      <w:bookmarkEnd w:id="1278"/>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通用合同条款、专用合同条款中的下列词语应具有本款所赋予的含义。</w:t>
      </w:r>
    </w:p>
    <w:p>
      <w:pPr>
        <w:tabs>
          <w:tab w:val="left" w:pos="8931"/>
        </w:tabs>
        <w:spacing w:line="360" w:lineRule="auto"/>
        <w:ind w:firstLine="413" w:firstLineChars="196"/>
        <w:rPr>
          <w:rFonts w:ascii="宋体" w:hAnsi="宋体"/>
          <w:b/>
          <w:szCs w:val="22"/>
          <w:highlight w:val="none"/>
        </w:rPr>
      </w:pPr>
      <w:r>
        <w:rPr>
          <w:rFonts w:ascii="宋体" w:hAnsi="宋体"/>
          <w:b/>
          <w:szCs w:val="22"/>
          <w:highlight w:val="none"/>
        </w:rPr>
        <w:t>1.1.1 合同</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1.1.1.1</w:t>
      </w:r>
      <w:r>
        <w:rPr>
          <w:rFonts w:ascii="宋体" w:hAnsi="宋体"/>
          <w:szCs w:val="21"/>
          <w:highlight w:val="none"/>
        </w:rPr>
        <w:t xml:space="preserve"> 合同文件（或称合同）：指合同协议书、中标通知书、投标函和投标函附录、专用合同条款、通用合同条款、发包人要求、勘察费用清单</w:t>
      </w:r>
      <w:r>
        <w:rPr>
          <w:rFonts w:hint="eastAsia" w:ascii="宋体" w:hAnsi="宋体"/>
          <w:szCs w:val="21"/>
          <w:highlight w:val="none"/>
        </w:rPr>
        <w:t>、</w:t>
      </w:r>
      <w:r>
        <w:rPr>
          <w:rFonts w:ascii="宋体" w:hAnsi="宋体"/>
          <w:szCs w:val="21"/>
          <w:highlight w:val="none"/>
        </w:rPr>
        <w:t>勘察纲要</w:t>
      </w:r>
      <w:r>
        <w:rPr>
          <w:rFonts w:hint="eastAsia" w:ascii="宋体" w:hAnsi="宋体"/>
          <w:szCs w:val="21"/>
          <w:highlight w:val="none"/>
        </w:rPr>
        <w:t>，</w:t>
      </w:r>
      <w:r>
        <w:rPr>
          <w:rFonts w:ascii="宋体" w:hAnsi="宋体"/>
          <w:szCs w:val="21"/>
          <w:highlight w:val="none"/>
        </w:rPr>
        <w:t>以及其他构成合同组成部分的文件。</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1.1.1.2</w:t>
      </w:r>
      <w:r>
        <w:rPr>
          <w:rFonts w:ascii="宋体" w:hAnsi="宋体"/>
          <w:szCs w:val="21"/>
          <w:highlight w:val="none"/>
        </w:rPr>
        <w:t xml:space="preserve"> 合同协议书：指发包人和勘察人共同签署的合同协议书。</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1.1.1.3</w:t>
      </w:r>
      <w:r>
        <w:rPr>
          <w:rFonts w:ascii="宋体" w:hAnsi="宋体"/>
          <w:szCs w:val="21"/>
          <w:highlight w:val="none"/>
        </w:rPr>
        <w:t xml:space="preserve"> 中标通知书：</w:t>
      </w:r>
      <w:r>
        <w:rPr>
          <w:rFonts w:ascii="宋体" w:hAnsi="宋体"/>
          <w:szCs w:val="22"/>
          <w:highlight w:val="none"/>
        </w:rPr>
        <w:t>指</w:t>
      </w:r>
      <w:r>
        <w:rPr>
          <w:rFonts w:ascii="宋体" w:hAnsi="宋体"/>
          <w:szCs w:val="21"/>
          <w:highlight w:val="none"/>
        </w:rPr>
        <w:t>发包人通知勘察人中标的函件。</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1.1.1.4</w:t>
      </w:r>
      <w:r>
        <w:rPr>
          <w:rFonts w:ascii="宋体" w:hAnsi="宋体"/>
          <w:szCs w:val="21"/>
          <w:highlight w:val="none"/>
        </w:rPr>
        <w:t xml:space="preserve"> 投标函：指由勘察人填写并签署的，名为“投标函”的函件。</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1.1.1.5</w:t>
      </w:r>
      <w:r>
        <w:rPr>
          <w:rFonts w:ascii="宋体" w:hAnsi="宋体"/>
          <w:szCs w:val="21"/>
          <w:highlight w:val="none"/>
        </w:rPr>
        <w:t xml:space="preserve"> 投标函附录：指由勘察人填写并签署的</w:t>
      </w:r>
      <w:r>
        <w:rPr>
          <w:rFonts w:hint="eastAsia" w:ascii="宋体" w:hAnsi="宋体"/>
          <w:szCs w:val="21"/>
          <w:highlight w:val="none"/>
        </w:rPr>
        <w:t>、</w:t>
      </w:r>
      <w:r>
        <w:rPr>
          <w:rFonts w:ascii="宋体" w:hAnsi="宋体"/>
          <w:szCs w:val="21"/>
          <w:highlight w:val="none"/>
        </w:rPr>
        <w:t>附在投标函后，名为“投标函附录”的函件。</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1.1.1.6</w:t>
      </w:r>
      <w:r>
        <w:rPr>
          <w:rFonts w:ascii="宋体" w:hAnsi="宋体"/>
          <w:szCs w:val="21"/>
          <w:highlight w:val="none"/>
        </w:rPr>
        <w:t xml:space="preserve"> 发包人要求：指合同文件中名为“发包人要求”的文件。</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1.1.1.7 勘察纲要：指勘察人在投标文件中的勘察纲要。</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1.1.1.8</w:t>
      </w:r>
      <w:r>
        <w:rPr>
          <w:rFonts w:ascii="宋体" w:hAnsi="宋体"/>
          <w:szCs w:val="21"/>
          <w:highlight w:val="none"/>
        </w:rPr>
        <w:t xml:space="preserve"> 勘察费用清单：</w:t>
      </w:r>
      <w:r>
        <w:rPr>
          <w:rFonts w:ascii="宋体" w:hAnsi="宋体"/>
          <w:color w:val="000000"/>
          <w:szCs w:val="21"/>
          <w:highlight w:val="none"/>
        </w:rPr>
        <w:t>指勘察人投标文件中的勘察费用清单。</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1.1.1.9</w:t>
      </w:r>
      <w:r>
        <w:rPr>
          <w:rFonts w:ascii="宋体" w:hAnsi="宋体"/>
          <w:szCs w:val="21"/>
          <w:highlight w:val="none"/>
        </w:rPr>
        <w:t xml:space="preserve"> 其他合同文件：指经合同双方当事人确认构成合同文件的其他文件。</w:t>
      </w:r>
    </w:p>
    <w:p>
      <w:pPr>
        <w:tabs>
          <w:tab w:val="left" w:pos="8931"/>
        </w:tabs>
        <w:spacing w:line="360" w:lineRule="auto"/>
        <w:ind w:firstLine="413" w:firstLineChars="196"/>
        <w:rPr>
          <w:rFonts w:ascii="宋体" w:hAnsi="宋体"/>
          <w:b/>
          <w:szCs w:val="22"/>
          <w:highlight w:val="none"/>
        </w:rPr>
      </w:pPr>
      <w:r>
        <w:rPr>
          <w:rFonts w:ascii="宋体" w:hAnsi="宋体"/>
          <w:b/>
          <w:szCs w:val="22"/>
          <w:highlight w:val="none"/>
        </w:rPr>
        <w:t>1.1.2 合同当事人和人员</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1.1.2.1 合同当事人：指发包人和（或）勘察人。</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1.1.2.2 发包人：指与勘察人签订合同协议书的当事人</w:t>
      </w:r>
      <w:r>
        <w:rPr>
          <w:rFonts w:ascii="宋体" w:hAnsi="宋体"/>
          <w:kern w:val="0"/>
          <w:szCs w:val="21"/>
          <w:highlight w:val="none"/>
        </w:rPr>
        <w:t>，及其</w:t>
      </w:r>
      <w:r>
        <w:rPr>
          <w:rFonts w:ascii="宋体" w:hAnsi="宋体"/>
          <w:kern w:val="0"/>
          <w:highlight w:val="none"/>
        </w:rPr>
        <w:t>合法继承人</w:t>
      </w:r>
      <w:r>
        <w:rPr>
          <w:rFonts w:ascii="宋体" w:hAnsi="宋体"/>
          <w:szCs w:val="21"/>
          <w:highlight w:val="none"/>
        </w:rPr>
        <w:t>。</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1.1.2.3 勘察人：指与发包人签订合同协议书的当事人</w:t>
      </w:r>
      <w:r>
        <w:rPr>
          <w:rFonts w:ascii="宋体" w:hAnsi="宋体"/>
          <w:kern w:val="0"/>
          <w:szCs w:val="21"/>
          <w:highlight w:val="none"/>
        </w:rPr>
        <w:t>，及其</w:t>
      </w:r>
      <w:r>
        <w:rPr>
          <w:rFonts w:ascii="宋体" w:hAnsi="宋体"/>
          <w:kern w:val="0"/>
          <w:highlight w:val="none"/>
        </w:rPr>
        <w:t>合法继承人</w:t>
      </w:r>
      <w:r>
        <w:rPr>
          <w:rFonts w:ascii="宋体" w:hAnsi="宋体"/>
          <w:szCs w:val="21"/>
          <w:highlight w:val="none"/>
        </w:rPr>
        <w:t>。</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1.1.2.4 发包人代表：指由发包人任命，并在授权范围和期限内代表发包人行使权利和履行义务的全权负责人。</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1.1.2.5 项目负责人：指由勘察人任命，代表勘察人行使权利和履行义务的全权负责人。</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1.1.2.6 分包人：指从勘察人处分包合同中某一部分工作，并与其签订分包合同的分包人。</w:t>
      </w:r>
    </w:p>
    <w:p>
      <w:pPr>
        <w:tabs>
          <w:tab w:val="left" w:pos="8931"/>
        </w:tabs>
        <w:spacing w:line="360" w:lineRule="auto"/>
        <w:ind w:firstLine="413" w:firstLineChars="196"/>
        <w:rPr>
          <w:rFonts w:ascii="宋体" w:hAnsi="宋体"/>
          <w:b/>
          <w:szCs w:val="22"/>
          <w:highlight w:val="none"/>
        </w:rPr>
      </w:pPr>
      <w:r>
        <w:rPr>
          <w:rFonts w:ascii="宋体" w:hAnsi="宋体"/>
          <w:b/>
          <w:szCs w:val="22"/>
          <w:highlight w:val="none"/>
        </w:rPr>
        <w:t>1.1.3 工程和勘察</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1.1.3.1 工程：</w:t>
      </w:r>
      <w:r>
        <w:rPr>
          <w:rFonts w:ascii="宋体" w:hAnsi="宋体"/>
          <w:szCs w:val="22"/>
          <w:highlight w:val="none"/>
        </w:rPr>
        <w:t>指专用合同条款中指明进行勘察招标的工程。</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1.1.3.2 勘察服务：指勘察人按照合同约定履行的服务，包括制订勘察纲要、进行测绘、勘探、取样和试验等，查明、分析和评估地质特征和工程条件，编制勘察报告和提供发包人委托的其他服务。</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1.1.3.3 勘察设备：指为完成合同约定的各项工作所需的设备、器具和其他物品，不包括临时工程和材料。</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1.1.3.4 勘探场地：指用于工程勘探的场所，以及在合同中指定作为勘探场地组成的其他场所。</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1.1.3.5 勘察资料：是发包人按合同约定向勘察人提供的，用于完成勘察服务范围与内容所需要的资料。</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1.1.3.6 勘察文件：</w:t>
      </w:r>
      <w:r>
        <w:rPr>
          <w:rFonts w:ascii="宋体" w:hAnsi="宋体"/>
          <w:szCs w:val="22"/>
          <w:highlight w:val="none"/>
        </w:rPr>
        <w:t>指勘察人按合同约定向发包人提交的工程勘察报告、服务大纲、勘察方案、外业指导书、进度计划、图纸、计算书、软件和其他文件等，包括阶段性文件和最终文件，且应当采用合同中双方约定的格式和载体。</w:t>
      </w:r>
    </w:p>
    <w:p>
      <w:pPr>
        <w:tabs>
          <w:tab w:val="left" w:pos="8931"/>
        </w:tabs>
        <w:spacing w:line="360" w:lineRule="auto"/>
        <w:ind w:firstLine="413" w:firstLineChars="196"/>
        <w:rPr>
          <w:rFonts w:ascii="宋体" w:hAnsi="宋体"/>
          <w:b/>
          <w:szCs w:val="22"/>
          <w:highlight w:val="none"/>
        </w:rPr>
      </w:pPr>
      <w:r>
        <w:rPr>
          <w:rFonts w:ascii="宋体" w:hAnsi="宋体"/>
          <w:b/>
          <w:szCs w:val="22"/>
          <w:highlight w:val="none"/>
        </w:rPr>
        <w:t>1.1.4 日期</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1.1.4.1 开始勘察通知：指发包人按第6.1款通知勘察人开始勘察的函件。</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1.1.4.2 开始勘察日期：指发包人按第6.1款发出的开始勘察通知中写明的开始勘察日期。</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1.1.4.3 勘察服务期限：指勘察人在投标函中承诺的完成合同勘察服务所需的期限，包括按第6.2款、第6.3款</w:t>
      </w:r>
      <w:r>
        <w:rPr>
          <w:rFonts w:hint="eastAsia" w:ascii="宋体" w:hAnsi="宋体"/>
          <w:szCs w:val="21"/>
          <w:highlight w:val="none"/>
        </w:rPr>
        <w:t>、第6.5款</w:t>
      </w:r>
      <w:r>
        <w:rPr>
          <w:rFonts w:ascii="宋体" w:hAnsi="宋体"/>
          <w:szCs w:val="21"/>
          <w:highlight w:val="none"/>
        </w:rPr>
        <w:t>和第6.7款约定所作的调整。</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1.1.4.4 完成勘察日期：指第1.1.4.3目约定勘察服务期限届满时的日期。</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1.1.4.5 基准日：指投标截止时间前28天的日期。</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1.1.4.6 天：除特别指明外，指日历天。合同中按天计算时间的，开始当天不计入，从次日开始计算。期限最后一天的截止时间为当天24:00。</w:t>
      </w:r>
    </w:p>
    <w:p>
      <w:pPr>
        <w:tabs>
          <w:tab w:val="left" w:pos="8931"/>
        </w:tabs>
        <w:spacing w:line="360" w:lineRule="auto"/>
        <w:ind w:firstLine="413" w:firstLineChars="196"/>
        <w:rPr>
          <w:rFonts w:ascii="宋体" w:hAnsi="宋体"/>
          <w:b/>
          <w:szCs w:val="22"/>
          <w:highlight w:val="none"/>
        </w:rPr>
      </w:pPr>
      <w:r>
        <w:rPr>
          <w:rFonts w:ascii="宋体" w:hAnsi="宋体"/>
          <w:b/>
          <w:szCs w:val="22"/>
          <w:highlight w:val="none"/>
        </w:rPr>
        <w:t>1.1.5 合同价格和费用</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1.1.5.1 签约合同价：指签订合同时合同协议书中写明的勘察费用总金额。</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1.1.5.2 合同价格：指勘察人按合同约定完成了全部勘察工作后，发包人应付给勘察人的金额，包括在履行合同过程中按合同约定进行的变更和调整。</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1.1.5.3 费用：指为履行合同所发生的或将要发生的所有合理开支，包括管理费和应分摊的其他费用，但不包括利润。</w:t>
      </w:r>
    </w:p>
    <w:p>
      <w:pPr>
        <w:tabs>
          <w:tab w:val="left" w:pos="8931"/>
        </w:tabs>
        <w:spacing w:line="360" w:lineRule="auto"/>
        <w:ind w:firstLine="413" w:firstLineChars="196"/>
        <w:rPr>
          <w:rFonts w:ascii="宋体" w:hAnsi="宋体"/>
          <w:b/>
          <w:szCs w:val="22"/>
          <w:highlight w:val="none"/>
        </w:rPr>
      </w:pPr>
      <w:r>
        <w:rPr>
          <w:rFonts w:ascii="宋体" w:hAnsi="宋体"/>
          <w:b/>
          <w:szCs w:val="22"/>
          <w:highlight w:val="none"/>
        </w:rPr>
        <w:t>1.1.6 其他</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1.1.6.1 书面形式：指合同文件、信件和数据电文（包括电报、电传、传真、电子数据交换和电子邮件）等可以有形地表现所载内容的形式。</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79" w:name="_Toc482188548"/>
      <w:bookmarkStart w:id="1280" w:name="_Toc492300836"/>
      <w:r>
        <w:rPr>
          <w:rFonts w:ascii="宋体" w:hAnsi="宋体"/>
          <w:color w:val="000000"/>
          <w:sz w:val="28"/>
          <w:szCs w:val="20"/>
          <w:highlight w:val="none"/>
        </w:rPr>
        <w:t xml:space="preserve">1.2 </w:t>
      </w:r>
      <w:r>
        <w:rPr>
          <w:rFonts w:hint="eastAsia" w:ascii="宋体" w:hAnsi="宋体"/>
          <w:color w:val="000000"/>
          <w:sz w:val="28"/>
          <w:szCs w:val="20"/>
          <w:highlight w:val="none"/>
        </w:rPr>
        <w:t>语言文字</w:t>
      </w:r>
      <w:bookmarkEnd w:id="1279"/>
      <w:bookmarkEnd w:id="1280"/>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合同使用的语言文字为中文。专用术语使用外文的，应附有中文注释。</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81" w:name="_Toc492300837"/>
      <w:bookmarkStart w:id="1282" w:name="_Toc482188549"/>
      <w:r>
        <w:rPr>
          <w:rFonts w:ascii="宋体" w:hAnsi="宋体"/>
          <w:color w:val="000000"/>
          <w:sz w:val="28"/>
          <w:szCs w:val="20"/>
          <w:highlight w:val="none"/>
        </w:rPr>
        <w:t xml:space="preserve">1.3 </w:t>
      </w:r>
      <w:r>
        <w:rPr>
          <w:rFonts w:hint="eastAsia" w:ascii="宋体" w:hAnsi="宋体"/>
          <w:color w:val="000000"/>
          <w:sz w:val="28"/>
          <w:szCs w:val="20"/>
          <w:highlight w:val="none"/>
        </w:rPr>
        <w:t>适用法律</w:t>
      </w:r>
      <w:bookmarkEnd w:id="1281"/>
      <w:bookmarkEnd w:id="1282"/>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适用于合同的法律包括中华人民共和国法律、行政法规、部门规章，以及工程所在地的地方法规、自治条例、单行条例和地方政府规章。</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本合同适用的其他规范性文件，可在专用合同条款中约定。</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83" w:name="_Toc482188550"/>
      <w:bookmarkStart w:id="1284" w:name="_Toc492300838"/>
      <w:r>
        <w:rPr>
          <w:rFonts w:ascii="宋体" w:hAnsi="宋体"/>
          <w:color w:val="000000"/>
          <w:sz w:val="28"/>
          <w:szCs w:val="20"/>
          <w:highlight w:val="none"/>
        </w:rPr>
        <w:t xml:space="preserve">1.4 </w:t>
      </w:r>
      <w:r>
        <w:rPr>
          <w:rFonts w:hint="eastAsia" w:ascii="宋体" w:hAnsi="宋体"/>
          <w:color w:val="000000"/>
          <w:sz w:val="28"/>
          <w:szCs w:val="20"/>
          <w:highlight w:val="none"/>
        </w:rPr>
        <w:t>合同文件的优先顺序</w:t>
      </w:r>
      <w:bookmarkEnd w:id="1283"/>
      <w:bookmarkEnd w:id="1284"/>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组成合同的各项文件应互相解释，互为说明。除专用合同条款另有约定外，解释合同文件的优先顺序如下：</w:t>
      </w:r>
    </w:p>
    <w:p>
      <w:pPr>
        <w:tabs>
          <w:tab w:val="left" w:pos="8931"/>
        </w:tabs>
        <w:spacing w:line="360" w:lineRule="auto"/>
        <w:ind w:firstLine="420"/>
        <w:rPr>
          <w:rFonts w:ascii="宋体" w:hAnsi="宋体"/>
          <w:szCs w:val="22"/>
          <w:highlight w:val="none"/>
        </w:rPr>
      </w:pPr>
      <w:r>
        <w:rPr>
          <w:rFonts w:ascii="宋体" w:hAnsi="宋体"/>
          <w:szCs w:val="22"/>
          <w:highlight w:val="none"/>
        </w:rPr>
        <w:t>（1）合同协议书；</w:t>
      </w:r>
    </w:p>
    <w:p>
      <w:pPr>
        <w:tabs>
          <w:tab w:val="left" w:pos="8931"/>
        </w:tabs>
        <w:spacing w:line="360" w:lineRule="auto"/>
        <w:ind w:firstLine="420"/>
        <w:rPr>
          <w:rFonts w:ascii="宋体" w:hAnsi="宋体"/>
          <w:szCs w:val="22"/>
          <w:highlight w:val="none"/>
        </w:rPr>
      </w:pPr>
      <w:r>
        <w:rPr>
          <w:rFonts w:ascii="宋体" w:hAnsi="宋体"/>
          <w:szCs w:val="22"/>
          <w:highlight w:val="none"/>
        </w:rPr>
        <w:t>（2）中标通知书；</w:t>
      </w:r>
    </w:p>
    <w:p>
      <w:pPr>
        <w:tabs>
          <w:tab w:val="left" w:pos="8931"/>
        </w:tabs>
        <w:spacing w:line="360" w:lineRule="auto"/>
        <w:ind w:firstLine="420"/>
        <w:rPr>
          <w:rFonts w:ascii="宋体" w:hAnsi="宋体"/>
          <w:szCs w:val="22"/>
          <w:highlight w:val="none"/>
        </w:rPr>
      </w:pPr>
      <w:r>
        <w:rPr>
          <w:rFonts w:ascii="宋体" w:hAnsi="宋体"/>
          <w:szCs w:val="22"/>
          <w:highlight w:val="none"/>
        </w:rPr>
        <w:t>（3）投标函及投标函附录；</w:t>
      </w:r>
    </w:p>
    <w:p>
      <w:pPr>
        <w:tabs>
          <w:tab w:val="left" w:pos="8931"/>
        </w:tabs>
        <w:spacing w:line="360" w:lineRule="auto"/>
        <w:ind w:firstLine="420"/>
        <w:rPr>
          <w:rFonts w:ascii="宋体" w:hAnsi="宋体"/>
          <w:szCs w:val="22"/>
          <w:highlight w:val="none"/>
        </w:rPr>
      </w:pPr>
      <w:r>
        <w:rPr>
          <w:rFonts w:ascii="宋体" w:hAnsi="宋体"/>
          <w:szCs w:val="22"/>
          <w:highlight w:val="none"/>
        </w:rPr>
        <w:t>（4）专用合同条款；</w:t>
      </w:r>
    </w:p>
    <w:p>
      <w:pPr>
        <w:tabs>
          <w:tab w:val="left" w:pos="8931"/>
        </w:tabs>
        <w:spacing w:line="360" w:lineRule="auto"/>
        <w:ind w:firstLine="420"/>
        <w:rPr>
          <w:rFonts w:ascii="宋体" w:hAnsi="宋体"/>
          <w:szCs w:val="22"/>
          <w:highlight w:val="none"/>
        </w:rPr>
      </w:pPr>
      <w:r>
        <w:rPr>
          <w:rFonts w:ascii="宋体" w:hAnsi="宋体"/>
          <w:szCs w:val="22"/>
          <w:highlight w:val="none"/>
        </w:rPr>
        <w:t>（5）通用合同条款；</w:t>
      </w:r>
    </w:p>
    <w:p>
      <w:pPr>
        <w:tabs>
          <w:tab w:val="left" w:pos="8931"/>
        </w:tabs>
        <w:spacing w:line="360" w:lineRule="auto"/>
        <w:ind w:firstLine="420"/>
        <w:rPr>
          <w:rFonts w:ascii="宋体" w:hAnsi="宋体"/>
          <w:szCs w:val="22"/>
          <w:highlight w:val="none"/>
        </w:rPr>
      </w:pPr>
      <w:r>
        <w:rPr>
          <w:rFonts w:ascii="宋体" w:hAnsi="宋体"/>
          <w:szCs w:val="22"/>
          <w:highlight w:val="none"/>
        </w:rPr>
        <w:t>（6）发包人要求；</w:t>
      </w:r>
    </w:p>
    <w:p>
      <w:pPr>
        <w:tabs>
          <w:tab w:val="left" w:pos="8931"/>
        </w:tabs>
        <w:spacing w:line="360" w:lineRule="auto"/>
        <w:ind w:firstLine="420"/>
        <w:rPr>
          <w:rFonts w:ascii="宋体" w:hAnsi="宋体"/>
          <w:szCs w:val="22"/>
          <w:highlight w:val="none"/>
        </w:rPr>
      </w:pPr>
      <w:r>
        <w:rPr>
          <w:rFonts w:ascii="宋体" w:hAnsi="宋体"/>
          <w:szCs w:val="22"/>
          <w:highlight w:val="none"/>
        </w:rPr>
        <w:t>（</w:t>
      </w:r>
      <w:r>
        <w:rPr>
          <w:rFonts w:hint="eastAsia" w:ascii="宋体" w:hAnsi="宋体"/>
          <w:szCs w:val="22"/>
          <w:highlight w:val="none"/>
        </w:rPr>
        <w:t>7</w:t>
      </w:r>
      <w:r>
        <w:rPr>
          <w:rFonts w:ascii="宋体" w:hAnsi="宋体"/>
          <w:szCs w:val="22"/>
          <w:highlight w:val="none"/>
        </w:rPr>
        <w:t>）勘察费用清单；</w:t>
      </w:r>
    </w:p>
    <w:p>
      <w:pPr>
        <w:tabs>
          <w:tab w:val="left" w:pos="8931"/>
        </w:tabs>
        <w:spacing w:line="360" w:lineRule="auto"/>
        <w:ind w:firstLine="420"/>
        <w:rPr>
          <w:rFonts w:ascii="宋体" w:hAnsi="宋体"/>
          <w:szCs w:val="22"/>
          <w:highlight w:val="none"/>
        </w:rPr>
      </w:pPr>
      <w:r>
        <w:rPr>
          <w:rFonts w:ascii="宋体" w:hAnsi="宋体"/>
          <w:szCs w:val="22"/>
          <w:highlight w:val="none"/>
        </w:rPr>
        <w:t>（</w:t>
      </w:r>
      <w:r>
        <w:rPr>
          <w:rFonts w:hint="eastAsia" w:ascii="宋体" w:hAnsi="宋体"/>
          <w:szCs w:val="22"/>
          <w:highlight w:val="none"/>
        </w:rPr>
        <w:t>8</w:t>
      </w:r>
      <w:r>
        <w:rPr>
          <w:rFonts w:ascii="宋体" w:hAnsi="宋体"/>
          <w:szCs w:val="22"/>
          <w:highlight w:val="none"/>
        </w:rPr>
        <w:t>）勘察纲要；</w:t>
      </w:r>
    </w:p>
    <w:p>
      <w:pPr>
        <w:tabs>
          <w:tab w:val="left" w:pos="8931"/>
        </w:tabs>
        <w:spacing w:line="360" w:lineRule="auto"/>
        <w:ind w:firstLine="420"/>
        <w:rPr>
          <w:rFonts w:ascii="宋体" w:hAnsi="宋体"/>
          <w:szCs w:val="22"/>
          <w:highlight w:val="none"/>
        </w:rPr>
      </w:pPr>
      <w:bookmarkStart w:id="1285" w:name="_Toc492300839"/>
      <w:bookmarkStart w:id="1286" w:name="_Toc482188551"/>
      <w:r>
        <w:rPr>
          <w:rFonts w:hint="eastAsia" w:ascii="宋体" w:hAnsi="宋体"/>
          <w:szCs w:val="22"/>
          <w:highlight w:val="none"/>
        </w:rPr>
        <w:t>（9）主要人员汇总表；</w:t>
      </w:r>
    </w:p>
    <w:p>
      <w:pPr>
        <w:tabs>
          <w:tab w:val="left" w:pos="8931"/>
        </w:tabs>
        <w:spacing w:line="360" w:lineRule="auto"/>
        <w:ind w:firstLine="420"/>
        <w:rPr>
          <w:rFonts w:ascii="宋体" w:hAnsi="宋体"/>
          <w:szCs w:val="22"/>
          <w:highlight w:val="none"/>
        </w:rPr>
      </w:pPr>
      <w:r>
        <w:rPr>
          <w:rFonts w:hint="eastAsia" w:ascii="宋体" w:hAnsi="宋体"/>
          <w:szCs w:val="22"/>
          <w:highlight w:val="none"/>
        </w:rPr>
        <w:t>（10）其他合同文件。</w:t>
      </w:r>
    </w:p>
    <w:p>
      <w:pPr>
        <w:keepNext/>
        <w:keepLines/>
        <w:tabs>
          <w:tab w:val="left" w:pos="8931"/>
        </w:tabs>
        <w:spacing w:before="260" w:after="260"/>
        <w:ind w:firstLine="137" w:firstLineChars="49"/>
        <w:outlineLvl w:val="3"/>
        <w:rPr>
          <w:rFonts w:ascii="宋体" w:hAnsi="宋体"/>
          <w:color w:val="000000"/>
          <w:sz w:val="28"/>
          <w:szCs w:val="20"/>
          <w:highlight w:val="none"/>
        </w:rPr>
      </w:pPr>
      <w:r>
        <w:rPr>
          <w:rFonts w:ascii="宋体" w:hAnsi="宋体"/>
          <w:color w:val="000000"/>
          <w:sz w:val="28"/>
          <w:szCs w:val="20"/>
          <w:highlight w:val="none"/>
        </w:rPr>
        <w:t xml:space="preserve">1.5 </w:t>
      </w:r>
      <w:r>
        <w:rPr>
          <w:rFonts w:hint="eastAsia" w:ascii="宋体" w:hAnsi="宋体"/>
          <w:color w:val="000000"/>
          <w:sz w:val="28"/>
          <w:szCs w:val="20"/>
          <w:highlight w:val="none"/>
        </w:rPr>
        <w:t>合同协议书</w:t>
      </w:r>
      <w:bookmarkEnd w:id="1285"/>
      <w:bookmarkEnd w:id="1286"/>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勘察人按中标通知书规定的时间与发包人签订合同协议书。除法律另有规定或合同另有约定外，发包人和勘察人的法定代表人或其委托代理人在合同协议书上签名并盖单位章后，合同生效。</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87" w:name="_Toc492300840"/>
      <w:bookmarkStart w:id="1288" w:name="_Toc482188552"/>
      <w:r>
        <w:rPr>
          <w:rFonts w:ascii="宋体" w:hAnsi="宋体"/>
          <w:color w:val="000000"/>
          <w:sz w:val="28"/>
          <w:szCs w:val="20"/>
          <w:highlight w:val="none"/>
        </w:rPr>
        <w:t xml:space="preserve">1.6 </w:t>
      </w:r>
      <w:r>
        <w:rPr>
          <w:rFonts w:hint="eastAsia" w:ascii="宋体" w:hAnsi="宋体"/>
          <w:color w:val="000000"/>
          <w:sz w:val="28"/>
          <w:szCs w:val="20"/>
          <w:highlight w:val="none"/>
        </w:rPr>
        <w:t>文件的提供和照管</w:t>
      </w:r>
      <w:bookmarkEnd w:id="1287"/>
      <w:bookmarkEnd w:id="1288"/>
    </w:p>
    <w:p>
      <w:pPr>
        <w:tabs>
          <w:tab w:val="left" w:pos="8931"/>
        </w:tabs>
        <w:spacing w:line="360" w:lineRule="auto"/>
        <w:ind w:firstLine="422" w:firstLineChars="200"/>
        <w:rPr>
          <w:rFonts w:ascii="宋体" w:hAnsi="宋体"/>
          <w:b/>
          <w:szCs w:val="22"/>
          <w:highlight w:val="none"/>
        </w:rPr>
      </w:pPr>
      <w:r>
        <w:rPr>
          <w:rFonts w:ascii="宋体" w:hAnsi="宋体"/>
          <w:b/>
          <w:szCs w:val="22"/>
          <w:highlight w:val="none"/>
        </w:rPr>
        <w:t>1.6.1 勘察文件的提供</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除专用合同条款另有约定外，勘察人应在合理的期限内按照合同约定的数量向发包人提供勘察文件。合同约定勘察文件应经发包人批复的，发包人应当在合同约定的期限内批复或提出修改意见。</w:t>
      </w:r>
    </w:p>
    <w:p>
      <w:pPr>
        <w:tabs>
          <w:tab w:val="left" w:pos="8931"/>
        </w:tabs>
        <w:spacing w:line="360" w:lineRule="auto"/>
        <w:ind w:firstLine="422" w:firstLineChars="200"/>
        <w:rPr>
          <w:rFonts w:ascii="宋体" w:hAnsi="宋体"/>
          <w:b/>
          <w:szCs w:val="21"/>
          <w:highlight w:val="none"/>
        </w:rPr>
      </w:pPr>
      <w:r>
        <w:rPr>
          <w:rFonts w:ascii="宋体" w:hAnsi="宋体"/>
          <w:b/>
          <w:szCs w:val="22"/>
          <w:highlight w:val="none"/>
        </w:rPr>
        <w:t xml:space="preserve">1.6.2 </w:t>
      </w:r>
      <w:r>
        <w:rPr>
          <w:rFonts w:ascii="宋体" w:hAnsi="宋体"/>
          <w:b/>
          <w:szCs w:val="21"/>
          <w:highlight w:val="none"/>
        </w:rPr>
        <w:t>发包人提供的文件</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按专用合同条款约定由发包人提供的文件，包括</w:t>
      </w:r>
      <w:r>
        <w:rPr>
          <w:rFonts w:hint="eastAsia" w:ascii="宋体" w:hAnsi="宋体"/>
          <w:szCs w:val="21"/>
          <w:highlight w:val="none"/>
        </w:rPr>
        <w:t>基础资料、</w:t>
      </w:r>
      <w:r>
        <w:rPr>
          <w:rFonts w:ascii="宋体" w:hAnsi="宋体"/>
          <w:szCs w:val="21"/>
          <w:highlight w:val="none"/>
        </w:rPr>
        <w:t>勘察任务书等，发包人应按约定的数量和期限交给勘察人。由于发包人未按时提供文件造成勘察服务期限延误的，按第</w:t>
      </w:r>
      <w:r>
        <w:rPr>
          <w:rFonts w:ascii="宋体" w:hAnsi="宋体"/>
          <w:szCs w:val="22"/>
          <w:highlight w:val="none"/>
        </w:rPr>
        <w:t>6.2</w:t>
      </w:r>
      <w:r>
        <w:rPr>
          <w:rFonts w:ascii="宋体" w:hAnsi="宋体"/>
          <w:szCs w:val="21"/>
          <w:highlight w:val="none"/>
        </w:rPr>
        <w:t>款约定执行。</w:t>
      </w:r>
    </w:p>
    <w:p>
      <w:pPr>
        <w:tabs>
          <w:tab w:val="left" w:pos="8931"/>
        </w:tabs>
        <w:spacing w:line="360" w:lineRule="auto"/>
        <w:ind w:firstLine="422" w:firstLineChars="200"/>
        <w:rPr>
          <w:rFonts w:ascii="宋体" w:hAnsi="宋体"/>
          <w:b/>
          <w:szCs w:val="21"/>
          <w:highlight w:val="none"/>
        </w:rPr>
      </w:pPr>
      <w:r>
        <w:rPr>
          <w:rFonts w:ascii="宋体" w:hAnsi="宋体"/>
          <w:b/>
          <w:szCs w:val="22"/>
          <w:highlight w:val="none"/>
        </w:rPr>
        <w:t xml:space="preserve">1.6.3 </w:t>
      </w:r>
      <w:r>
        <w:rPr>
          <w:rFonts w:ascii="宋体" w:hAnsi="宋体"/>
          <w:b/>
          <w:szCs w:val="21"/>
          <w:highlight w:val="none"/>
        </w:rPr>
        <w:t>文件错误的通知</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任何一方当事人发现文件中存在的明显错误或疏忽，均应及时通知对方当事人，并应立即采取适当的措施防止损失扩大。</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89" w:name="_Toc492300841"/>
      <w:bookmarkStart w:id="1290" w:name="_Toc482188553"/>
      <w:r>
        <w:rPr>
          <w:rFonts w:ascii="宋体" w:hAnsi="宋体"/>
          <w:color w:val="000000"/>
          <w:sz w:val="28"/>
          <w:szCs w:val="20"/>
          <w:highlight w:val="none"/>
        </w:rPr>
        <w:t xml:space="preserve">1.7 </w:t>
      </w:r>
      <w:r>
        <w:rPr>
          <w:rFonts w:hint="eastAsia" w:ascii="宋体" w:hAnsi="宋体"/>
          <w:color w:val="000000"/>
          <w:sz w:val="28"/>
          <w:szCs w:val="20"/>
          <w:highlight w:val="none"/>
        </w:rPr>
        <w:t>联络</w:t>
      </w:r>
      <w:bookmarkEnd w:id="1289"/>
      <w:bookmarkEnd w:id="1290"/>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1.7.1</w:t>
      </w:r>
      <w:r>
        <w:rPr>
          <w:rFonts w:ascii="宋体" w:hAnsi="宋体"/>
          <w:szCs w:val="21"/>
          <w:highlight w:val="none"/>
        </w:rPr>
        <w:t xml:space="preserve"> 与合同有关的通知、批准、证明、证书、指示、要求、请求、同意、意见、确定和决定等，均应采用书面形式。</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1.7.2</w:t>
      </w:r>
      <w:r>
        <w:rPr>
          <w:rFonts w:ascii="宋体" w:hAnsi="宋体"/>
          <w:szCs w:val="21"/>
          <w:highlight w:val="none"/>
        </w:rPr>
        <w:t xml:space="preserve"> 上述通知、批准、证明、证书、指示、要求、请求、同意、意见、确定和决定等来往函件，均应在合同约定的期限内送达指定的地点和指定的接收人，并办理签收手续。</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91" w:name="_Toc482188554"/>
      <w:bookmarkStart w:id="1292" w:name="_Toc492300842"/>
      <w:r>
        <w:rPr>
          <w:rFonts w:ascii="宋体" w:hAnsi="宋体"/>
          <w:color w:val="000000"/>
          <w:sz w:val="28"/>
          <w:szCs w:val="20"/>
          <w:highlight w:val="none"/>
        </w:rPr>
        <w:t xml:space="preserve">1.8 </w:t>
      </w:r>
      <w:r>
        <w:rPr>
          <w:rFonts w:hint="eastAsia" w:ascii="宋体" w:hAnsi="宋体"/>
          <w:color w:val="000000"/>
          <w:sz w:val="28"/>
          <w:szCs w:val="20"/>
          <w:highlight w:val="none"/>
        </w:rPr>
        <w:t>转让</w:t>
      </w:r>
      <w:bookmarkEnd w:id="1291"/>
      <w:bookmarkEnd w:id="1292"/>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除专用合同条款另有约定外，未经对方当事人同意，一方当事人不得将合同权利全部或部分转让给第三人，也不得全部或部分转移合同义务。</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93" w:name="_Toc482188555"/>
      <w:bookmarkStart w:id="1294" w:name="_Toc492300843"/>
      <w:r>
        <w:rPr>
          <w:rFonts w:ascii="宋体" w:hAnsi="宋体"/>
          <w:color w:val="000000"/>
          <w:sz w:val="28"/>
          <w:szCs w:val="20"/>
          <w:highlight w:val="none"/>
        </w:rPr>
        <w:t xml:space="preserve">1.9 </w:t>
      </w:r>
      <w:r>
        <w:rPr>
          <w:rFonts w:hint="eastAsia" w:ascii="宋体" w:hAnsi="宋体"/>
          <w:color w:val="000000"/>
          <w:sz w:val="28"/>
          <w:szCs w:val="20"/>
          <w:highlight w:val="none"/>
        </w:rPr>
        <w:t>严禁贿赂</w:t>
      </w:r>
      <w:bookmarkEnd w:id="1293"/>
      <w:bookmarkEnd w:id="1294"/>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合同双方当事人不得以贿赂或变相贿赂的方式，谋取不当利益或损害对方权益。因贿赂造成对方当事人损失的，行为人应当赔偿损失，并承担相应的法律责任。</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95" w:name="_Toc482188556"/>
      <w:bookmarkStart w:id="1296" w:name="_Toc492300844"/>
      <w:r>
        <w:rPr>
          <w:rFonts w:ascii="宋体" w:hAnsi="宋体"/>
          <w:color w:val="000000"/>
          <w:sz w:val="28"/>
          <w:szCs w:val="20"/>
          <w:highlight w:val="none"/>
        </w:rPr>
        <w:t xml:space="preserve">1.10 </w:t>
      </w:r>
      <w:r>
        <w:rPr>
          <w:rFonts w:hint="eastAsia" w:ascii="宋体" w:hAnsi="宋体"/>
          <w:color w:val="000000"/>
          <w:sz w:val="28"/>
          <w:szCs w:val="20"/>
          <w:highlight w:val="none"/>
        </w:rPr>
        <w:t>知识产权</w:t>
      </w:r>
      <w:bookmarkEnd w:id="1295"/>
      <w:bookmarkEnd w:id="1296"/>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1.10.1除专用合同条款另有约定外，</w:t>
      </w:r>
      <w:r>
        <w:rPr>
          <w:rFonts w:ascii="宋体" w:hAnsi="宋体"/>
          <w:szCs w:val="21"/>
          <w:highlight w:val="none"/>
        </w:rPr>
        <w:t>勘察人完成的勘察工作成果，除署名权以外的著作权和其他知识产权均归发包人享有。</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1.10.2 </w:t>
      </w:r>
      <w:r>
        <w:rPr>
          <w:rFonts w:ascii="宋体" w:hAnsi="宋体"/>
          <w:szCs w:val="21"/>
          <w:highlight w:val="none"/>
        </w:rPr>
        <w:t>勘察人在从事勘察活动时，不得侵犯他人的知识产权。因侵犯专利权或其他知识产权所引起的责任，由勘察人自行承担。因发包人提供的勘察资料导致侵权的，由发包人承担责任。</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 xml:space="preserve">1.10.3 </w:t>
      </w:r>
      <w:r>
        <w:rPr>
          <w:rFonts w:ascii="宋体" w:hAnsi="宋体"/>
          <w:szCs w:val="21"/>
          <w:highlight w:val="none"/>
        </w:rPr>
        <w:t>勘察人在投标文件中采用专利技术、专有技术的，相应的使用费视为已包含在</w:t>
      </w:r>
      <w:r>
        <w:rPr>
          <w:rFonts w:hint="eastAsia" w:ascii="宋体" w:hAnsi="宋体"/>
          <w:szCs w:val="21"/>
          <w:highlight w:val="none"/>
        </w:rPr>
        <w:t>投标报价</w:t>
      </w:r>
      <w:r>
        <w:rPr>
          <w:rFonts w:ascii="宋体" w:hAnsi="宋体"/>
          <w:szCs w:val="21"/>
          <w:highlight w:val="none"/>
        </w:rPr>
        <w:t>之中。</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97" w:name="_Toc492300845"/>
      <w:bookmarkStart w:id="1298" w:name="_Toc482188557"/>
      <w:r>
        <w:rPr>
          <w:rFonts w:ascii="宋体" w:hAnsi="宋体"/>
          <w:color w:val="000000"/>
          <w:sz w:val="28"/>
          <w:szCs w:val="20"/>
          <w:highlight w:val="none"/>
        </w:rPr>
        <w:t xml:space="preserve">1.11 </w:t>
      </w:r>
      <w:r>
        <w:rPr>
          <w:rFonts w:hint="eastAsia" w:ascii="宋体" w:hAnsi="宋体"/>
          <w:color w:val="000000"/>
          <w:sz w:val="28"/>
          <w:szCs w:val="20"/>
          <w:highlight w:val="none"/>
        </w:rPr>
        <w:t>文件及信息的保密</w:t>
      </w:r>
      <w:bookmarkEnd w:id="1297"/>
      <w:bookmarkEnd w:id="1298"/>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未经对方同意，任何一方当事人不得将有关文件、技术秘密、需要保密的资料和信息泄露给他人或公开发表与引用。</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299" w:name="_Toc482188558"/>
      <w:bookmarkStart w:id="1300" w:name="_Toc492300846"/>
      <w:r>
        <w:rPr>
          <w:rFonts w:ascii="宋体" w:hAnsi="宋体"/>
          <w:color w:val="000000"/>
          <w:sz w:val="28"/>
          <w:szCs w:val="20"/>
          <w:highlight w:val="none"/>
        </w:rPr>
        <w:t xml:space="preserve">1.12 </w:t>
      </w:r>
      <w:r>
        <w:rPr>
          <w:rFonts w:hint="eastAsia" w:ascii="宋体" w:hAnsi="宋体"/>
          <w:color w:val="000000"/>
          <w:sz w:val="28"/>
          <w:szCs w:val="20"/>
          <w:highlight w:val="none"/>
        </w:rPr>
        <w:t>发包人要求</w:t>
      </w:r>
      <w:bookmarkEnd w:id="1299"/>
      <w:bookmarkEnd w:id="1300"/>
    </w:p>
    <w:p>
      <w:pPr>
        <w:tabs>
          <w:tab w:val="left" w:pos="8931"/>
        </w:tabs>
        <w:spacing w:line="360" w:lineRule="auto"/>
        <w:ind w:firstLine="420"/>
        <w:rPr>
          <w:rFonts w:ascii="宋体" w:hAnsi="宋体"/>
          <w:szCs w:val="21"/>
          <w:highlight w:val="none"/>
        </w:rPr>
      </w:pPr>
      <w:r>
        <w:rPr>
          <w:rFonts w:ascii="宋体" w:hAnsi="宋体"/>
          <w:szCs w:val="22"/>
          <w:highlight w:val="none"/>
        </w:rPr>
        <w:t xml:space="preserve">1.12.1 </w:t>
      </w:r>
      <w:r>
        <w:rPr>
          <w:rFonts w:ascii="宋体" w:hAnsi="宋体"/>
          <w:szCs w:val="21"/>
          <w:highlight w:val="none"/>
        </w:rPr>
        <w:t>勘察人应认真阅读、复核发包人要求，</w:t>
      </w:r>
      <w:r>
        <w:rPr>
          <w:rFonts w:ascii="宋体" w:hAnsi="宋体"/>
          <w:szCs w:val="22"/>
          <w:highlight w:val="none"/>
        </w:rPr>
        <w:t>发现错误的，应及时书面通知发包人。无论是否存在错误，发包人均有权修改发包人要求，并在修改后3日内通知勘察人。除专用合同</w:t>
      </w:r>
      <w:bookmarkStart w:id="1301" w:name="_Toc247527649"/>
      <w:bookmarkStart w:id="1302" w:name="_Toc300835045"/>
      <w:bookmarkStart w:id="1303" w:name="_Toc247514048"/>
      <w:bookmarkStart w:id="1304" w:name="_Toc265955390"/>
      <w:r>
        <w:rPr>
          <w:rFonts w:ascii="宋体" w:hAnsi="宋体"/>
          <w:szCs w:val="22"/>
          <w:highlight w:val="none"/>
        </w:rPr>
        <w:t>条款另有约定外，由此</w:t>
      </w:r>
      <w:bookmarkEnd w:id="1301"/>
      <w:bookmarkEnd w:id="1302"/>
      <w:bookmarkEnd w:id="1303"/>
      <w:bookmarkEnd w:id="1304"/>
      <w:r>
        <w:rPr>
          <w:rFonts w:ascii="宋体" w:hAnsi="宋体"/>
          <w:szCs w:val="21"/>
          <w:highlight w:val="none"/>
        </w:rPr>
        <w:t>导致勘察人费用增加和(或)周期延误的，发包人应当相应地增加费用和(或)延长周期。</w:t>
      </w:r>
    </w:p>
    <w:p>
      <w:pPr>
        <w:tabs>
          <w:tab w:val="left" w:pos="9072"/>
          <w:tab w:val="left" w:pos="9781"/>
        </w:tabs>
        <w:adjustRightInd w:val="0"/>
        <w:snapToGrid w:val="0"/>
        <w:spacing w:line="360" w:lineRule="auto"/>
        <w:ind w:right="120" w:rightChars="57" w:firstLine="420" w:firstLineChars="200"/>
        <w:rPr>
          <w:rFonts w:ascii="宋体" w:hAnsi="宋体"/>
          <w:szCs w:val="21"/>
          <w:highlight w:val="none"/>
        </w:rPr>
      </w:pPr>
      <w:r>
        <w:rPr>
          <w:rFonts w:ascii="宋体" w:hAnsi="宋体"/>
          <w:szCs w:val="22"/>
          <w:highlight w:val="none"/>
        </w:rPr>
        <w:t>1.12.2 如果</w:t>
      </w:r>
      <w:r>
        <w:rPr>
          <w:rFonts w:ascii="宋体" w:hAnsi="宋体"/>
          <w:szCs w:val="21"/>
          <w:highlight w:val="none"/>
        </w:rPr>
        <w:t>发包人要求违反法律规定，勘察人应在</w:t>
      </w:r>
      <w:r>
        <w:rPr>
          <w:rFonts w:ascii="宋体" w:hAnsi="宋体"/>
          <w:szCs w:val="22"/>
          <w:highlight w:val="none"/>
        </w:rPr>
        <w:t>发现后及时书面通知发包人，要求其改正。发包人收到通知书后不予改正或不予答复的，勘察人有权拒绝履行合同义务，直至解除合同；</w:t>
      </w:r>
      <w:r>
        <w:rPr>
          <w:rFonts w:ascii="宋体" w:hAnsi="宋体"/>
          <w:szCs w:val="21"/>
          <w:highlight w:val="none"/>
        </w:rPr>
        <w:t>由此引起的勘察人的全部损失由发包人承担。</w:t>
      </w:r>
    </w:p>
    <w:p>
      <w:pPr>
        <w:keepNext/>
        <w:keepLines/>
        <w:tabs>
          <w:tab w:val="left" w:pos="8931"/>
        </w:tabs>
        <w:spacing w:before="260" w:after="260" w:line="413" w:lineRule="auto"/>
        <w:ind w:firstLine="108"/>
        <w:outlineLvl w:val="2"/>
        <w:rPr>
          <w:rFonts w:ascii="宋体" w:hAnsi="宋体"/>
          <w:sz w:val="32"/>
          <w:szCs w:val="20"/>
          <w:highlight w:val="none"/>
        </w:rPr>
      </w:pPr>
      <w:bookmarkStart w:id="1305" w:name="_Toc1946"/>
      <w:bookmarkStart w:id="1306" w:name="_Toc482188559"/>
      <w:bookmarkStart w:id="1307" w:name="_Toc25074"/>
      <w:bookmarkStart w:id="1308" w:name="_Toc13152"/>
      <w:bookmarkStart w:id="1309" w:name="_Toc75857074"/>
      <w:bookmarkStart w:id="1310" w:name="_Toc21157"/>
      <w:bookmarkStart w:id="1311" w:name="_Toc492300847"/>
      <w:bookmarkStart w:id="1312" w:name="_Toc21699"/>
      <w:r>
        <w:rPr>
          <w:rFonts w:ascii="宋体" w:hAnsi="宋体"/>
          <w:sz w:val="32"/>
          <w:szCs w:val="20"/>
          <w:highlight w:val="none"/>
        </w:rPr>
        <w:t>2. 发包人义务</w:t>
      </w:r>
      <w:bookmarkEnd w:id="1305"/>
      <w:bookmarkEnd w:id="1306"/>
      <w:bookmarkEnd w:id="1307"/>
      <w:bookmarkEnd w:id="1308"/>
      <w:bookmarkEnd w:id="1309"/>
      <w:bookmarkEnd w:id="1310"/>
      <w:bookmarkEnd w:id="1311"/>
      <w:bookmarkEnd w:id="1312"/>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13" w:name="_Toc492300848"/>
      <w:bookmarkStart w:id="1314" w:name="_Toc482188560"/>
      <w:r>
        <w:rPr>
          <w:rFonts w:ascii="宋体" w:hAnsi="宋体"/>
          <w:color w:val="000000"/>
          <w:sz w:val="28"/>
          <w:szCs w:val="20"/>
          <w:highlight w:val="none"/>
        </w:rPr>
        <w:t xml:space="preserve">2.1 </w:t>
      </w:r>
      <w:r>
        <w:rPr>
          <w:rFonts w:hint="eastAsia" w:ascii="宋体" w:hAnsi="宋体"/>
          <w:color w:val="000000"/>
          <w:sz w:val="28"/>
          <w:szCs w:val="20"/>
          <w:highlight w:val="none"/>
        </w:rPr>
        <w:t>遵守法律</w:t>
      </w:r>
      <w:bookmarkEnd w:id="1313"/>
      <w:bookmarkEnd w:id="1314"/>
    </w:p>
    <w:p>
      <w:pPr>
        <w:tabs>
          <w:tab w:val="left" w:pos="8931"/>
        </w:tabs>
        <w:spacing w:line="360" w:lineRule="auto"/>
        <w:ind w:firstLine="420" w:firstLineChars="200"/>
        <w:rPr>
          <w:rFonts w:ascii="宋体" w:hAnsi="宋体"/>
          <w:szCs w:val="22"/>
          <w:highlight w:val="none"/>
        </w:rPr>
      </w:pPr>
      <w:r>
        <w:rPr>
          <w:rFonts w:ascii="宋体" w:hAnsi="宋体"/>
          <w:szCs w:val="21"/>
          <w:highlight w:val="none"/>
        </w:rPr>
        <w:t>发包人在履行合同过程中应遵守法律，并保证勘察人免于承担因发包人违反法律而引起的</w:t>
      </w:r>
      <w:bookmarkStart w:id="1315" w:name="_Toc247514049"/>
      <w:bookmarkStart w:id="1316" w:name="_Toc385592087"/>
      <w:bookmarkStart w:id="1317" w:name="_Toc385942918"/>
      <w:bookmarkStart w:id="1318" w:name="_Toc300835048"/>
      <w:bookmarkStart w:id="1319" w:name="_Toc370281722"/>
      <w:bookmarkStart w:id="1320" w:name="_Toc184635099"/>
      <w:bookmarkStart w:id="1321" w:name="_Toc247527650"/>
      <w:r>
        <w:rPr>
          <w:rFonts w:ascii="宋体" w:hAnsi="宋体"/>
          <w:szCs w:val="21"/>
          <w:highlight w:val="none"/>
        </w:rPr>
        <w:t>任何责任。</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22" w:name="_Toc482188561"/>
      <w:bookmarkStart w:id="1323" w:name="_Toc492300849"/>
      <w:r>
        <w:rPr>
          <w:rFonts w:ascii="宋体" w:hAnsi="宋体"/>
          <w:color w:val="000000"/>
          <w:sz w:val="28"/>
          <w:szCs w:val="20"/>
          <w:highlight w:val="none"/>
        </w:rPr>
        <w:t>2</w:t>
      </w:r>
      <w:bookmarkEnd w:id="1315"/>
      <w:bookmarkEnd w:id="1316"/>
      <w:bookmarkEnd w:id="1317"/>
      <w:bookmarkEnd w:id="1318"/>
      <w:bookmarkEnd w:id="1319"/>
      <w:bookmarkEnd w:id="1320"/>
      <w:bookmarkEnd w:id="1321"/>
      <w:r>
        <w:rPr>
          <w:rFonts w:ascii="宋体" w:hAnsi="宋体"/>
          <w:color w:val="000000"/>
          <w:sz w:val="28"/>
          <w:szCs w:val="20"/>
          <w:highlight w:val="none"/>
        </w:rPr>
        <w:t>.2</w:t>
      </w:r>
      <w:bookmarkStart w:id="1324" w:name="_Toc247514050"/>
      <w:bookmarkStart w:id="1325" w:name="_Toc247527651"/>
      <w:bookmarkStart w:id="1326" w:name="_Toc300835049"/>
      <w:bookmarkStart w:id="1327" w:name="_Toc385942919"/>
      <w:bookmarkStart w:id="1328" w:name="_Toc247514053"/>
      <w:bookmarkStart w:id="1329" w:name="_Toc370281723"/>
      <w:bookmarkStart w:id="1330" w:name="_Toc300835052"/>
      <w:bookmarkStart w:id="1331" w:name="_Toc247527654"/>
      <w:r>
        <w:rPr>
          <w:rFonts w:ascii="宋体" w:hAnsi="宋体"/>
          <w:color w:val="000000"/>
          <w:sz w:val="28"/>
          <w:szCs w:val="20"/>
          <w:highlight w:val="none"/>
        </w:rPr>
        <w:t xml:space="preserve"> </w:t>
      </w:r>
      <w:r>
        <w:rPr>
          <w:rFonts w:hint="eastAsia" w:ascii="宋体" w:hAnsi="宋体"/>
          <w:color w:val="000000"/>
          <w:sz w:val="28"/>
          <w:szCs w:val="20"/>
          <w:highlight w:val="none"/>
        </w:rPr>
        <w:t>发出开始勘察通</w:t>
      </w:r>
      <w:bookmarkEnd w:id="1324"/>
      <w:bookmarkEnd w:id="1325"/>
      <w:bookmarkEnd w:id="1326"/>
      <w:r>
        <w:rPr>
          <w:rFonts w:hint="eastAsia" w:ascii="宋体" w:hAnsi="宋体"/>
          <w:color w:val="000000"/>
          <w:sz w:val="28"/>
          <w:szCs w:val="20"/>
          <w:highlight w:val="none"/>
        </w:rPr>
        <w:t>知</w:t>
      </w:r>
      <w:bookmarkEnd w:id="1322"/>
      <w:bookmarkEnd w:id="1323"/>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发包人应按第</w:t>
      </w:r>
      <w:r>
        <w:rPr>
          <w:rFonts w:hint="eastAsia" w:ascii="宋体" w:hAnsi="宋体"/>
          <w:szCs w:val="21"/>
          <w:highlight w:val="none"/>
        </w:rPr>
        <w:t>6</w:t>
      </w:r>
      <w:r>
        <w:rPr>
          <w:rFonts w:ascii="宋体" w:hAnsi="宋体"/>
          <w:szCs w:val="21"/>
          <w:highlight w:val="none"/>
        </w:rPr>
        <w:t>.1款的约定向勘察人发出开始勘察通知。</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32" w:name="_Toc492300850"/>
      <w:bookmarkStart w:id="1333" w:name="_Toc482188562"/>
      <w:r>
        <w:rPr>
          <w:rFonts w:ascii="宋体" w:hAnsi="宋体"/>
          <w:color w:val="000000"/>
          <w:sz w:val="28"/>
          <w:szCs w:val="20"/>
          <w:highlight w:val="none"/>
        </w:rPr>
        <w:t>2.</w:t>
      </w:r>
      <w:bookmarkStart w:id="1334" w:name="_Toc300835051"/>
      <w:bookmarkStart w:id="1335" w:name="_Toc247527653"/>
      <w:bookmarkStart w:id="1336" w:name="_Toc247514052"/>
      <w:r>
        <w:rPr>
          <w:rFonts w:ascii="宋体" w:hAnsi="宋体"/>
          <w:color w:val="000000"/>
          <w:sz w:val="28"/>
          <w:szCs w:val="20"/>
          <w:highlight w:val="none"/>
        </w:rPr>
        <w:t xml:space="preserve">3 </w:t>
      </w:r>
      <w:r>
        <w:rPr>
          <w:rFonts w:hint="eastAsia" w:ascii="宋体" w:hAnsi="宋体"/>
          <w:color w:val="000000"/>
          <w:sz w:val="28"/>
          <w:szCs w:val="20"/>
          <w:highlight w:val="none"/>
        </w:rPr>
        <w:t>办理证件</w:t>
      </w:r>
      <w:bookmarkEnd w:id="1334"/>
      <w:bookmarkEnd w:id="1335"/>
      <w:bookmarkEnd w:id="1336"/>
      <w:r>
        <w:rPr>
          <w:rFonts w:hint="eastAsia" w:ascii="宋体" w:hAnsi="宋体"/>
          <w:color w:val="000000"/>
          <w:sz w:val="28"/>
          <w:szCs w:val="20"/>
          <w:highlight w:val="none"/>
        </w:rPr>
        <w:t>和批件</w:t>
      </w:r>
      <w:bookmarkEnd w:id="1332"/>
      <w:bookmarkEnd w:id="1333"/>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法律规定和（或）合同约定由发包人负责办理的工程建设项目必须履行的各类审批、核准或备案手续，发包人应当按时办理，勘察人应给予必要的协助。</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法律规定和（或）合同约定由勘察人负责办理的勘察所需的证件和批件，发包人应给予必要的协助。</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37" w:name="_Toc482188563"/>
      <w:bookmarkStart w:id="1338" w:name="_Toc492300851"/>
      <w:r>
        <w:rPr>
          <w:rFonts w:ascii="宋体" w:hAnsi="宋体"/>
          <w:color w:val="000000"/>
          <w:sz w:val="28"/>
          <w:szCs w:val="20"/>
          <w:highlight w:val="none"/>
        </w:rPr>
        <w:t xml:space="preserve">2.4 </w:t>
      </w:r>
      <w:r>
        <w:rPr>
          <w:rFonts w:hint="eastAsia" w:ascii="宋体" w:hAnsi="宋体"/>
          <w:color w:val="000000"/>
          <w:sz w:val="28"/>
          <w:szCs w:val="20"/>
          <w:highlight w:val="none"/>
        </w:rPr>
        <w:t>支付合同价款</w:t>
      </w:r>
      <w:bookmarkEnd w:id="1337"/>
      <w:bookmarkEnd w:id="1338"/>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发包人应按合同约定向勘察人及时支付合同价款。</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39" w:name="_Toc474833987"/>
      <w:bookmarkStart w:id="1340" w:name="_Toc482188564"/>
      <w:bookmarkStart w:id="1341" w:name="_Toc492300852"/>
      <w:r>
        <w:rPr>
          <w:rFonts w:ascii="宋体" w:hAnsi="宋体"/>
          <w:color w:val="000000"/>
          <w:sz w:val="28"/>
          <w:szCs w:val="20"/>
          <w:highlight w:val="none"/>
        </w:rPr>
        <w:t xml:space="preserve">2.5 </w:t>
      </w:r>
      <w:r>
        <w:rPr>
          <w:rFonts w:hint="eastAsia" w:ascii="宋体" w:hAnsi="宋体"/>
          <w:color w:val="000000"/>
          <w:sz w:val="28"/>
          <w:szCs w:val="20"/>
          <w:highlight w:val="none"/>
        </w:rPr>
        <w:t>提供勘察资料</w:t>
      </w:r>
      <w:bookmarkEnd w:id="1339"/>
      <w:bookmarkEnd w:id="1340"/>
      <w:bookmarkEnd w:id="1341"/>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发包人应按第1.6.2项的约定向勘察人提供勘察资料。</w:t>
      </w:r>
    </w:p>
    <w:bookmarkEnd w:id="1327"/>
    <w:bookmarkEnd w:id="1328"/>
    <w:bookmarkEnd w:id="1329"/>
    <w:bookmarkEnd w:id="1330"/>
    <w:bookmarkEnd w:id="1331"/>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42" w:name="_Toc482188565"/>
      <w:bookmarkStart w:id="1343" w:name="_Toc492300853"/>
      <w:r>
        <w:rPr>
          <w:rFonts w:ascii="宋体" w:hAnsi="宋体"/>
          <w:color w:val="000000"/>
          <w:sz w:val="28"/>
          <w:szCs w:val="20"/>
          <w:highlight w:val="none"/>
        </w:rPr>
        <w:t xml:space="preserve">2.6 </w:t>
      </w:r>
      <w:r>
        <w:rPr>
          <w:rFonts w:hint="eastAsia" w:ascii="宋体" w:hAnsi="宋体"/>
          <w:color w:val="000000"/>
          <w:sz w:val="28"/>
          <w:szCs w:val="20"/>
          <w:highlight w:val="none"/>
        </w:rPr>
        <w:t>其他义务</w:t>
      </w:r>
      <w:bookmarkEnd w:id="1342"/>
      <w:bookmarkEnd w:id="1343"/>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发包人应履行合同约定的其他义务</w:t>
      </w:r>
      <w:bookmarkStart w:id="1344" w:name="_Toc385942924"/>
      <w:bookmarkStart w:id="1345" w:name="_Toc370281728"/>
      <w:r>
        <w:rPr>
          <w:rFonts w:ascii="宋体" w:hAnsi="宋体"/>
          <w:szCs w:val="21"/>
          <w:highlight w:val="none"/>
        </w:rPr>
        <w:t>。</w:t>
      </w:r>
    </w:p>
    <w:p>
      <w:pPr>
        <w:keepNext/>
        <w:keepLines/>
        <w:tabs>
          <w:tab w:val="left" w:pos="8931"/>
        </w:tabs>
        <w:spacing w:before="260" w:after="260" w:line="413" w:lineRule="auto"/>
        <w:ind w:firstLine="108"/>
        <w:outlineLvl w:val="2"/>
        <w:rPr>
          <w:rFonts w:ascii="宋体" w:hAnsi="宋体"/>
          <w:sz w:val="32"/>
          <w:szCs w:val="20"/>
          <w:highlight w:val="none"/>
        </w:rPr>
      </w:pPr>
      <w:bookmarkStart w:id="1346" w:name="_Toc18837"/>
      <w:bookmarkStart w:id="1347" w:name="_Toc492300854"/>
      <w:bookmarkStart w:id="1348" w:name="_Toc260"/>
      <w:bookmarkStart w:id="1349" w:name="_Toc75857075"/>
      <w:bookmarkStart w:id="1350" w:name="_Toc4572"/>
      <w:bookmarkStart w:id="1351" w:name="_Toc482188566"/>
      <w:bookmarkStart w:id="1352" w:name="_Toc4378"/>
      <w:bookmarkStart w:id="1353" w:name="_Toc7376"/>
      <w:r>
        <w:rPr>
          <w:rFonts w:ascii="宋体" w:hAnsi="宋体"/>
          <w:sz w:val="32"/>
          <w:szCs w:val="20"/>
          <w:highlight w:val="none"/>
        </w:rPr>
        <w:t>3. 发包人管</w:t>
      </w:r>
      <w:bookmarkEnd w:id="1344"/>
      <w:bookmarkEnd w:id="1345"/>
      <w:r>
        <w:rPr>
          <w:rFonts w:ascii="宋体" w:hAnsi="宋体"/>
          <w:sz w:val="32"/>
          <w:szCs w:val="20"/>
          <w:highlight w:val="none"/>
        </w:rPr>
        <w:t>理</w:t>
      </w:r>
      <w:bookmarkEnd w:id="1346"/>
      <w:bookmarkEnd w:id="1347"/>
      <w:bookmarkEnd w:id="1348"/>
      <w:bookmarkEnd w:id="1349"/>
      <w:bookmarkEnd w:id="1350"/>
      <w:bookmarkEnd w:id="1351"/>
      <w:bookmarkEnd w:id="1352"/>
      <w:bookmarkEnd w:id="1353"/>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54" w:name="_Toc492300855"/>
      <w:bookmarkStart w:id="1355" w:name="_Toc482188567"/>
      <w:r>
        <w:rPr>
          <w:rFonts w:ascii="宋体" w:hAnsi="宋体"/>
          <w:color w:val="000000"/>
          <w:sz w:val="28"/>
          <w:szCs w:val="20"/>
          <w:highlight w:val="none"/>
        </w:rPr>
        <w:t xml:space="preserve">3.1 </w:t>
      </w:r>
      <w:r>
        <w:rPr>
          <w:rFonts w:hint="eastAsia" w:ascii="宋体" w:hAnsi="宋体"/>
          <w:color w:val="000000"/>
          <w:sz w:val="28"/>
          <w:szCs w:val="20"/>
          <w:highlight w:val="none"/>
        </w:rPr>
        <w:t>发包人代表</w:t>
      </w:r>
      <w:bookmarkEnd w:id="1354"/>
      <w:bookmarkEnd w:id="1355"/>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3.1.1除专用合同条款</w:t>
      </w:r>
      <w:bookmarkStart w:id="1356" w:name="_Toc247514057"/>
      <w:bookmarkStart w:id="1357" w:name="_Toc300835055"/>
      <w:bookmarkStart w:id="1358" w:name="_Toc370281729"/>
      <w:bookmarkStart w:id="1359" w:name="_Toc247527658"/>
      <w:bookmarkStart w:id="1360" w:name="_Toc385942925"/>
      <w:r>
        <w:rPr>
          <w:rFonts w:ascii="宋体" w:hAnsi="宋体"/>
          <w:szCs w:val="22"/>
          <w:highlight w:val="none"/>
        </w:rPr>
        <w:t>另有约定外，发包</w:t>
      </w:r>
      <w:bookmarkEnd w:id="1356"/>
      <w:bookmarkEnd w:id="1357"/>
      <w:bookmarkEnd w:id="1358"/>
      <w:bookmarkEnd w:id="1359"/>
      <w:bookmarkEnd w:id="1360"/>
      <w:r>
        <w:rPr>
          <w:rFonts w:ascii="宋体" w:hAnsi="宋体"/>
          <w:szCs w:val="22"/>
          <w:highlight w:val="none"/>
        </w:rPr>
        <w:t>人应在合同签订后14天内，将发包人代</w:t>
      </w:r>
      <w:bookmarkStart w:id="1361" w:name="_Toc300835056"/>
      <w:bookmarkStart w:id="1362" w:name="_Toc247527659"/>
      <w:bookmarkStart w:id="1363" w:name="_Toc184635100"/>
      <w:bookmarkStart w:id="1364" w:name="_Toc247514058"/>
      <w:r>
        <w:rPr>
          <w:rFonts w:ascii="宋体" w:hAnsi="宋体"/>
          <w:szCs w:val="22"/>
          <w:highlight w:val="none"/>
        </w:rPr>
        <w:t>表的姓名、职</w:t>
      </w:r>
      <w:bookmarkEnd w:id="1361"/>
      <w:bookmarkEnd w:id="1362"/>
      <w:bookmarkEnd w:id="1363"/>
      <w:bookmarkEnd w:id="1364"/>
      <w:r>
        <w:rPr>
          <w:rFonts w:ascii="宋体" w:hAnsi="宋体"/>
          <w:szCs w:val="22"/>
          <w:highlight w:val="none"/>
        </w:rPr>
        <w:t>务、联</w:t>
      </w:r>
      <w:bookmarkStart w:id="1365" w:name="_Toc351203511"/>
      <w:r>
        <w:rPr>
          <w:rFonts w:ascii="宋体" w:hAnsi="宋体"/>
          <w:szCs w:val="22"/>
          <w:highlight w:val="none"/>
        </w:rPr>
        <w:t>系方式、授权范围和</w:t>
      </w:r>
      <w:bookmarkEnd w:id="1365"/>
      <w:r>
        <w:rPr>
          <w:rFonts w:ascii="宋体" w:hAnsi="宋体"/>
          <w:szCs w:val="22"/>
          <w:highlight w:val="none"/>
        </w:rPr>
        <w:t>授权期限书面通知勘察人，由发包人代表在其授权范围和授权期限内，代表发包人行使权利、履行义务和处理合同履行中的具体事宜。发包人代表在授权范围内的行为由发包人承担法律责任。</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3.1.2发包人代表违反法律法规、违背职业道德守则或者不按合同约定履行职责及义务，导致合同无法继续正常履行的，勘察人有权通知发包人更换发包人代表。发包人收到通知后7天内，应当核实完毕并将处理结果通知勘察人。</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3.1.3 发包人更换发包人代表的，应提前14天将更换人员的姓名、职务、联系方式、授权范围和授权期限书面通知勘察人。</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3.1.4</w:t>
      </w:r>
      <w:r>
        <w:rPr>
          <w:rFonts w:ascii="宋体" w:hAnsi="宋体"/>
          <w:szCs w:val="21"/>
          <w:highlight w:val="none"/>
        </w:rPr>
        <w:t xml:space="preserve"> 发包人代表可以授权发包人的其他人员负责执行其指派的一项或多项工作。发包人代表应</w:t>
      </w:r>
      <w:bookmarkStart w:id="1366" w:name="_Toc300835059"/>
      <w:bookmarkStart w:id="1367" w:name="_Toc247514061"/>
      <w:bookmarkStart w:id="1368" w:name="_Toc247527662"/>
      <w:r>
        <w:rPr>
          <w:rFonts w:ascii="宋体" w:hAnsi="宋体"/>
          <w:szCs w:val="21"/>
          <w:highlight w:val="none"/>
        </w:rPr>
        <w:t>将被授权人员的姓名及其</w:t>
      </w:r>
      <w:bookmarkEnd w:id="1366"/>
      <w:bookmarkEnd w:id="1367"/>
      <w:bookmarkEnd w:id="1368"/>
      <w:r>
        <w:rPr>
          <w:rFonts w:ascii="宋体" w:hAnsi="宋体"/>
          <w:szCs w:val="21"/>
          <w:highlight w:val="none"/>
        </w:rPr>
        <w:t>授权范围通知勘察人。被授权人员在授权范围内发出的指示视为已得到发包人代表的同意，与发包人代表发出的指示具有同等效力。</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69" w:name="_Toc482188568"/>
      <w:bookmarkStart w:id="1370" w:name="_Toc492300856"/>
      <w:r>
        <w:rPr>
          <w:rFonts w:ascii="宋体" w:hAnsi="宋体"/>
          <w:color w:val="000000"/>
          <w:sz w:val="28"/>
          <w:szCs w:val="20"/>
          <w:highlight w:val="none"/>
        </w:rPr>
        <w:t xml:space="preserve">3.2 </w:t>
      </w:r>
      <w:r>
        <w:rPr>
          <w:rFonts w:hint="eastAsia" w:ascii="宋体" w:hAnsi="宋体"/>
          <w:color w:val="000000"/>
          <w:sz w:val="28"/>
          <w:szCs w:val="20"/>
          <w:highlight w:val="none"/>
        </w:rPr>
        <w:t>监理人</w:t>
      </w:r>
      <w:bookmarkEnd w:id="1369"/>
      <w:bookmarkEnd w:id="1370"/>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3.2.1 发包人可以根据工程建设需要确定是否委托监理人进行勘察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3.2.2 合同约定应由勘察人承担的义务和责任，不因监理人对勘察文件的审查或批准，以及为实施监理作出的指示等职务行为而减轻或解除。</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71" w:name="_Toc482188569"/>
      <w:bookmarkStart w:id="1372" w:name="_Toc492300857"/>
      <w:r>
        <w:rPr>
          <w:rFonts w:ascii="宋体" w:hAnsi="宋体"/>
          <w:color w:val="000000"/>
          <w:sz w:val="28"/>
          <w:szCs w:val="20"/>
          <w:highlight w:val="none"/>
        </w:rPr>
        <w:t xml:space="preserve">3.3 </w:t>
      </w:r>
      <w:r>
        <w:rPr>
          <w:rFonts w:hint="eastAsia" w:ascii="宋体" w:hAnsi="宋体"/>
          <w:color w:val="000000"/>
          <w:sz w:val="28"/>
          <w:szCs w:val="20"/>
          <w:highlight w:val="none"/>
        </w:rPr>
        <w:t>发包人的指示</w:t>
      </w:r>
      <w:bookmarkEnd w:id="1371"/>
      <w:bookmarkEnd w:id="1372"/>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3.3.1 </w:t>
      </w:r>
      <w:r>
        <w:rPr>
          <w:rFonts w:ascii="宋体" w:hAnsi="宋体"/>
          <w:szCs w:val="21"/>
          <w:highlight w:val="none"/>
        </w:rPr>
        <w:t>发包人应按合同约定向勘察人发出指示，发包人的指示应盖有发包人单位章</w:t>
      </w:r>
      <w:bookmarkStart w:id="1373" w:name="_Toc300835060"/>
      <w:bookmarkStart w:id="1374" w:name="_Toc247514062"/>
      <w:bookmarkStart w:id="1375" w:name="_Toc247527663"/>
      <w:r>
        <w:rPr>
          <w:rFonts w:ascii="宋体" w:hAnsi="宋体"/>
          <w:szCs w:val="21"/>
          <w:highlight w:val="none"/>
        </w:rPr>
        <w:t>，并由发</w:t>
      </w:r>
      <w:bookmarkEnd w:id="1373"/>
      <w:bookmarkEnd w:id="1374"/>
      <w:bookmarkEnd w:id="1375"/>
      <w:r>
        <w:rPr>
          <w:rFonts w:ascii="宋体" w:hAnsi="宋体"/>
          <w:szCs w:val="21"/>
          <w:highlight w:val="none"/>
        </w:rPr>
        <w:t>包人代表签名确认。</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3.3.2 </w:t>
      </w:r>
      <w:r>
        <w:rPr>
          <w:rFonts w:ascii="宋体" w:hAnsi="宋体"/>
          <w:szCs w:val="21"/>
          <w:highlight w:val="none"/>
        </w:rPr>
        <w:t>勘察人收到发包人作出的指示后应遵照执行。指示构成变更的，应按第</w:t>
      </w:r>
      <w:r>
        <w:rPr>
          <w:rFonts w:ascii="宋体" w:hAnsi="宋体"/>
          <w:szCs w:val="22"/>
          <w:highlight w:val="none"/>
        </w:rPr>
        <w:t>11</w:t>
      </w:r>
      <w:r>
        <w:rPr>
          <w:rFonts w:ascii="宋体" w:hAnsi="宋体"/>
          <w:szCs w:val="21"/>
          <w:highlight w:val="none"/>
        </w:rPr>
        <w:t>条执行。</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3.3.3 </w:t>
      </w:r>
      <w:r>
        <w:rPr>
          <w:rFonts w:ascii="宋体" w:hAnsi="宋体"/>
          <w:szCs w:val="21"/>
          <w:highlight w:val="none"/>
        </w:rPr>
        <w:t>在紧急情况下，发包人代表或其授权人员可以当场签发临时书面指示，勘察人应遵照执行。发包人代表应在临时书面指示发出后24小时内发出书面确认函，逾期未发出书面确认函的，该临时书面指示应被视为发包人的正式指示。</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3.3.4 </w:t>
      </w:r>
      <w:r>
        <w:rPr>
          <w:rFonts w:ascii="宋体" w:hAnsi="宋体"/>
          <w:szCs w:val="21"/>
          <w:highlight w:val="none"/>
        </w:rPr>
        <w:t>除专用合同条款另有约定外，勘察人只从发包人代表或</w:t>
      </w:r>
      <w:r>
        <w:rPr>
          <w:rFonts w:ascii="宋体" w:hAnsi="宋体"/>
          <w:szCs w:val="22"/>
          <w:highlight w:val="none"/>
        </w:rPr>
        <w:t>按第3.1.4项约定的被</w:t>
      </w:r>
      <w:r>
        <w:rPr>
          <w:rFonts w:ascii="宋体" w:hAnsi="宋体"/>
          <w:szCs w:val="21"/>
          <w:highlight w:val="none"/>
        </w:rPr>
        <w:t>授权人员处取得指示。</w:t>
      </w:r>
    </w:p>
    <w:p>
      <w:pPr>
        <w:tabs>
          <w:tab w:val="left" w:pos="8931"/>
        </w:tabs>
        <w:spacing w:line="360" w:lineRule="auto"/>
        <w:ind w:firstLine="420"/>
        <w:rPr>
          <w:rFonts w:ascii="宋体" w:hAnsi="宋体"/>
          <w:szCs w:val="21"/>
          <w:highlight w:val="none"/>
        </w:rPr>
      </w:pPr>
      <w:r>
        <w:rPr>
          <w:rFonts w:ascii="宋体" w:hAnsi="宋体"/>
          <w:szCs w:val="22"/>
          <w:highlight w:val="none"/>
        </w:rPr>
        <w:t xml:space="preserve">3.3.5 </w:t>
      </w:r>
      <w:r>
        <w:rPr>
          <w:rFonts w:ascii="宋体" w:hAnsi="宋体"/>
          <w:szCs w:val="21"/>
          <w:highlight w:val="none"/>
        </w:rPr>
        <w:t>由于发包人未能按合同约定发出指示、指示延误或指示错误而导致勘察人费用增加和（或）周期延误的，发包人应承担由此增加的费用和（或）周期延误。</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76" w:name="_Toc482188570"/>
      <w:bookmarkStart w:id="1377" w:name="_Toc492300858"/>
      <w:r>
        <w:rPr>
          <w:rFonts w:ascii="宋体" w:hAnsi="宋体"/>
          <w:color w:val="000000"/>
          <w:sz w:val="28"/>
          <w:szCs w:val="20"/>
          <w:highlight w:val="none"/>
        </w:rPr>
        <w:t xml:space="preserve">3.4 </w:t>
      </w:r>
      <w:r>
        <w:rPr>
          <w:rFonts w:hint="eastAsia" w:ascii="宋体" w:hAnsi="宋体"/>
          <w:color w:val="000000"/>
          <w:sz w:val="28"/>
          <w:szCs w:val="20"/>
          <w:highlight w:val="none"/>
        </w:rPr>
        <w:t>决定或答复</w:t>
      </w:r>
      <w:bookmarkEnd w:id="1376"/>
      <w:bookmarkEnd w:id="1377"/>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3.4.1 发包人在法律允许的范围内有权对勘察人的勘察工作和/或勘察文件作出处理决定</w:t>
      </w:r>
      <w:bookmarkStart w:id="1378" w:name="_Toc247514064"/>
      <w:bookmarkStart w:id="1379" w:name="_Toc300835062"/>
      <w:bookmarkStart w:id="1380" w:name="_Toc184635101"/>
      <w:bookmarkStart w:id="1381" w:name="_Toc247527665"/>
      <w:bookmarkStart w:id="1382" w:name="_Toc385592088"/>
      <w:bookmarkStart w:id="1383" w:name="_Toc385942926"/>
      <w:bookmarkStart w:id="1384" w:name="_Toc370281730"/>
      <w:r>
        <w:rPr>
          <w:rFonts w:ascii="宋体" w:hAnsi="宋体"/>
          <w:szCs w:val="21"/>
          <w:highlight w:val="none"/>
        </w:rPr>
        <w:t>，勘察人应按照发包人的决定执行，涉及勘察服务期限或勘察费用等问题按第</w:t>
      </w:r>
      <w:r>
        <w:rPr>
          <w:rFonts w:ascii="宋体" w:hAnsi="宋体"/>
          <w:szCs w:val="22"/>
          <w:highlight w:val="none"/>
        </w:rPr>
        <w:t>11</w:t>
      </w:r>
      <w:r>
        <w:rPr>
          <w:rFonts w:ascii="宋体" w:hAnsi="宋体"/>
          <w:szCs w:val="21"/>
          <w:highlight w:val="none"/>
        </w:rPr>
        <w:t>条的约定处理。</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3.4.2 发包人应在专用合同条款约定的时间之内，对勘察人书面提出的事项作出书面答复；逾期没有做出答复的，视为已获得发包人的批准。</w:t>
      </w:r>
    </w:p>
    <w:p>
      <w:pPr>
        <w:keepNext/>
        <w:keepLines/>
        <w:tabs>
          <w:tab w:val="left" w:pos="8931"/>
        </w:tabs>
        <w:spacing w:before="260" w:after="260" w:line="413" w:lineRule="auto"/>
        <w:ind w:firstLine="108"/>
        <w:outlineLvl w:val="2"/>
        <w:rPr>
          <w:rFonts w:ascii="宋体" w:hAnsi="宋体"/>
          <w:sz w:val="32"/>
          <w:szCs w:val="20"/>
          <w:highlight w:val="none"/>
        </w:rPr>
      </w:pPr>
      <w:bookmarkStart w:id="1385" w:name="_Toc482188571"/>
      <w:bookmarkStart w:id="1386" w:name="_Toc3879"/>
      <w:bookmarkStart w:id="1387" w:name="_Toc8368"/>
      <w:bookmarkStart w:id="1388" w:name="_Toc5854"/>
      <w:bookmarkStart w:id="1389" w:name="_Toc492300859"/>
      <w:bookmarkStart w:id="1390" w:name="_Toc27328"/>
      <w:bookmarkStart w:id="1391" w:name="_Toc75857076"/>
      <w:bookmarkStart w:id="1392" w:name="_Toc18314"/>
      <w:r>
        <w:rPr>
          <w:rFonts w:ascii="宋体" w:hAnsi="宋体"/>
          <w:sz w:val="32"/>
          <w:szCs w:val="20"/>
          <w:highlight w:val="none"/>
        </w:rPr>
        <w:t>4. 勘察人义务</w:t>
      </w:r>
      <w:bookmarkEnd w:id="1385"/>
      <w:bookmarkEnd w:id="1386"/>
      <w:bookmarkEnd w:id="1387"/>
      <w:bookmarkEnd w:id="1388"/>
      <w:bookmarkEnd w:id="1389"/>
      <w:bookmarkEnd w:id="1390"/>
      <w:bookmarkEnd w:id="1391"/>
      <w:bookmarkEnd w:id="1392"/>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393" w:name="_Toc492300860"/>
      <w:bookmarkStart w:id="1394" w:name="_Toc482188572"/>
      <w:r>
        <w:rPr>
          <w:rFonts w:ascii="宋体" w:hAnsi="宋体"/>
          <w:color w:val="000000"/>
          <w:sz w:val="28"/>
          <w:szCs w:val="20"/>
          <w:highlight w:val="none"/>
        </w:rPr>
        <w:t xml:space="preserve">4.1 </w:t>
      </w:r>
      <w:r>
        <w:rPr>
          <w:rFonts w:hint="eastAsia" w:ascii="宋体" w:hAnsi="宋体"/>
          <w:color w:val="000000"/>
          <w:sz w:val="28"/>
          <w:szCs w:val="20"/>
          <w:highlight w:val="none"/>
        </w:rPr>
        <w:t>勘察人的一般义务</w:t>
      </w:r>
      <w:bookmarkEnd w:id="1393"/>
      <w:bookmarkEnd w:id="1394"/>
    </w:p>
    <w:p>
      <w:pPr>
        <w:tabs>
          <w:tab w:val="left" w:pos="8931"/>
        </w:tabs>
        <w:spacing w:line="360" w:lineRule="auto"/>
        <w:ind w:firstLine="422" w:firstLineChars="200"/>
        <w:rPr>
          <w:rFonts w:ascii="宋体" w:hAnsi="宋体"/>
          <w:b/>
          <w:szCs w:val="21"/>
          <w:highlight w:val="none"/>
        </w:rPr>
      </w:pPr>
      <w:r>
        <w:rPr>
          <w:rFonts w:ascii="宋体" w:hAnsi="宋体"/>
          <w:b/>
          <w:szCs w:val="22"/>
          <w:highlight w:val="none"/>
        </w:rPr>
        <w:t xml:space="preserve">4.1.1 </w:t>
      </w:r>
      <w:r>
        <w:rPr>
          <w:rFonts w:ascii="宋体" w:hAnsi="宋体"/>
          <w:b/>
          <w:szCs w:val="21"/>
          <w:highlight w:val="none"/>
        </w:rPr>
        <w:t>遵守法律</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勘察人在履行合同过程中应遵守法律，并保证发包人免于承担因</w:t>
      </w:r>
      <w:bookmarkEnd w:id="1378"/>
      <w:bookmarkEnd w:id="1379"/>
      <w:bookmarkEnd w:id="1380"/>
      <w:bookmarkEnd w:id="1381"/>
      <w:r>
        <w:rPr>
          <w:rFonts w:ascii="宋体" w:hAnsi="宋体"/>
          <w:szCs w:val="21"/>
          <w:highlight w:val="none"/>
        </w:rPr>
        <w:t>勘察</w:t>
      </w:r>
      <w:bookmarkEnd w:id="1382"/>
      <w:bookmarkEnd w:id="1383"/>
      <w:bookmarkEnd w:id="1384"/>
      <w:r>
        <w:rPr>
          <w:rFonts w:ascii="宋体" w:hAnsi="宋体"/>
          <w:szCs w:val="21"/>
          <w:highlight w:val="none"/>
        </w:rPr>
        <w:t>人</w:t>
      </w:r>
      <w:bookmarkStart w:id="1395" w:name="_Toc300835063"/>
      <w:bookmarkStart w:id="1396" w:name="_Toc247514065"/>
      <w:bookmarkStart w:id="1397" w:name="_Toc385942927"/>
      <w:bookmarkStart w:id="1398" w:name="_Toc370281731"/>
      <w:bookmarkStart w:id="1399" w:name="_Toc247527666"/>
      <w:r>
        <w:rPr>
          <w:rFonts w:ascii="宋体" w:hAnsi="宋体"/>
          <w:szCs w:val="21"/>
          <w:highlight w:val="none"/>
        </w:rPr>
        <w:t>违反法律而引起的任何责任。</w:t>
      </w:r>
    </w:p>
    <w:bookmarkEnd w:id="1395"/>
    <w:bookmarkEnd w:id="1396"/>
    <w:bookmarkEnd w:id="1397"/>
    <w:bookmarkEnd w:id="1398"/>
    <w:bookmarkEnd w:id="1399"/>
    <w:p>
      <w:pPr>
        <w:tabs>
          <w:tab w:val="left" w:pos="8931"/>
        </w:tabs>
        <w:spacing w:line="360" w:lineRule="auto"/>
        <w:ind w:firstLine="422" w:firstLineChars="200"/>
        <w:rPr>
          <w:rFonts w:ascii="宋体" w:hAnsi="宋体"/>
          <w:b/>
          <w:szCs w:val="21"/>
          <w:highlight w:val="none"/>
        </w:rPr>
      </w:pPr>
      <w:r>
        <w:rPr>
          <w:rFonts w:ascii="宋体" w:hAnsi="宋体"/>
          <w:b/>
          <w:szCs w:val="22"/>
          <w:highlight w:val="none"/>
        </w:rPr>
        <w:t xml:space="preserve">4.1.2 </w:t>
      </w:r>
      <w:r>
        <w:rPr>
          <w:rFonts w:ascii="宋体" w:hAnsi="宋体"/>
          <w:b/>
          <w:szCs w:val="21"/>
          <w:highlight w:val="none"/>
        </w:rPr>
        <w:t>依法纳税</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勘察人应按有关法律规定纳税，应缴纳的税金（含增值税）包括在合同价格之中。</w:t>
      </w:r>
    </w:p>
    <w:p>
      <w:pPr>
        <w:tabs>
          <w:tab w:val="left" w:pos="8931"/>
        </w:tabs>
        <w:spacing w:line="360" w:lineRule="auto"/>
        <w:ind w:firstLine="422" w:firstLineChars="200"/>
        <w:rPr>
          <w:rFonts w:ascii="宋体" w:hAnsi="宋体"/>
          <w:b/>
          <w:szCs w:val="21"/>
          <w:highlight w:val="none"/>
        </w:rPr>
      </w:pPr>
      <w:r>
        <w:rPr>
          <w:rFonts w:ascii="宋体" w:hAnsi="宋体"/>
          <w:b/>
          <w:szCs w:val="22"/>
          <w:highlight w:val="none"/>
        </w:rPr>
        <w:t xml:space="preserve">4.1.3 </w:t>
      </w:r>
      <w:r>
        <w:rPr>
          <w:rFonts w:ascii="宋体" w:hAnsi="宋体"/>
          <w:b/>
          <w:szCs w:val="21"/>
          <w:highlight w:val="none"/>
        </w:rPr>
        <w:t>完成全部勘察工作</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勘察人应按合同约定以及发包人要求，完成合同约定的全部工作，并对工作中的任何缺陷进行整改、完善和修补，使其满足合同约定的目的。勘察人应按合同约定提供勘察文件，以及为完成勘察服务所需的劳务、材料、勘察设备、实验设施等，并应自行承担勘探场地临时设施的搭设、维护、管理和拆除。</w:t>
      </w:r>
    </w:p>
    <w:p>
      <w:pPr>
        <w:tabs>
          <w:tab w:val="left" w:pos="8931"/>
        </w:tabs>
        <w:spacing w:line="360" w:lineRule="auto"/>
        <w:ind w:firstLine="422" w:firstLineChars="200"/>
        <w:rPr>
          <w:rFonts w:ascii="宋体" w:hAnsi="宋体"/>
          <w:b/>
          <w:szCs w:val="21"/>
          <w:highlight w:val="none"/>
        </w:rPr>
      </w:pPr>
      <w:r>
        <w:rPr>
          <w:rFonts w:ascii="宋体" w:hAnsi="宋体"/>
          <w:b/>
          <w:szCs w:val="22"/>
          <w:highlight w:val="none"/>
        </w:rPr>
        <w:t>4.1.4</w:t>
      </w:r>
      <w:r>
        <w:rPr>
          <w:rFonts w:ascii="宋体" w:hAnsi="宋体"/>
          <w:b/>
          <w:szCs w:val="21"/>
          <w:highlight w:val="none"/>
        </w:rPr>
        <w:t xml:space="preserve"> 保证勘察作业规范、安全和环保</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勘察人应按法律、规范标准和发包人要求，采取各项有效措施，确保勘察作业操作规范、安全、文明和环保，在风险性较大的环境中作业时应当编制安全防护方案并制定应急预案，防止因勘察作业造成的人身伤害和财产损失。</w:t>
      </w:r>
    </w:p>
    <w:p>
      <w:pPr>
        <w:tabs>
          <w:tab w:val="left" w:pos="8931"/>
        </w:tabs>
        <w:spacing w:line="360" w:lineRule="auto"/>
        <w:ind w:firstLine="422" w:firstLineChars="200"/>
        <w:rPr>
          <w:rFonts w:ascii="宋体" w:hAnsi="宋体"/>
          <w:b/>
          <w:szCs w:val="21"/>
          <w:highlight w:val="none"/>
        </w:rPr>
      </w:pPr>
      <w:r>
        <w:rPr>
          <w:rFonts w:ascii="宋体" w:hAnsi="宋体"/>
          <w:b/>
          <w:szCs w:val="22"/>
          <w:highlight w:val="none"/>
        </w:rPr>
        <w:t xml:space="preserve">4.1.5 </w:t>
      </w:r>
      <w:r>
        <w:rPr>
          <w:rFonts w:ascii="宋体" w:hAnsi="宋体"/>
          <w:b/>
          <w:szCs w:val="21"/>
          <w:highlight w:val="none"/>
        </w:rPr>
        <w:t>避免勘探对公众与他人的利益造成损害</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勘察人在进行合同约定的各项工作时，不得侵害发包人与他人使用公用道路、水源、市政管网等公共设施的权利，避免对邻近的公共设施产生干扰，保证勘探场地的周边设施、建构筑物、地下管线、架空线和其他物体的安全运行。勘察人占用或使用他人的施工场地，影响他人作业或生活的，应承担相应责任。</w:t>
      </w:r>
    </w:p>
    <w:p>
      <w:pPr>
        <w:tabs>
          <w:tab w:val="left" w:pos="8931"/>
        </w:tabs>
        <w:spacing w:line="360" w:lineRule="auto"/>
        <w:ind w:firstLine="422" w:firstLineChars="200"/>
        <w:rPr>
          <w:rFonts w:ascii="宋体" w:hAnsi="宋体"/>
          <w:b/>
          <w:szCs w:val="21"/>
          <w:highlight w:val="none"/>
        </w:rPr>
      </w:pPr>
      <w:r>
        <w:rPr>
          <w:rFonts w:ascii="宋体" w:hAnsi="宋体"/>
          <w:b/>
          <w:szCs w:val="22"/>
          <w:highlight w:val="none"/>
        </w:rPr>
        <w:t xml:space="preserve">4.1.6 </w:t>
      </w:r>
      <w:r>
        <w:rPr>
          <w:rFonts w:ascii="宋体" w:hAnsi="宋体"/>
          <w:b/>
          <w:szCs w:val="21"/>
          <w:highlight w:val="none"/>
        </w:rPr>
        <w:t>其他义务</w:t>
      </w:r>
    </w:p>
    <w:p>
      <w:pPr>
        <w:tabs>
          <w:tab w:val="left" w:pos="8931"/>
        </w:tabs>
        <w:spacing w:line="360" w:lineRule="auto"/>
        <w:ind w:firstLine="420" w:firstLineChars="200"/>
        <w:rPr>
          <w:rFonts w:ascii="宋体" w:hAnsi="宋体"/>
          <w:szCs w:val="22"/>
          <w:highlight w:val="none"/>
        </w:rPr>
      </w:pPr>
      <w:r>
        <w:rPr>
          <w:rFonts w:ascii="宋体" w:hAnsi="宋体"/>
          <w:szCs w:val="21"/>
          <w:highlight w:val="none"/>
        </w:rPr>
        <w:t>勘察人应履行合同约定的其他义务。</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00" w:name="_Toc382920065"/>
      <w:bookmarkStart w:id="1401" w:name="_Toc492300861"/>
      <w:bookmarkStart w:id="1402" w:name="_Toc485303383"/>
      <w:bookmarkStart w:id="1403" w:name="_Toc13239"/>
      <w:bookmarkStart w:id="1404" w:name="_Toc482188573"/>
      <w:bookmarkStart w:id="1405" w:name="_Toc300835075"/>
      <w:bookmarkStart w:id="1406" w:name="_Toc247514076"/>
      <w:bookmarkStart w:id="1407" w:name="_Toc247527677"/>
      <w:bookmarkStart w:id="1408" w:name="_Toc300835076"/>
      <w:r>
        <w:rPr>
          <w:rFonts w:ascii="宋体" w:hAnsi="宋体"/>
          <w:color w:val="000000"/>
          <w:sz w:val="28"/>
          <w:szCs w:val="20"/>
          <w:highlight w:val="none"/>
        </w:rPr>
        <w:t xml:space="preserve">4.2 </w:t>
      </w:r>
      <w:r>
        <w:rPr>
          <w:rFonts w:hint="eastAsia" w:ascii="宋体" w:hAnsi="宋体"/>
          <w:color w:val="000000"/>
          <w:sz w:val="28"/>
          <w:szCs w:val="20"/>
          <w:highlight w:val="none"/>
        </w:rPr>
        <w:t>履约保证金</w:t>
      </w:r>
      <w:bookmarkEnd w:id="1400"/>
      <w:bookmarkEnd w:id="1401"/>
      <w:bookmarkEnd w:id="1402"/>
      <w:bookmarkEnd w:id="1403"/>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除专用合同条款另有约定外，履约保证金自合同生效之日起生效，在</w:t>
      </w:r>
      <w:r>
        <w:rPr>
          <w:rFonts w:hint="eastAsia" w:ascii="宋体" w:hAnsi="宋体"/>
          <w:szCs w:val="21"/>
          <w:highlight w:val="none"/>
        </w:rPr>
        <w:t>发包人签收最后一批勘察成果文件</w:t>
      </w:r>
      <w:r>
        <w:rPr>
          <w:rFonts w:ascii="宋体" w:hAnsi="宋体"/>
          <w:szCs w:val="21"/>
          <w:highlight w:val="none"/>
        </w:rPr>
        <w:t>之日起28日后失效。如果勘察人不履行合同约定的义务或其履行不符合合同的约定，发包人有权扣划相应金额的履约保证金。</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09" w:name="_Toc492300862"/>
      <w:r>
        <w:rPr>
          <w:rFonts w:ascii="宋体" w:hAnsi="宋体"/>
          <w:color w:val="000000"/>
          <w:sz w:val="28"/>
          <w:szCs w:val="20"/>
          <w:highlight w:val="none"/>
        </w:rPr>
        <w:t xml:space="preserve">4.3 </w:t>
      </w:r>
      <w:r>
        <w:rPr>
          <w:rFonts w:hint="eastAsia" w:ascii="宋体" w:hAnsi="宋体"/>
          <w:color w:val="000000"/>
          <w:sz w:val="28"/>
          <w:szCs w:val="20"/>
          <w:highlight w:val="none"/>
        </w:rPr>
        <w:t>分包和不得转包</w:t>
      </w:r>
      <w:bookmarkEnd w:id="1404"/>
      <w:bookmarkEnd w:id="1409"/>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w:t>
      </w:r>
      <w:r>
        <w:rPr>
          <w:rFonts w:hint="eastAsia" w:ascii="宋体" w:hAnsi="宋体"/>
          <w:szCs w:val="22"/>
          <w:highlight w:val="none"/>
        </w:rPr>
        <w:t>3</w:t>
      </w:r>
      <w:r>
        <w:rPr>
          <w:rFonts w:ascii="宋体" w:hAnsi="宋体"/>
          <w:szCs w:val="22"/>
          <w:highlight w:val="none"/>
        </w:rPr>
        <w:t>.1</w:t>
      </w:r>
      <w:r>
        <w:rPr>
          <w:rFonts w:ascii="宋体" w:hAnsi="宋体"/>
          <w:szCs w:val="21"/>
          <w:highlight w:val="none"/>
        </w:rPr>
        <w:t xml:space="preserve"> 勘察人不得将其勘察的全部工作转包给第三人。</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w:t>
      </w:r>
      <w:r>
        <w:rPr>
          <w:rFonts w:hint="eastAsia" w:ascii="宋体" w:hAnsi="宋体"/>
          <w:szCs w:val="22"/>
          <w:highlight w:val="none"/>
        </w:rPr>
        <w:t>3</w:t>
      </w:r>
      <w:r>
        <w:rPr>
          <w:rFonts w:ascii="宋体" w:hAnsi="宋体"/>
          <w:szCs w:val="22"/>
          <w:highlight w:val="none"/>
        </w:rPr>
        <w:t xml:space="preserve">.2 </w:t>
      </w:r>
      <w:r>
        <w:rPr>
          <w:rFonts w:ascii="宋体" w:hAnsi="宋体"/>
          <w:szCs w:val="21"/>
          <w:highlight w:val="none"/>
        </w:rPr>
        <w:t>勘察人不得将勘察的主体、关键性工作分包给第三人。除专用合同条款另有约定外，未经发包人同意，勘察人也不得将非主体、非关键性工作分包给第三人。</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w:t>
      </w:r>
      <w:r>
        <w:rPr>
          <w:rFonts w:hint="eastAsia" w:ascii="宋体" w:hAnsi="宋体"/>
          <w:szCs w:val="22"/>
          <w:highlight w:val="none"/>
        </w:rPr>
        <w:t>3</w:t>
      </w:r>
      <w:r>
        <w:rPr>
          <w:rFonts w:ascii="宋体" w:hAnsi="宋体"/>
          <w:szCs w:val="22"/>
          <w:highlight w:val="none"/>
        </w:rPr>
        <w:t>.3</w:t>
      </w:r>
      <w:r>
        <w:rPr>
          <w:rFonts w:ascii="宋体" w:hAnsi="宋体"/>
          <w:szCs w:val="21"/>
          <w:highlight w:val="none"/>
        </w:rPr>
        <w:t xml:space="preserve"> 发包人同意勘察人分包工作的，勘察人应向发包人提交1份分包合同副本，并对分包勘察工作质量承担连带责任。除专用合同条款另有约定外，分包人的勘察费用由勘察人与分包人自行支付。</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w:t>
      </w:r>
      <w:r>
        <w:rPr>
          <w:rFonts w:hint="eastAsia" w:ascii="宋体" w:hAnsi="宋体"/>
          <w:szCs w:val="22"/>
          <w:highlight w:val="none"/>
        </w:rPr>
        <w:t>3</w:t>
      </w:r>
      <w:r>
        <w:rPr>
          <w:rFonts w:ascii="宋体" w:hAnsi="宋体"/>
          <w:szCs w:val="22"/>
          <w:highlight w:val="none"/>
        </w:rPr>
        <w:t xml:space="preserve">.4 </w:t>
      </w:r>
      <w:r>
        <w:rPr>
          <w:rFonts w:ascii="宋体" w:hAnsi="宋体"/>
          <w:szCs w:val="21"/>
          <w:highlight w:val="none"/>
        </w:rPr>
        <w:t>分包人的资格能力应与其分包工作的标准和规模相适应，包括必要的企业资质、人员、设备和类似业绩等。</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10" w:name="_Toc482188574"/>
      <w:bookmarkStart w:id="1411" w:name="_Toc492300863"/>
      <w:r>
        <w:rPr>
          <w:rFonts w:ascii="宋体" w:hAnsi="宋体"/>
          <w:color w:val="000000"/>
          <w:sz w:val="28"/>
          <w:szCs w:val="20"/>
          <w:highlight w:val="none"/>
        </w:rPr>
        <w:t xml:space="preserve">4.4 </w:t>
      </w:r>
      <w:r>
        <w:rPr>
          <w:rFonts w:hint="eastAsia" w:ascii="宋体" w:hAnsi="宋体"/>
          <w:color w:val="000000"/>
          <w:sz w:val="28"/>
          <w:szCs w:val="20"/>
          <w:highlight w:val="none"/>
        </w:rPr>
        <w:t>联合体</w:t>
      </w:r>
      <w:bookmarkEnd w:id="1410"/>
      <w:bookmarkEnd w:id="1411"/>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w:t>
      </w:r>
      <w:r>
        <w:rPr>
          <w:rFonts w:hint="eastAsia" w:ascii="宋体" w:hAnsi="宋体"/>
          <w:szCs w:val="22"/>
          <w:highlight w:val="none"/>
        </w:rPr>
        <w:t>4</w:t>
      </w:r>
      <w:r>
        <w:rPr>
          <w:rFonts w:ascii="宋体" w:hAnsi="宋体"/>
          <w:szCs w:val="22"/>
          <w:highlight w:val="none"/>
        </w:rPr>
        <w:t xml:space="preserve">.1 </w:t>
      </w:r>
      <w:r>
        <w:rPr>
          <w:rFonts w:ascii="宋体" w:hAnsi="宋体"/>
          <w:szCs w:val="21"/>
          <w:highlight w:val="none"/>
        </w:rPr>
        <w:t>联合体各方应共同与发包人签订合同。联合体各方应为履行合同承担连带责任。</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w:t>
      </w:r>
      <w:r>
        <w:rPr>
          <w:rFonts w:hint="eastAsia" w:ascii="宋体" w:hAnsi="宋体"/>
          <w:szCs w:val="22"/>
          <w:highlight w:val="none"/>
        </w:rPr>
        <w:t>4</w:t>
      </w:r>
      <w:r>
        <w:rPr>
          <w:rFonts w:ascii="宋体" w:hAnsi="宋体"/>
          <w:szCs w:val="22"/>
          <w:highlight w:val="none"/>
        </w:rPr>
        <w:t>.2</w:t>
      </w:r>
      <w:r>
        <w:rPr>
          <w:rFonts w:ascii="宋体" w:hAnsi="宋体"/>
          <w:szCs w:val="21"/>
          <w:highlight w:val="none"/>
        </w:rPr>
        <w:t xml:space="preserve"> 联合体协议经发包人确认后作为合同附件。在履行合同过程中，未经发包人同意，不得修改联合体协议。</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w:t>
      </w:r>
      <w:r>
        <w:rPr>
          <w:rFonts w:hint="eastAsia" w:ascii="宋体" w:hAnsi="宋体"/>
          <w:szCs w:val="22"/>
          <w:highlight w:val="none"/>
        </w:rPr>
        <w:t>4</w:t>
      </w:r>
      <w:r>
        <w:rPr>
          <w:rFonts w:ascii="宋体" w:hAnsi="宋体"/>
          <w:szCs w:val="22"/>
          <w:highlight w:val="none"/>
        </w:rPr>
        <w:t>.</w:t>
      </w:r>
      <w:r>
        <w:rPr>
          <w:rFonts w:hint="eastAsia" w:ascii="宋体" w:hAnsi="宋体"/>
          <w:szCs w:val="22"/>
          <w:highlight w:val="none"/>
        </w:rPr>
        <w:t>3</w:t>
      </w:r>
      <w:r>
        <w:rPr>
          <w:rFonts w:ascii="宋体" w:hAnsi="宋体"/>
          <w:szCs w:val="22"/>
          <w:highlight w:val="none"/>
        </w:rPr>
        <w:t xml:space="preserve"> </w:t>
      </w:r>
      <w:r>
        <w:rPr>
          <w:rFonts w:ascii="宋体" w:hAnsi="宋体"/>
          <w:szCs w:val="21"/>
          <w:highlight w:val="none"/>
        </w:rPr>
        <w:t>联合体牵头人或联合体授权的代表负责与发包人联系，并接受指示，负责组织联合体各成员全面履行合同。</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12" w:name="_Toc482188575"/>
      <w:bookmarkStart w:id="1413" w:name="_Toc492300864"/>
      <w:r>
        <w:rPr>
          <w:rFonts w:ascii="宋体" w:hAnsi="宋体"/>
          <w:color w:val="000000"/>
          <w:sz w:val="28"/>
          <w:szCs w:val="20"/>
          <w:highlight w:val="none"/>
        </w:rPr>
        <w:t xml:space="preserve">4.5 </w:t>
      </w:r>
      <w:r>
        <w:rPr>
          <w:rFonts w:hint="eastAsia" w:ascii="宋体" w:hAnsi="宋体"/>
          <w:color w:val="000000"/>
          <w:sz w:val="28"/>
          <w:szCs w:val="20"/>
          <w:highlight w:val="none"/>
        </w:rPr>
        <w:t>项目负责人</w:t>
      </w:r>
      <w:bookmarkEnd w:id="1412"/>
      <w:bookmarkEnd w:id="1413"/>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4.5.1</w:t>
      </w:r>
      <w:r>
        <w:rPr>
          <w:rFonts w:ascii="宋体" w:hAnsi="宋体"/>
          <w:szCs w:val="21"/>
          <w:highlight w:val="none"/>
        </w:rPr>
        <w:t xml:space="preserve"> 勘察人应按合同协议书的约定指派项目负责人，并在约定的期限内到职。勘察人更换项目负责</w:t>
      </w:r>
      <w:bookmarkStart w:id="1414" w:name="_Toc300835067"/>
      <w:bookmarkStart w:id="1415" w:name="_Toc247527670"/>
      <w:bookmarkStart w:id="1416" w:name="_Toc247514069"/>
      <w:r>
        <w:rPr>
          <w:rFonts w:ascii="宋体" w:hAnsi="宋体"/>
          <w:szCs w:val="21"/>
          <w:highlight w:val="none"/>
        </w:rPr>
        <w:t>人应事先征得</w:t>
      </w:r>
      <w:bookmarkEnd w:id="1414"/>
      <w:bookmarkEnd w:id="1415"/>
      <w:bookmarkEnd w:id="1416"/>
      <w:r>
        <w:rPr>
          <w:rFonts w:ascii="宋体" w:hAnsi="宋体"/>
          <w:szCs w:val="21"/>
          <w:highlight w:val="none"/>
        </w:rPr>
        <w:t>发包人同意，并应在更换14天前将拟更换的项目负责人的姓名和详细资料提交发包人。项目负责人2天内不能履行职责的，应事先征得发包人同意，并委派代表代行其职责。</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4.5.2</w:t>
      </w:r>
      <w:r>
        <w:rPr>
          <w:rFonts w:ascii="宋体" w:hAnsi="宋体"/>
          <w:szCs w:val="21"/>
          <w:highlight w:val="none"/>
        </w:rPr>
        <w:t>项目负责人应按合同约定以及发包人要求，负责组织合同工作的实施。在情况紧急且无法与发包人取得联系时，可采取保证工程和人员生命财产安全的紧急措施，并在采取措施后24小时内向发包人提交书面报告。</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4.5.3</w:t>
      </w:r>
      <w:r>
        <w:rPr>
          <w:rFonts w:ascii="宋体" w:hAnsi="宋体"/>
          <w:szCs w:val="21"/>
          <w:highlight w:val="none"/>
        </w:rPr>
        <w:t xml:space="preserve"> 勘察人为履行合同发出的一切函件均应盖有勘察人单位章，并由勘察人的项目负责人签名确认。</w:t>
      </w:r>
    </w:p>
    <w:p>
      <w:pPr>
        <w:tabs>
          <w:tab w:val="left" w:pos="8931"/>
        </w:tabs>
        <w:spacing w:line="360" w:lineRule="auto"/>
        <w:ind w:firstLine="420" w:firstLineChars="200"/>
        <w:rPr>
          <w:rFonts w:ascii="宋体" w:hAnsi="宋体"/>
          <w:szCs w:val="21"/>
          <w:highlight w:val="none"/>
        </w:rPr>
      </w:pPr>
      <w:bookmarkStart w:id="1417" w:name="_Toc482188576"/>
      <w:r>
        <w:rPr>
          <w:rFonts w:ascii="宋体" w:hAnsi="宋体"/>
          <w:szCs w:val="22"/>
          <w:highlight w:val="none"/>
        </w:rPr>
        <w:t>4.</w:t>
      </w:r>
      <w:r>
        <w:rPr>
          <w:rFonts w:hint="eastAsia" w:ascii="宋体" w:hAnsi="宋体"/>
          <w:szCs w:val="22"/>
          <w:highlight w:val="none"/>
        </w:rPr>
        <w:t>5</w:t>
      </w:r>
      <w:r>
        <w:rPr>
          <w:rFonts w:ascii="宋体" w:hAnsi="宋体"/>
          <w:szCs w:val="22"/>
          <w:highlight w:val="none"/>
        </w:rPr>
        <w:t>.4</w:t>
      </w:r>
      <w:r>
        <w:rPr>
          <w:rFonts w:ascii="宋体" w:hAnsi="宋体"/>
          <w:szCs w:val="21"/>
          <w:highlight w:val="none"/>
        </w:rPr>
        <w:t xml:space="preserve"> </w:t>
      </w:r>
      <w:r>
        <w:rPr>
          <w:rFonts w:hint="eastAsia" w:ascii="宋体" w:hAnsi="宋体"/>
          <w:szCs w:val="21"/>
          <w:highlight w:val="none"/>
        </w:rPr>
        <w:t>按照专用合同条款约定，项目负责人</w:t>
      </w:r>
      <w:r>
        <w:rPr>
          <w:rFonts w:ascii="宋体" w:hAnsi="宋体"/>
          <w:szCs w:val="21"/>
          <w:highlight w:val="none"/>
        </w:rPr>
        <w:t>可以授权其下属人员履行其某项职责，但事先应将这些人员的姓名和授权范围书面通知</w:t>
      </w:r>
      <w:r>
        <w:rPr>
          <w:rFonts w:hint="eastAsia" w:ascii="宋体" w:hAnsi="宋体"/>
          <w:szCs w:val="21"/>
          <w:highlight w:val="none"/>
        </w:rPr>
        <w:t>发包</w:t>
      </w:r>
      <w:r>
        <w:rPr>
          <w:rFonts w:ascii="宋体" w:hAnsi="宋体"/>
          <w:szCs w:val="21"/>
          <w:highlight w:val="none"/>
        </w:rPr>
        <w:t>人</w:t>
      </w:r>
      <w:r>
        <w:rPr>
          <w:rFonts w:hint="eastAsia" w:ascii="宋体" w:hAnsi="宋体"/>
          <w:szCs w:val="21"/>
          <w:highlight w:val="none"/>
        </w:rPr>
        <w:t>。</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18" w:name="_Toc492300865"/>
      <w:r>
        <w:rPr>
          <w:rFonts w:ascii="宋体" w:hAnsi="宋体"/>
          <w:color w:val="000000"/>
          <w:sz w:val="28"/>
          <w:szCs w:val="20"/>
          <w:highlight w:val="none"/>
        </w:rPr>
        <w:t xml:space="preserve">4.6 </w:t>
      </w:r>
      <w:r>
        <w:rPr>
          <w:rFonts w:hint="eastAsia" w:ascii="宋体" w:hAnsi="宋体"/>
          <w:color w:val="000000"/>
          <w:sz w:val="28"/>
          <w:szCs w:val="20"/>
          <w:highlight w:val="none"/>
        </w:rPr>
        <w:t>勘察人员的管理</w:t>
      </w:r>
      <w:bookmarkEnd w:id="1417"/>
      <w:bookmarkEnd w:id="1418"/>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4.6.1</w:t>
      </w:r>
      <w:r>
        <w:rPr>
          <w:rFonts w:ascii="宋体" w:hAnsi="宋体"/>
          <w:szCs w:val="21"/>
          <w:highlight w:val="none"/>
        </w:rPr>
        <w:t xml:space="preserve"> 勘察人应在接到开始勘察通知之日起7天内，向发包人提交勘察项目机构以及</w:t>
      </w:r>
      <w:bookmarkStart w:id="1419" w:name="_Toc300835068"/>
      <w:bookmarkStart w:id="1420" w:name="_Toc247527671"/>
      <w:bookmarkStart w:id="1421" w:name="_Toc247514070"/>
      <w:r>
        <w:rPr>
          <w:rFonts w:ascii="宋体" w:hAnsi="宋体"/>
          <w:szCs w:val="21"/>
          <w:highlight w:val="none"/>
        </w:rPr>
        <w:t>人员安排的报告，其内容应</w:t>
      </w:r>
      <w:bookmarkEnd w:id="1419"/>
      <w:bookmarkEnd w:id="1420"/>
      <w:bookmarkEnd w:id="1421"/>
      <w:r>
        <w:rPr>
          <w:rFonts w:ascii="宋体" w:hAnsi="宋体"/>
          <w:szCs w:val="21"/>
          <w:highlight w:val="none"/>
        </w:rPr>
        <w:t>包括项目机构设置、主要勘察人员和作业人员的名单及资格条件。主要</w:t>
      </w:r>
      <w:r>
        <w:rPr>
          <w:rFonts w:hint="eastAsia" w:ascii="宋体" w:hAnsi="宋体"/>
          <w:szCs w:val="21"/>
          <w:highlight w:val="none"/>
        </w:rPr>
        <w:t>勘察</w:t>
      </w:r>
      <w:r>
        <w:rPr>
          <w:rFonts w:ascii="宋体" w:hAnsi="宋体"/>
          <w:szCs w:val="21"/>
          <w:highlight w:val="none"/>
        </w:rPr>
        <w:t>人员应相对稳定，更换主要</w:t>
      </w:r>
      <w:r>
        <w:rPr>
          <w:rFonts w:hint="eastAsia" w:ascii="宋体" w:hAnsi="宋体"/>
          <w:szCs w:val="21"/>
          <w:highlight w:val="none"/>
        </w:rPr>
        <w:t>勘察</w:t>
      </w:r>
      <w:r>
        <w:rPr>
          <w:rFonts w:ascii="宋体" w:hAnsi="宋体"/>
          <w:szCs w:val="21"/>
          <w:highlight w:val="none"/>
        </w:rPr>
        <w:t>人员的，应取得发包人的同意,并向发包人提交继任人员的资格、管理经验等资料。项目负责人的更换，应按照本章第4.5.1项规定执行。</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4.6.2 除专用合同条款另有约定外，</w:t>
      </w:r>
      <w:r>
        <w:rPr>
          <w:rFonts w:ascii="宋体" w:hAnsi="宋体"/>
          <w:szCs w:val="21"/>
          <w:highlight w:val="none"/>
        </w:rPr>
        <w:t>主要勘察人员包括项目负责人、勘探负责人、试验负责人等；作业人员包括勘探描述（记录）员、机长、观测员、试验员等。</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4.6.3</w:t>
      </w:r>
      <w:r>
        <w:rPr>
          <w:rFonts w:ascii="宋体" w:hAnsi="宋体"/>
          <w:szCs w:val="21"/>
          <w:highlight w:val="none"/>
        </w:rPr>
        <w:t>勘察人应保证其主要勘察人员（含分包人）在合同期限内的任何时候，都能按时参加发包人组织的工作会议。</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4.6.4 </w:t>
      </w:r>
      <w:r>
        <w:rPr>
          <w:rFonts w:ascii="宋体" w:hAnsi="宋体"/>
          <w:szCs w:val="21"/>
          <w:highlight w:val="none"/>
        </w:rPr>
        <w:t>国家规定应当持证上岗的工作人员均应持有相应的资格证明，发包人有权随时检查。发包人认为有必要时，可以进行现场考核。</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22" w:name="_Toc482188577"/>
      <w:bookmarkStart w:id="1423" w:name="_Toc492300866"/>
      <w:r>
        <w:rPr>
          <w:rFonts w:ascii="宋体" w:hAnsi="宋体"/>
          <w:color w:val="000000"/>
          <w:sz w:val="28"/>
          <w:szCs w:val="20"/>
          <w:highlight w:val="none"/>
        </w:rPr>
        <w:t xml:space="preserve">4.7 </w:t>
      </w:r>
      <w:r>
        <w:rPr>
          <w:rFonts w:hint="eastAsia" w:ascii="宋体" w:hAnsi="宋体"/>
          <w:color w:val="000000"/>
          <w:sz w:val="28"/>
          <w:szCs w:val="20"/>
          <w:highlight w:val="none"/>
        </w:rPr>
        <w:t>撤换项目负责人和其他人员</w:t>
      </w:r>
      <w:bookmarkEnd w:id="1422"/>
      <w:bookmarkEnd w:id="1423"/>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勘察人应对其项目负责人和其他人员进行有效管理。发包人要求撤换不能胜任本职工作、行</w:t>
      </w:r>
      <w:bookmarkStart w:id="1424" w:name="_Toc247514071"/>
      <w:bookmarkStart w:id="1425" w:name="_Toc300835069"/>
      <w:bookmarkStart w:id="1426" w:name="_Toc247527672"/>
      <w:r>
        <w:rPr>
          <w:rFonts w:ascii="宋体" w:hAnsi="宋体"/>
          <w:szCs w:val="21"/>
          <w:highlight w:val="none"/>
        </w:rPr>
        <w:t>为不端或玩忽职守的项目负责人和其</w:t>
      </w:r>
      <w:bookmarkEnd w:id="1424"/>
      <w:bookmarkEnd w:id="1425"/>
      <w:bookmarkEnd w:id="1426"/>
      <w:r>
        <w:rPr>
          <w:rFonts w:ascii="宋体" w:hAnsi="宋体"/>
          <w:szCs w:val="21"/>
          <w:highlight w:val="none"/>
        </w:rPr>
        <w:t>他人员的，勘察人应予以撤换。</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27" w:name="_Toc482188578"/>
      <w:bookmarkStart w:id="1428" w:name="_Toc492300867"/>
      <w:r>
        <w:rPr>
          <w:rFonts w:ascii="宋体" w:hAnsi="宋体"/>
          <w:color w:val="000000"/>
          <w:sz w:val="28"/>
          <w:szCs w:val="20"/>
          <w:highlight w:val="none"/>
        </w:rPr>
        <w:t xml:space="preserve">4.8 </w:t>
      </w:r>
      <w:r>
        <w:rPr>
          <w:rFonts w:hint="eastAsia" w:ascii="宋体" w:hAnsi="宋体"/>
          <w:color w:val="000000"/>
          <w:sz w:val="28"/>
          <w:szCs w:val="20"/>
          <w:highlight w:val="none"/>
        </w:rPr>
        <w:t>保障人员的合法权益</w:t>
      </w:r>
      <w:bookmarkEnd w:id="1427"/>
      <w:bookmarkEnd w:id="1428"/>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4.8.1</w:t>
      </w:r>
      <w:r>
        <w:rPr>
          <w:rFonts w:ascii="宋体" w:hAnsi="宋体"/>
          <w:szCs w:val="21"/>
          <w:highlight w:val="none"/>
        </w:rPr>
        <w:t xml:space="preserve"> 勘察人应与其雇佣的人员签订劳动合同，并按时发放工资。</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4.8.2</w:t>
      </w:r>
      <w:r>
        <w:rPr>
          <w:rFonts w:ascii="宋体" w:hAnsi="宋体"/>
          <w:szCs w:val="21"/>
          <w:highlight w:val="none"/>
        </w:rPr>
        <w:t xml:space="preserve"> 勘察人应</w:t>
      </w:r>
      <w:bookmarkStart w:id="1429" w:name="_Toc300835070"/>
      <w:bookmarkStart w:id="1430" w:name="_Toc247527673"/>
      <w:bookmarkStart w:id="1431" w:name="_Toc247514072"/>
      <w:r>
        <w:rPr>
          <w:rFonts w:ascii="宋体" w:hAnsi="宋体"/>
          <w:szCs w:val="21"/>
          <w:highlight w:val="none"/>
        </w:rPr>
        <w:t>按劳动法的规定安排工作时间</w:t>
      </w:r>
      <w:bookmarkEnd w:id="1429"/>
      <w:bookmarkEnd w:id="1430"/>
      <w:bookmarkEnd w:id="1431"/>
      <w:r>
        <w:rPr>
          <w:rFonts w:ascii="宋体" w:hAnsi="宋体"/>
          <w:szCs w:val="21"/>
          <w:highlight w:val="none"/>
        </w:rPr>
        <w:t>，保证其雇佣人员享有休息和休假的权利。因勘察需要占用休假日或延长工作时间的，应不超过法律规定的限度，并按法律规定给予补休或付酬。</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4.8.3</w:t>
      </w:r>
      <w:r>
        <w:rPr>
          <w:rFonts w:ascii="宋体" w:hAnsi="宋体"/>
          <w:szCs w:val="21"/>
          <w:highlight w:val="none"/>
        </w:rPr>
        <w:t xml:space="preserve"> 勘察人应为其现场人员提供必要的食宿条件，以及符合环境保护和卫生要求的生活环境，在远离城镇的勘探场地，还应配备必要的伤病防治和急救设施。</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4.8.4</w:t>
      </w:r>
      <w:r>
        <w:rPr>
          <w:rFonts w:ascii="宋体" w:hAnsi="宋体"/>
          <w:szCs w:val="21"/>
          <w:highlight w:val="none"/>
        </w:rPr>
        <w:t xml:space="preserve"> 勘察人应按国家有关劳动保护的规定，采取有效的防止粉尘、降低噪声、控制有害气体和保障高温、高寒、高空作业安全等劳动保护措施。其雇佣人员在勘探作业中受到伤害的，勘察人应立即采取有效措施进行抢救和治疗。</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4.8.5</w:t>
      </w:r>
      <w:r>
        <w:rPr>
          <w:rFonts w:ascii="宋体" w:hAnsi="宋体"/>
          <w:szCs w:val="21"/>
          <w:highlight w:val="none"/>
        </w:rPr>
        <w:t xml:space="preserve"> 勘察人应按有关法律规定和合同约定，为其雇佣人员办理保险。</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32" w:name="_Toc482188579"/>
      <w:bookmarkStart w:id="1433" w:name="_Toc492300868"/>
      <w:r>
        <w:rPr>
          <w:rFonts w:ascii="宋体" w:hAnsi="宋体"/>
          <w:color w:val="000000"/>
          <w:sz w:val="28"/>
          <w:szCs w:val="20"/>
          <w:highlight w:val="none"/>
        </w:rPr>
        <w:t xml:space="preserve">4.9 </w:t>
      </w:r>
      <w:r>
        <w:rPr>
          <w:rFonts w:hint="eastAsia" w:ascii="宋体" w:hAnsi="宋体"/>
          <w:color w:val="000000"/>
          <w:sz w:val="28"/>
          <w:szCs w:val="20"/>
          <w:highlight w:val="none"/>
        </w:rPr>
        <w:t>合同价款应专款专用</w:t>
      </w:r>
      <w:bookmarkEnd w:id="1432"/>
      <w:bookmarkEnd w:id="1433"/>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发包人按合同约定支付给勘察人的各项价款，应专用于合同勘察工作。</w:t>
      </w:r>
    </w:p>
    <w:bookmarkEnd w:id="1405"/>
    <w:bookmarkEnd w:id="1406"/>
    <w:bookmarkEnd w:id="1407"/>
    <w:p>
      <w:pPr>
        <w:keepNext/>
        <w:keepLines/>
        <w:tabs>
          <w:tab w:val="left" w:pos="8931"/>
        </w:tabs>
        <w:spacing w:before="260" w:after="260" w:line="413" w:lineRule="auto"/>
        <w:ind w:firstLine="108"/>
        <w:outlineLvl w:val="2"/>
        <w:rPr>
          <w:rFonts w:ascii="宋体" w:hAnsi="宋体"/>
          <w:sz w:val="32"/>
          <w:szCs w:val="20"/>
          <w:highlight w:val="none"/>
        </w:rPr>
      </w:pPr>
      <w:bookmarkStart w:id="1434" w:name="_Toc25882"/>
      <w:bookmarkStart w:id="1435" w:name="_Toc492300869"/>
      <w:bookmarkStart w:id="1436" w:name="_Toc21177"/>
      <w:bookmarkStart w:id="1437" w:name="_Toc28131"/>
      <w:bookmarkStart w:id="1438" w:name="_Toc13474"/>
      <w:bookmarkStart w:id="1439" w:name="_Toc75857077"/>
      <w:bookmarkStart w:id="1440" w:name="_Toc22323"/>
      <w:bookmarkStart w:id="1441" w:name="_Toc482188580"/>
      <w:r>
        <w:rPr>
          <w:rFonts w:ascii="宋体" w:hAnsi="宋体"/>
          <w:sz w:val="32"/>
          <w:szCs w:val="20"/>
          <w:highlight w:val="none"/>
        </w:rPr>
        <w:t>5. 勘察要求</w:t>
      </w:r>
      <w:bookmarkEnd w:id="1434"/>
      <w:bookmarkEnd w:id="1435"/>
      <w:bookmarkEnd w:id="1436"/>
      <w:bookmarkEnd w:id="1437"/>
      <w:bookmarkEnd w:id="1438"/>
      <w:bookmarkEnd w:id="1439"/>
      <w:bookmarkEnd w:id="1440"/>
      <w:bookmarkEnd w:id="1441"/>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42" w:name="_Toc482188581"/>
      <w:bookmarkStart w:id="1443" w:name="_Toc492300870"/>
      <w:r>
        <w:rPr>
          <w:rFonts w:ascii="宋体" w:hAnsi="宋体"/>
          <w:color w:val="000000"/>
          <w:sz w:val="28"/>
          <w:szCs w:val="20"/>
          <w:highlight w:val="none"/>
        </w:rPr>
        <w:t xml:space="preserve">5.1 </w:t>
      </w:r>
      <w:r>
        <w:rPr>
          <w:rFonts w:hint="eastAsia" w:ascii="宋体" w:hAnsi="宋体"/>
          <w:color w:val="000000"/>
          <w:sz w:val="28"/>
          <w:szCs w:val="20"/>
          <w:highlight w:val="none"/>
        </w:rPr>
        <w:t>一般要求</w:t>
      </w:r>
      <w:bookmarkEnd w:id="1442"/>
      <w:bookmarkEnd w:id="1443"/>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5.1.1 发包人应当遵守法律和规范标准，不得以任何理由要求勘察人违反法律和工程质量、安全标准进行勘察服务，降低工程质量。</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5.1.2 </w:t>
      </w:r>
      <w:r>
        <w:rPr>
          <w:rFonts w:ascii="宋体" w:hAnsi="宋体"/>
          <w:szCs w:val="21"/>
          <w:highlight w:val="none"/>
        </w:rPr>
        <w:t>勘察人应按照法律规定，以及国家、行业和地方的规范和标准完成勘察工作，并应符合发包人要求。各项规范、标准和发包人要求之间如对同一内容的描述不一致时，应以描述更为严格的内容为准。</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5.1.3</w:t>
      </w:r>
      <w:r>
        <w:rPr>
          <w:rFonts w:ascii="宋体" w:hAnsi="宋体"/>
          <w:szCs w:val="21"/>
          <w:highlight w:val="none"/>
        </w:rPr>
        <w:t xml:space="preserve"> 除专用合同条款另有约定外，勘察人完成勘察工作所应遵守的法律规定，以及国家、行业和地方的规范和标准，均应视为在基准日适用的版本。基准日之后，前述版本发生重大变化，或者有新的法律，以及国家、行业和地方的规范和标准实施的，勘察人应向发包人提出遵守新规定的建议。发包人应在收到建议后7天内发出是否遵守新规定的指示。发包人指示遵守新规定的，按照第</w:t>
      </w:r>
      <w:r>
        <w:rPr>
          <w:rFonts w:ascii="宋体" w:hAnsi="宋体"/>
          <w:szCs w:val="22"/>
          <w:highlight w:val="none"/>
        </w:rPr>
        <w:t>11</w:t>
      </w:r>
      <w:r>
        <w:rPr>
          <w:rFonts w:ascii="宋体" w:hAnsi="宋体"/>
          <w:szCs w:val="21"/>
          <w:highlight w:val="none"/>
        </w:rPr>
        <w:t>条约定执行。</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44" w:name="_Toc482188582"/>
      <w:bookmarkStart w:id="1445" w:name="_Toc492300871"/>
      <w:r>
        <w:rPr>
          <w:rFonts w:ascii="宋体" w:hAnsi="宋体"/>
          <w:color w:val="000000"/>
          <w:sz w:val="28"/>
          <w:szCs w:val="20"/>
          <w:highlight w:val="none"/>
        </w:rPr>
        <w:t xml:space="preserve">5.2 </w:t>
      </w:r>
      <w:r>
        <w:rPr>
          <w:rFonts w:hint="eastAsia" w:ascii="宋体" w:hAnsi="宋体"/>
          <w:color w:val="000000"/>
          <w:sz w:val="28"/>
          <w:szCs w:val="20"/>
          <w:highlight w:val="none"/>
        </w:rPr>
        <w:t>勘察依据</w:t>
      </w:r>
      <w:bookmarkEnd w:id="1444"/>
      <w:bookmarkEnd w:id="1445"/>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除专用合同条款另有约定外，本工程的勘察依据如下：</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（1）适用的法律、行政法规及部门规章；</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（2）与工程有关的规范、标准、规程；</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（3）工程基础资料及其他文件；</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（4）本勘察服务合同及补充合同；</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（5）本工程设计和施工需求；</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（6）合同履行中与勘察服务有关的来往函件；</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（7）其他勘察依据。</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46" w:name="_Toc492300872"/>
      <w:bookmarkStart w:id="1447" w:name="_Toc482188583"/>
      <w:r>
        <w:rPr>
          <w:rFonts w:ascii="宋体" w:hAnsi="宋体"/>
          <w:color w:val="000000"/>
          <w:sz w:val="28"/>
          <w:szCs w:val="20"/>
          <w:highlight w:val="none"/>
        </w:rPr>
        <w:t xml:space="preserve">5.3 </w:t>
      </w:r>
      <w:r>
        <w:rPr>
          <w:rFonts w:hint="eastAsia" w:ascii="宋体" w:hAnsi="宋体"/>
          <w:color w:val="000000"/>
          <w:sz w:val="28"/>
          <w:szCs w:val="20"/>
          <w:highlight w:val="none"/>
        </w:rPr>
        <w:t>勘察范围</w:t>
      </w:r>
      <w:bookmarkEnd w:id="1446"/>
      <w:bookmarkEnd w:id="1447"/>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5.3.1 本合同的勘察范围包括工程范围、阶段范围和工作范围，具体勘察范围应当根据三者之间的关联内容进行确定。</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5.3.2 工程范围指所勘察工程的建设内容，具体范围</w:t>
      </w:r>
      <w:r>
        <w:rPr>
          <w:rFonts w:ascii="宋体" w:hAnsi="宋体"/>
          <w:kern w:val="0"/>
          <w:szCs w:val="21"/>
          <w:highlight w:val="none"/>
        </w:rPr>
        <w:t>在专用合同条款中约定</w:t>
      </w:r>
      <w:r>
        <w:rPr>
          <w:rFonts w:ascii="宋体" w:hAnsi="宋体"/>
          <w:szCs w:val="21"/>
          <w:highlight w:val="none"/>
        </w:rPr>
        <w:t>。</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5.3.3 阶段范围指工程建设程序中的可行性研究勘察、初步勘察、详细勘察、施工勘察等阶段中的一个或者多个阶段，具体范围</w:t>
      </w:r>
      <w:r>
        <w:rPr>
          <w:rFonts w:ascii="宋体" w:hAnsi="宋体"/>
          <w:kern w:val="0"/>
          <w:szCs w:val="21"/>
          <w:highlight w:val="none"/>
        </w:rPr>
        <w:t>在专用合同条款中约定</w:t>
      </w:r>
      <w:r>
        <w:rPr>
          <w:rFonts w:ascii="宋体" w:hAnsi="宋体"/>
          <w:szCs w:val="21"/>
          <w:highlight w:val="none"/>
        </w:rPr>
        <w:t>。</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5.3.4 工作范围指工程</w:t>
      </w:r>
      <w:r>
        <w:rPr>
          <w:rFonts w:ascii="宋体" w:hAnsi="宋体"/>
          <w:szCs w:val="22"/>
          <w:highlight w:val="none"/>
        </w:rPr>
        <w:t>测量、岩土工程勘察、岩土工程设计（如有）、提供技术交底、施工配合、参加试车（试运行）、竣工验收和发包人委托的其他服务中的一项或者多项工作，</w:t>
      </w:r>
      <w:r>
        <w:rPr>
          <w:rFonts w:ascii="宋体" w:hAnsi="宋体"/>
          <w:szCs w:val="21"/>
          <w:highlight w:val="none"/>
        </w:rPr>
        <w:t>具体范围</w:t>
      </w:r>
      <w:r>
        <w:rPr>
          <w:rFonts w:ascii="宋体" w:hAnsi="宋体"/>
          <w:kern w:val="0"/>
          <w:szCs w:val="21"/>
          <w:highlight w:val="none"/>
        </w:rPr>
        <w:t>在专用合同条款中约定</w:t>
      </w:r>
      <w:r>
        <w:rPr>
          <w:rFonts w:ascii="宋体" w:hAnsi="宋体"/>
          <w:szCs w:val="21"/>
          <w:highlight w:val="none"/>
        </w:rPr>
        <w:t>。</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48" w:name="_Toc482188584"/>
      <w:bookmarkStart w:id="1449" w:name="_Toc492300873"/>
      <w:r>
        <w:rPr>
          <w:rFonts w:ascii="宋体" w:hAnsi="宋体"/>
          <w:color w:val="000000"/>
          <w:sz w:val="28"/>
          <w:szCs w:val="20"/>
          <w:highlight w:val="none"/>
        </w:rPr>
        <w:t xml:space="preserve">5.4 </w:t>
      </w:r>
      <w:r>
        <w:rPr>
          <w:rFonts w:hint="eastAsia" w:ascii="宋体" w:hAnsi="宋体"/>
          <w:color w:val="000000"/>
          <w:sz w:val="28"/>
          <w:szCs w:val="20"/>
          <w:highlight w:val="none"/>
        </w:rPr>
        <w:t>勘察作业要求</w:t>
      </w:r>
      <w:bookmarkEnd w:id="1448"/>
      <w:bookmarkEnd w:id="1449"/>
    </w:p>
    <w:bookmarkEnd w:id="1408"/>
    <w:p>
      <w:pPr>
        <w:tabs>
          <w:tab w:val="left" w:pos="8931"/>
        </w:tabs>
        <w:spacing w:line="360" w:lineRule="auto"/>
        <w:ind w:firstLine="422" w:firstLineChars="200"/>
        <w:rPr>
          <w:rFonts w:ascii="宋体" w:hAnsi="宋体"/>
          <w:b/>
          <w:szCs w:val="21"/>
          <w:highlight w:val="none"/>
        </w:rPr>
      </w:pPr>
      <w:r>
        <w:rPr>
          <w:rFonts w:ascii="宋体" w:hAnsi="宋体"/>
          <w:b/>
          <w:szCs w:val="21"/>
          <w:highlight w:val="none"/>
        </w:rPr>
        <w:t>5.4.1 测绘</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（1）除专用合同条款另有约定外，发包人应在开始勘察前7日内，向勘</w:t>
      </w:r>
      <w:bookmarkStart w:id="1450" w:name="_Toc300835106"/>
      <w:bookmarkStart w:id="1451" w:name="_Toc247514103"/>
      <w:bookmarkStart w:id="1452" w:name="_Toc184635105"/>
      <w:bookmarkStart w:id="1453" w:name="_Toc247527704"/>
      <w:r>
        <w:rPr>
          <w:rFonts w:ascii="宋体" w:hAnsi="宋体"/>
          <w:szCs w:val="21"/>
          <w:highlight w:val="none"/>
        </w:rPr>
        <w:t>察人</w:t>
      </w:r>
      <w:bookmarkEnd w:id="1450"/>
      <w:bookmarkEnd w:id="1451"/>
      <w:bookmarkEnd w:id="1452"/>
      <w:bookmarkEnd w:id="1453"/>
      <w:r>
        <w:rPr>
          <w:rFonts w:ascii="宋体" w:hAnsi="宋体"/>
          <w:szCs w:val="21"/>
          <w:highlight w:val="none"/>
        </w:rPr>
        <w:t>提供测量基准点、水准点和书</w:t>
      </w:r>
      <w:bookmarkStart w:id="1454" w:name="_Toc247527705"/>
      <w:bookmarkStart w:id="1455" w:name="_Toc247514104"/>
      <w:bookmarkStart w:id="1456" w:name="_Toc300835107"/>
      <w:r>
        <w:rPr>
          <w:rFonts w:ascii="宋体" w:hAnsi="宋体"/>
          <w:szCs w:val="21"/>
          <w:highlight w:val="none"/>
        </w:rPr>
        <w:t>面资料等</w:t>
      </w:r>
      <w:bookmarkEnd w:id="1454"/>
      <w:bookmarkEnd w:id="1455"/>
      <w:bookmarkEnd w:id="1456"/>
      <w:r>
        <w:rPr>
          <w:rFonts w:ascii="宋体" w:hAnsi="宋体"/>
          <w:szCs w:val="21"/>
          <w:highlight w:val="none"/>
        </w:rPr>
        <w:t>；勘察人应根据国家测绘基准、测绘系统和工程测量技术规范，按发包人要求的基准点以及合同工程精度要求，进行测绘。</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（2）勘察人测绘之前，应当认真核对测绘数据，保证引用数据和原始数据准确无误。测绘工作应由测量人员如实记录，不得补记、涂改或者损坏。</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（3）工程勘探之前，勘察人应当严格按照勘察方案的孔位坐标，进行测量放线并在实地位置定位，埋设带有编号且不易移动的标志桩进行定位控制。</w:t>
      </w:r>
    </w:p>
    <w:p>
      <w:pPr>
        <w:tabs>
          <w:tab w:val="left" w:pos="8931"/>
        </w:tabs>
        <w:spacing w:line="360" w:lineRule="auto"/>
        <w:ind w:firstLine="422" w:firstLineChars="200"/>
        <w:rPr>
          <w:rFonts w:ascii="宋体" w:hAnsi="宋体"/>
          <w:b/>
          <w:szCs w:val="21"/>
          <w:highlight w:val="none"/>
        </w:rPr>
      </w:pPr>
      <w:r>
        <w:rPr>
          <w:rFonts w:ascii="宋体" w:hAnsi="宋体"/>
          <w:b/>
          <w:szCs w:val="21"/>
          <w:highlight w:val="none"/>
        </w:rPr>
        <w:t>5.4.2 勘探</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（1）勘察人应当根据勘察目的和岩土特性，合理选择钻探、井探、槽探、洞</w:t>
      </w:r>
      <w:bookmarkStart w:id="1457" w:name="_Toc247514086"/>
      <w:bookmarkStart w:id="1458" w:name="_Toc247527687"/>
      <w:bookmarkStart w:id="1459" w:name="_Toc184635102"/>
      <w:bookmarkStart w:id="1460" w:name="_Toc300835085"/>
      <w:r>
        <w:rPr>
          <w:rFonts w:ascii="宋体" w:hAnsi="宋体"/>
          <w:szCs w:val="22"/>
          <w:highlight w:val="none"/>
        </w:rPr>
        <w:t>探和地球物理勘</w:t>
      </w:r>
      <w:bookmarkEnd w:id="1457"/>
      <w:bookmarkEnd w:id="1458"/>
      <w:bookmarkEnd w:id="1459"/>
      <w:bookmarkEnd w:id="1460"/>
      <w:r>
        <w:rPr>
          <w:rFonts w:ascii="宋体" w:hAnsi="宋体"/>
          <w:szCs w:val="22"/>
          <w:highlight w:val="none"/>
        </w:rPr>
        <w:t>探等勘探方</w:t>
      </w:r>
      <w:bookmarkStart w:id="1461" w:name="_Toc247514087"/>
      <w:bookmarkStart w:id="1462" w:name="_Toc300835086"/>
      <w:bookmarkStart w:id="1463" w:name="_Toc247527688"/>
      <w:r>
        <w:rPr>
          <w:rFonts w:ascii="宋体" w:hAnsi="宋体"/>
          <w:szCs w:val="22"/>
          <w:highlight w:val="none"/>
        </w:rPr>
        <w:t>法，为完成</w:t>
      </w:r>
      <w:bookmarkEnd w:id="1461"/>
      <w:bookmarkEnd w:id="1462"/>
      <w:bookmarkEnd w:id="1463"/>
      <w:r>
        <w:rPr>
          <w:rFonts w:ascii="宋体" w:hAnsi="宋体"/>
          <w:szCs w:val="22"/>
          <w:highlight w:val="none"/>
        </w:rPr>
        <w:t>合同约定的勘察任务创造条件。勘察人对于勘察方法的正确性、适用性和可靠性完全负责。</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2）勘察人布置勘探工作时，应当充分考虑勘探方法对于自然环境、周边设施、建构筑物、地下管线、架空线和其他物体的影响，采用切实有效的措施进行防范控制，不得造成损坏或中断运行，否则由此导致的费用增加和（或）周期延误由勘察人自行承担。</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（3）勘察人应在标定的孔位处进行勘探，不得随意改动位置。勘探方法、勘探机具、勘探记录、取样编录与描述，孔位标记、孔位封闭等事项，应当严格执行规范标准，按实填写勘探报表和勘探日志。</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勘探工作完成后，勘察人应当按照规范要求及时封孔，并将封孔记录整理存档，勘探场地应当地面平整、清洁卫生，并通知发包人、行政主管部门及使用维护单位进行现场验收。验收通过之后如果发生沉陷，勘察人应当及时进行二次封孔和现场验收。</w:t>
      </w:r>
    </w:p>
    <w:p>
      <w:pPr>
        <w:tabs>
          <w:tab w:val="left" w:pos="8931"/>
        </w:tabs>
        <w:spacing w:line="360" w:lineRule="auto"/>
        <w:ind w:firstLine="422" w:firstLineChars="200"/>
        <w:rPr>
          <w:rFonts w:ascii="宋体" w:hAnsi="宋体"/>
          <w:b/>
          <w:szCs w:val="21"/>
          <w:highlight w:val="none"/>
        </w:rPr>
      </w:pPr>
      <w:r>
        <w:rPr>
          <w:rFonts w:ascii="宋体" w:hAnsi="宋体"/>
          <w:b/>
          <w:szCs w:val="21"/>
          <w:highlight w:val="none"/>
        </w:rPr>
        <w:t>5.4.3 取样</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勘察人应当针对不同的岩土地质，按照勘探取样规范规程中的相关规定，根据地层特征、取样深度、设备条件和试验项目的不同，合理选用取样方法和取样工具进行取样，包括并不限于土样、水样、岩芯等。</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2）取样后的样品应当根据其类别、性质和特点等进行封装、贮存和运输。样品搬运之前，宜用数码相机进行现场拍照；运输途中应当采用柔软材料充填、尽量避免震动和阳光曝晒；装卸之时尽量轻拿轻放，以免样品损坏。</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（3）取样后的样品应当填写和粘贴标签，标签内容包括并不限于工程名称、孔号、样品编号、取样深度、样品名称、取样日期、取样人姓名、施工机组等。</w:t>
      </w:r>
    </w:p>
    <w:p>
      <w:pPr>
        <w:tabs>
          <w:tab w:val="left" w:pos="8931"/>
        </w:tabs>
        <w:spacing w:line="360" w:lineRule="auto"/>
        <w:ind w:firstLine="422" w:firstLineChars="200"/>
        <w:rPr>
          <w:rFonts w:ascii="宋体" w:hAnsi="宋体"/>
          <w:b/>
          <w:szCs w:val="21"/>
          <w:highlight w:val="none"/>
        </w:rPr>
      </w:pPr>
      <w:r>
        <w:rPr>
          <w:rFonts w:ascii="宋体" w:hAnsi="宋体"/>
          <w:b/>
          <w:szCs w:val="21"/>
          <w:highlight w:val="none"/>
        </w:rPr>
        <w:t>5.4.4 试验</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（1）勘察人应当根据岩土条件、设计要求、勘察经验和测试方法特点，选用合适的原位测试方法和勘察设备进行原位测试。原位测试成果应与室内试验数据进行对比分析，检验其可靠性。</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（2）勘察人的试验室应当通过行业管理部门认可的CMA计量认证，具有相应的资格证书、试验人员和试验条件，否则应当委托第三方试验室进行室内试验。</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勘察人应在试验之前按照要求清点样品数目，认定取样质量及数量是否满足试验需要；勘察设备应当检定合格，性能参数满足试验要求，严格按照规范标准的相应规定进行试验操作；试验之后应在有效期内保留备样，以备复核试验成果之用，并按规范标准规定处理余土和废液，符合环境保护、健康卫生等要求。</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（4）试验报告的格式应当符合CMA计量认证体系要求，加盖CMA章并由试验负责人签名确认；试验负责人应当通过计量认证考核，并由项目负责人授权许可。</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64" w:name="_Toc492300874"/>
      <w:bookmarkStart w:id="1465" w:name="_Toc482188585"/>
      <w:r>
        <w:rPr>
          <w:rFonts w:ascii="宋体" w:hAnsi="宋体"/>
          <w:color w:val="000000"/>
          <w:sz w:val="28"/>
          <w:szCs w:val="20"/>
          <w:highlight w:val="none"/>
        </w:rPr>
        <w:t xml:space="preserve">5.5 </w:t>
      </w:r>
      <w:r>
        <w:rPr>
          <w:rFonts w:hint="eastAsia" w:ascii="宋体" w:hAnsi="宋体"/>
          <w:color w:val="000000"/>
          <w:sz w:val="28"/>
          <w:szCs w:val="20"/>
          <w:highlight w:val="none"/>
        </w:rPr>
        <w:t>勘察设备要求</w:t>
      </w:r>
      <w:bookmarkEnd w:id="1464"/>
      <w:bookmarkEnd w:id="1465"/>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5.5.1 勘察人应按合同进度计划的要求，及时配置勘察设备进行作业。勘察人更换合</w:t>
      </w:r>
      <w:bookmarkStart w:id="1466" w:name="_Toc247527691"/>
      <w:bookmarkStart w:id="1467" w:name="_Toc300835090"/>
      <w:bookmarkStart w:id="1468" w:name="_Toc247514090"/>
      <w:r>
        <w:rPr>
          <w:rFonts w:ascii="宋体" w:hAnsi="宋体"/>
          <w:szCs w:val="22"/>
          <w:highlight w:val="none"/>
        </w:rPr>
        <w:t>同约定的勘察设备的，应报发包人批准。</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5.5.2 勘察人应当按照规范要求，及时维修、保养或更换勘察设备，包括并不限于钻机、触探仪、全站仪、水准仪、探测仪、测井平台、天平、固结仪、振筛机、干燥箱、直剪仪、收缩仪、膨胀仪、渗透仪等，保证勘察设备能够随时进场使用。</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5.5.3 勘察人使用的勘察设备不能满足合同进度计划和（或）质量要求时，发包人有权要求勘察人增加或更换勘察设备，勘察人应及时增加或更换，由此增加的费用和（或）周期延误由勘察人自行承担。</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69" w:name="_Toc482188586"/>
      <w:bookmarkStart w:id="1470" w:name="_Toc492300875"/>
      <w:r>
        <w:rPr>
          <w:rFonts w:ascii="宋体" w:hAnsi="宋体"/>
          <w:color w:val="000000"/>
          <w:sz w:val="28"/>
          <w:szCs w:val="20"/>
          <w:highlight w:val="none"/>
        </w:rPr>
        <w:t xml:space="preserve">5.6 </w:t>
      </w:r>
      <w:r>
        <w:rPr>
          <w:rFonts w:hint="eastAsia" w:ascii="宋体" w:hAnsi="宋体"/>
          <w:color w:val="000000"/>
          <w:sz w:val="28"/>
          <w:szCs w:val="20"/>
          <w:highlight w:val="none"/>
        </w:rPr>
        <w:t>临时占地和设施要求</w:t>
      </w:r>
      <w:bookmarkEnd w:id="1469"/>
      <w:bookmarkEnd w:id="1470"/>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5.6.1 勘察人应当根据勘察服务方案制订临时占地计划，报请发包人批准</w:t>
      </w:r>
      <w:bookmarkEnd w:id="1466"/>
      <w:bookmarkEnd w:id="1467"/>
      <w:bookmarkEnd w:id="1468"/>
      <w:bookmarkStart w:id="1471" w:name="_Toc300835092"/>
      <w:bookmarkStart w:id="1472" w:name="_Toc247514091"/>
      <w:bookmarkStart w:id="1473" w:name="_Toc247527692"/>
      <w:bookmarkStart w:id="1474" w:name="_Toc184635103"/>
      <w:r>
        <w:rPr>
          <w:rFonts w:ascii="宋体" w:hAnsi="宋体"/>
          <w:szCs w:val="22"/>
          <w:highlight w:val="none"/>
        </w:rPr>
        <w:t>。</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5.6.2 位于本工</w:t>
      </w:r>
      <w:bookmarkEnd w:id="1471"/>
      <w:bookmarkEnd w:id="1472"/>
      <w:bookmarkEnd w:id="1473"/>
      <w:bookmarkEnd w:id="1474"/>
      <w:r>
        <w:rPr>
          <w:rFonts w:ascii="宋体" w:hAnsi="宋体"/>
          <w:szCs w:val="22"/>
          <w:highlight w:val="none"/>
        </w:rPr>
        <w:t>程</w:t>
      </w:r>
      <w:bookmarkStart w:id="1475" w:name="_Toc247514092"/>
      <w:bookmarkStart w:id="1476" w:name="_Toc247527693"/>
      <w:bookmarkStart w:id="1477" w:name="_Toc300835093"/>
      <w:r>
        <w:rPr>
          <w:rFonts w:ascii="宋体" w:hAnsi="宋体"/>
          <w:szCs w:val="22"/>
          <w:highlight w:val="none"/>
        </w:rPr>
        <w:t>区域内的</w:t>
      </w:r>
      <w:bookmarkEnd w:id="1475"/>
      <w:bookmarkEnd w:id="1476"/>
      <w:bookmarkEnd w:id="1477"/>
      <w:r>
        <w:rPr>
          <w:rFonts w:ascii="宋体" w:hAnsi="宋体"/>
          <w:szCs w:val="22"/>
          <w:highlight w:val="none"/>
        </w:rPr>
        <w:t>临时占地，由发包人协调提供。位于道路、绿化或者其他市政设施内的临时占地，由勘察人向行政管理部门报建申请，按照要求制定占地施工方案，并据此实施。</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5.6.3 临时占地使用完毕后，勘察人应当按照发包人要求或行政管理部门规定恢复临时占地。如果恢复或清理标准不能满足要求的，发包人有权委托他人代为恢复或清理，由此发生的费用从拟支付给勘察人的勘察费用中扣除。</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5.6.4 勘察人应当配备或搭设足够的临时设施，保证勘探工作能够正常开展。临时设施包括并不限于施工围挡、交通</w:t>
      </w:r>
      <w:r>
        <w:rPr>
          <w:rFonts w:ascii="宋体" w:hAnsi="宋体"/>
          <w:szCs w:val="21"/>
          <w:highlight w:val="none"/>
        </w:rPr>
        <w:t>疏导设施、安全防范设施、钻机防护设施、安全文明施工设施、办公生活用房、取样存放场所等。</w:t>
      </w:r>
    </w:p>
    <w:p>
      <w:pPr>
        <w:tabs>
          <w:tab w:val="left" w:pos="8931"/>
        </w:tabs>
        <w:spacing w:line="360" w:lineRule="auto"/>
        <w:ind w:firstLine="420" w:firstLineChars="200"/>
        <w:rPr>
          <w:rFonts w:ascii="宋体" w:hAnsi="宋体"/>
          <w:szCs w:val="22"/>
          <w:highlight w:val="none"/>
        </w:rPr>
      </w:pPr>
      <w:r>
        <w:rPr>
          <w:rFonts w:ascii="宋体" w:hAnsi="宋体"/>
          <w:szCs w:val="21"/>
          <w:highlight w:val="none"/>
        </w:rPr>
        <w:t>5.6.5 临时设施应当满足规范标准、发包人要求和行政管理部门的规定等。除专用合同条款另有约定外，临时设施的修建、拆除和恢复费用由勘察人自行承担。</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78" w:name="_Toc482188587"/>
      <w:bookmarkStart w:id="1479" w:name="_Toc492300876"/>
      <w:r>
        <w:rPr>
          <w:rFonts w:ascii="宋体" w:hAnsi="宋体"/>
          <w:color w:val="000000"/>
          <w:sz w:val="28"/>
          <w:szCs w:val="20"/>
          <w:highlight w:val="none"/>
        </w:rPr>
        <w:t xml:space="preserve">5.7 </w:t>
      </w:r>
      <w:r>
        <w:rPr>
          <w:rFonts w:hint="eastAsia" w:ascii="宋体" w:hAnsi="宋体"/>
          <w:color w:val="000000"/>
          <w:sz w:val="28"/>
          <w:szCs w:val="20"/>
          <w:highlight w:val="none"/>
        </w:rPr>
        <w:t>安全作业要求</w:t>
      </w:r>
      <w:bookmarkEnd w:id="1478"/>
      <w:bookmarkEnd w:id="1479"/>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5.7.1</w:t>
      </w:r>
      <w:r>
        <w:rPr>
          <w:rFonts w:ascii="宋体" w:hAnsi="宋体"/>
          <w:szCs w:val="21"/>
          <w:highlight w:val="none"/>
        </w:rPr>
        <w:t xml:space="preserve"> 勘察人应按合同约定履行安全职责，执行发包人有关安全工作的指示，并在专用合同条</w:t>
      </w:r>
      <w:bookmarkStart w:id="1480" w:name="_Toc247514110"/>
      <w:bookmarkStart w:id="1481" w:name="_Toc300835113"/>
      <w:bookmarkStart w:id="1482" w:name="_Toc247527711"/>
      <w:r>
        <w:rPr>
          <w:rFonts w:ascii="宋体" w:hAnsi="宋体"/>
          <w:szCs w:val="21"/>
          <w:highlight w:val="none"/>
        </w:rPr>
        <w:t>款约定的期限内，按合同约</w:t>
      </w:r>
      <w:bookmarkEnd w:id="1480"/>
      <w:bookmarkEnd w:id="1481"/>
      <w:bookmarkEnd w:id="1482"/>
      <w:r>
        <w:rPr>
          <w:rFonts w:ascii="宋体" w:hAnsi="宋体"/>
          <w:szCs w:val="21"/>
          <w:highlight w:val="none"/>
        </w:rPr>
        <w:t>定的安全工作内容，编制安全措施计划报送发包人批准。</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5.7.2</w:t>
      </w:r>
      <w:r>
        <w:rPr>
          <w:rFonts w:ascii="宋体" w:hAnsi="宋体"/>
          <w:szCs w:val="21"/>
          <w:highlight w:val="none"/>
        </w:rPr>
        <w:t xml:space="preserve"> 勘察人应当严格执行操作规程，采取有效措施保证道路、桥梁、交通安全设施、</w:t>
      </w:r>
      <w:r>
        <w:rPr>
          <w:rFonts w:ascii="宋体" w:hAnsi="宋体"/>
          <w:szCs w:val="22"/>
          <w:highlight w:val="none"/>
        </w:rPr>
        <w:t>建构筑物、地下管线、架空线和其他周边设施等安全正常地运行。</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5.7.3</w:t>
      </w:r>
      <w:r>
        <w:rPr>
          <w:rFonts w:ascii="宋体" w:hAnsi="宋体"/>
          <w:szCs w:val="21"/>
          <w:highlight w:val="none"/>
        </w:rPr>
        <w:t xml:space="preserve"> 勘察人应当按照法律、法规和工程建设强制性标准进行勘察，加强勘察作业安全管理，特别加强易燃、易爆材料、火工器材、有毒与腐蚀性材料和其他危险品的管理。</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5.7.4</w:t>
      </w:r>
      <w:r>
        <w:rPr>
          <w:rFonts w:ascii="宋体" w:hAnsi="宋体"/>
          <w:szCs w:val="21"/>
          <w:highlight w:val="none"/>
        </w:rPr>
        <w:t xml:space="preserve"> 勘察人应严格按照国家安全标准制定施工安全操作规程，配备必要的安全生产和劳动保护设施，加强对勘察人人员的安全教育，并且发放安全工作手册和劳动保护用具。</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5.7.</w:t>
      </w:r>
      <w:r>
        <w:rPr>
          <w:rFonts w:ascii="宋体" w:hAnsi="宋体"/>
          <w:szCs w:val="21"/>
          <w:highlight w:val="none"/>
        </w:rPr>
        <w:t>5勘察人应按发包人的指示制定应对灾害的紧急预案，报送发包人批准。勘察人还应按预案做好安全检查，配置必要的救助物资和器材，切实保护好有关人员的人身和财产安全。</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5.7.6</w:t>
      </w:r>
      <w:r>
        <w:rPr>
          <w:rFonts w:ascii="宋体" w:hAnsi="宋体"/>
          <w:szCs w:val="21"/>
          <w:highlight w:val="none"/>
        </w:rPr>
        <w:t xml:space="preserve"> 勘察人应对其履行合同所雇佣的全部人员，包括分包人人员的工伤事故承担责任，但由于发包人原因造成勘察人人员工伤事故的，应由发包人承担责任。</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5.7.7</w:t>
      </w:r>
      <w:r>
        <w:rPr>
          <w:rFonts w:ascii="宋体" w:hAnsi="宋体"/>
          <w:szCs w:val="21"/>
          <w:highlight w:val="none"/>
        </w:rPr>
        <w:t xml:space="preserve"> 由于勘察人原因在施工场地内及其毗邻地带造成的第三者人员伤亡和财产损失，由勘察人负责赔偿。</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83" w:name="_Toc492300877"/>
      <w:bookmarkStart w:id="1484" w:name="_Toc482188588"/>
      <w:r>
        <w:rPr>
          <w:rFonts w:ascii="宋体" w:hAnsi="宋体"/>
          <w:color w:val="000000"/>
          <w:sz w:val="28"/>
          <w:szCs w:val="20"/>
          <w:highlight w:val="none"/>
        </w:rPr>
        <w:t xml:space="preserve">5.8 </w:t>
      </w:r>
      <w:r>
        <w:rPr>
          <w:rFonts w:hint="eastAsia" w:ascii="宋体" w:hAnsi="宋体"/>
          <w:color w:val="000000"/>
          <w:sz w:val="28"/>
          <w:szCs w:val="20"/>
          <w:highlight w:val="none"/>
        </w:rPr>
        <w:t>环境保护要求</w:t>
      </w:r>
      <w:bookmarkEnd w:id="1483"/>
      <w:bookmarkEnd w:id="1484"/>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5.8.1</w:t>
      </w:r>
      <w:r>
        <w:rPr>
          <w:rFonts w:ascii="宋体" w:hAnsi="宋体"/>
          <w:szCs w:val="21"/>
          <w:highlight w:val="none"/>
        </w:rPr>
        <w:t xml:space="preserve"> 勘察人在履行合同过程中，应遵守有关环境保护的法律，履行合同约定的环境保护义务，并对违</w:t>
      </w:r>
      <w:bookmarkStart w:id="1485" w:name="_Toc247527713"/>
      <w:bookmarkStart w:id="1486" w:name="_Toc247514112"/>
      <w:bookmarkStart w:id="1487" w:name="_Toc300835115"/>
      <w:r>
        <w:rPr>
          <w:rFonts w:ascii="宋体" w:hAnsi="宋体"/>
          <w:szCs w:val="21"/>
          <w:highlight w:val="none"/>
        </w:rPr>
        <w:t>反法律和合同约定</w:t>
      </w:r>
      <w:bookmarkEnd w:id="1485"/>
      <w:bookmarkEnd w:id="1486"/>
      <w:bookmarkEnd w:id="1487"/>
      <w:r>
        <w:rPr>
          <w:rFonts w:ascii="宋体" w:hAnsi="宋体"/>
          <w:szCs w:val="21"/>
          <w:highlight w:val="none"/>
        </w:rPr>
        <w:t>义务所造成的环境破坏、人身伤害和财产损失负责。</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5.8.2</w:t>
      </w:r>
      <w:r>
        <w:rPr>
          <w:rFonts w:ascii="宋体" w:hAnsi="宋体"/>
          <w:szCs w:val="21"/>
          <w:highlight w:val="none"/>
        </w:rPr>
        <w:t xml:space="preserve"> 勘察人应按合同约定的环保工作内容，编制环保措施计划，报送发包人批准。</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5.8.3 </w:t>
      </w:r>
      <w:r>
        <w:rPr>
          <w:rFonts w:ascii="宋体" w:hAnsi="宋体"/>
          <w:szCs w:val="21"/>
          <w:highlight w:val="none"/>
        </w:rPr>
        <w:t>勘察人应确保勘探过程中产生的气体排放物、</w:t>
      </w:r>
      <w:r>
        <w:rPr>
          <w:rFonts w:ascii="宋体" w:hAnsi="宋体"/>
          <w:szCs w:val="22"/>
          <w:highlight w:val="none"/>
        </w:rPr>
        <w:t>粉尘、噪声、</w:t>
      </w:r>
      <w:r>
        <w:rPr>
          <w:rFonts w:ascii="宋体" w:hAnsi="宋体"/>
          <w:szCs w:val="21"/>
          <w:highlight w:val="none"/>
        </w:rPr>
        <w:t>地面排水及排污等，符合法律规定和发包人要求。</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88" w:name="_Toc482188589"/>
      <w:bookmarkStart w:id="1489" w:name="_Toc492300878"/>
      <w:r>
        <w:rPr>
          <w:rFonts w:ascii="宋体" w:hAnsi="宋体"/>
          <w:color w:val="000000"/>
          <w:sz w:val="28"/>
          <w:szCs w:val="20"/>
          <w:highlight w:val="none"/>
        </w:rPr>
        <w:t xml:space="preserve">5.9 </w:t>
      </w:r>
      <w:r>
        <w:rPr>
          <w:rFonts w:hint="eastAsia" w:ascii="宋体" w:hAnsi="宋体"/>
          <w:color w:val="000000"/>
          <w:sz w:val="28"/>
          <w:szCs w:val="20"/>
          <w:highlight w:val="none"/>
        </w:rPr>
        <w:t>事故处理要求</w:t>
      </w:r>
      <w:bookmarkEnd w:id="1488"/>
      <w:bookmarkEnd w:id="1489"/>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5.9.1 合同履行过程中发生事故的，勘察人应立即通知发包人。</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5.9.2 发包人和勘察人应立即组织人员和设备进行紧急抢救</w:t>
      </w:r>
      <w:bookmarkStart w:id="1490" w:name="_Toc247527714"/>
      <w:bookmarkStart w:id="1491" w:name="_Toc300835116"/>
      <w:bookmarkStart w:id="1492" w:name="_Toc247514113"/>
      <w:r>
        <w:rPr>
          <w:rFonts w:ascii="宋体" w:hAnsi="宋体"/>
          <w:szCs w:val="21"/>
          <w:highlight w:val="none"/>
        </w:rPr>
        <w:t>和抢修，减少人员</w:t>
      </w:r>
      <w:bookmarkEnd w:id="1490"/>
      <w:bookmarkEnd w:id="1491"/>
      <w:bookmarkEnd w:id="1492"/>
      <w:r>
        <w:rPr>
          <w:rFonts w:ascii="宋体" w:hAnsi="宋体"/>
          <w:szCs w:val="21"/>
          <w:highlight w:val="none"/>
        </w:rPr>
        <w:t>伤亡和财产损失，防止事故扩大，并保护事故现场。需要移动现场物品时，应作出标记和书面记录，妥善保管有关证据。发包人和勘察人应按国家有关规定，及时如实地向有关部门报告事故发生的情况，以及正在采取的紧急措施等。</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493" w:name="_Toc492300879"/>
      <w:bookmarkStart w:id="1494" w:name="_Toc482188590"/>
      <w:r>
        <w:rPr>
          <w:rFonts w:ascii="宋体" w:hAnsi="宋体"/>
          <w:color w:val="000000"/>
          <w:sz w:val="28"/>
          <w:szCs w:val="20"/>
          <w:highlight w:val="none"/>
        </w:rPr>
        <w:t xml:space="preserve">5.10 </w:t>
      </w:r>
      <w:r>
        <w:rPr>
          <w:rFonts w:hint="eastAsia" w:ascii="宋体" w:hAnsi="宋体"/>
          <w:color w:val="000000"/>
          <w:sz w:val="28"/>
          <w:szCs w:val="20"/>
          <w:highlight w:val="none"/>
        </w:rPr>
        <w:t>勘察文件要求</w:t>
      </w:r>
      <w:bookmarkEnd w:id="1493"/>
      <w:bookmarkEnd w:id="1494"/>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5.10.1 勘察文件的编制应符合法律法规、规范标准的强制性规定和发包人要求，相关勘察依据应完整、准确、可靠，勘察方案论证充分，计算成果规范可靠，并能够实施。</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5.10.2 勘察文件的深度应满足本合同相应勘察阶段的规定要求，满足发包人的下步工作需要，并应符合国家和行业现行规定。</w:t>
      </w:r>
    </w:p>
    <w:p>
      <w:pPr>
        <w:keepNext/>
        <w:keepLines/>
        <w:tabs>
          <w:tab w:val="left" w:pos="8931"/>
        </w:tabs>
        <w:spacing w:before="260" w:after="260" w:line="413" w:lineRule="auto"/>
        <w:ind w:firstLine="108"/>
        <w:outlineLvl w:val="2"/>
        <w:rPr>
          <w:rFonts w:ascii="宋体" w:hAnsi="宋体"/>
          <w:sz w:val="32"/>
          <w:szCs w:val="20"/>
          <w:highlight w:val="none"/>
        </w:rPr>
      </w:pPr>
      <w:bookmarkStart w:id="1495" w:name="_Toc8742"/>
      <w:bookmarkStart w:id="1496" w:name="_Toc482188591"/>
      <w:bookmarkStart w:id="1497" w:name="_Toc6156"/>
      <w:bookmarkStart w:id="1498" w:name="_Toc75857078"/>
      <w:bookmarkStart w:id="1499" w:name="_Toc5297"/>
      <w:bookmarkStart w:id="1500" w:name="_Toc6485"/>
      <w:bookmarkStart w:id="1501" w:name="_Toc492300880"/>
      <w:bookmarkStart w:id="1502" w:name="_Toc32352"/>
      <w:r>
        <w:rPr>
          <w:rFonts w:ascii="宋体" w:hAnsi="宋体"/>
          <w:sz w:val="32"/>
          <w:szCs w:val="20"/>
          <w:highlight w:val="none"/>
        </w:rPr>
        <w:t>6. 开始勘察和完成勘察</w:t>
      </w:r>
      <w:bookmarkEnd w:id="1495"/>
      <w:bookmarkEnd w:id="1496"/>
      <w:bookmarkEnd w:id="1497"/>
      <w:bookmarkEnd w:id="1498"/>
      <w:bookmarkEnd w:id="1499"/>
      <w:bookmarkEnd w:id="1500"/>
      <w:bookmarkEnd w:id="1501"/>
      <w:bookmarkEnd w:id="1502"/>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03" w:name="_Toc492300881"/>
      <w:bookmarkStart w:id="1504" w:name="_Toc482188592"/>
      <w:r>
        <w:rPr>
          <w:rFonts w:ascii="宋体" w:hAnsi="宋体"/>
          <w:color w:val="000000"/>
          <w:sz w:val="28"/>
          <w:szCs w:val="20"/>
          <w:highlight w:val="none"/>
        </w:rPr>
        <w:t xml:space="preserve">6.1 </w:t>
      </w:r>
      <w:r>
        <w:rPr>
          <w:rFonts w:hint="eastAsia" w:ascii="宋体" w:hAnsi="宋体"/>
          <w:color w:val="000000"/>
          <w:sz w:val="28"/>
          <w:szCs w:val="20"/>
          <w:highlight w:val="none"/>
        </w:rPr>
        <w:t>开始勘察</w:t>
      </w:r>
      <w:bookmarkEnd w:id="1503"/>
      <w:bookmarkEnd w:id="1504"/>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6.1.1符合专用合同条款约定的开始勘察条件的，发包人应提前7</w:t>
      </w:r>
      <w:bookmarkStart w:id="1505" w:name="_Toc247514114"/>
      <w:bookmarkStart w:id="1506" w:name="_Toc300835117"/>
      <w:bookmarkStart w:id="1507" w:name="_Toc247527715"/>
      <w:bookmarkStart w:id="1508" w:name="_Toc184635108"/>
      <w:r>
        <w:rPr>
          <w:rFonts w:ascii="宋体" w:hAnsi="宋体"/>
          <w:szCs w:val="21"/>
          <w:highlight w:val="none"/>
        </w:rPr>
        <w:t>天向勘察人发出开始</w:t>
      </w:r>
      <w:bookmarkEnd w:id="1505"/>
      <w:bookmarkEnd w:id="1506"/>
      <w:bookmarkEnd w:id="1507"/>
      <w:bookmarkEnd w:id="1508"/>
      <w:r>
        <w:rPr>
          <w:rFonts w:ascii="宋体" w:hAnsi="宋体"/>
          <w:szCs w:val="21"/>
          <w:highlight w:val="none"/>
        </w:rPr>
        <w:t>勘察通知。</w:t>
      </w:r>
      <w:bookmarkStart w:id="1509" w:name="_Toc247514115"/>
      <w:bookmarkStart w:id="1510" w:name="_Toc247527716"/>
      <w:bookmarkStart w:id="1511" w:name="_Toc300835118"/>
      <w:bookmarkStart w:id="1512" w:name="_Toc247514117"/>
      <w:bookmarkStart w:id="1513" w:name="_Toc300835120"/>
      <w:bookmarkStart w:id="1514" w:name="_Toc247527718"/>
      <w:r>
        <w:rPr>
          <w:rFonts w:ascii="宋体" w:hAnsi="宋体"/>
          <w:szCs w:val="21"/>
          <w:highlight w:val="none"/>
        </w:rPr>
        <w:t>勘察服务期限自开始</w:t>
      </w:r>
      <w:bookmarkEnd w:id="1509"/>
      <w:bookmarkEnd w:id="1510"/>
      <w:bookmarkEnd w:id="1511"/>
      <w:r>
        <w:rPr>
          <w:rFonts w:ascii="宋体" w:hAnsi="宋体"/>
          <w:szCs w:val="21"/>
          <w:highlight w:val="none"/>
        </w:rPr>
        <w:t>勘察通知中载明的开始勘察日期起计算。</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6.1.2除专用合同条款另有约定外，因发包人原因造成合同签订之日起90天内未能发出开始勘察通知的，勘察人有权提出价格调整要求，或者解除合同。发包人应当承担由此增加的费用和（或）周期延误。</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15" w:name="_Toc482188593"/>
      <w:bookmarkStart w:id="1516" w:name="_Toc492300882"/>
      <w:r>
        <w:rPr>
          <w:rFonts w:ascii="宋体" w:hAnsi="宋体"/>
          <w:color w:val="000000"/>
          <w:sz w:val="28"/>
          <w:szCs w:val="20"/>
          <w:highlight w:val="none"/>
        </w:rPr>
        <w:t xml:space="preserve">6.2 </w:t>
      </w:r>
      <w:r>
        <w:rPr>
          <w:rFonts w:hint="eastAsia" w:ascii="宋体" w:hAnsi="宋体"/>
          <w:color w:val="000000"/>
          <w:sz w:val="28"/>
          <w:szCs w:val="20"/>
          <w:highlight w:val="none"/>
        </w:rPr>
        <w:t>发包人引起的周期延误</w:t>
      </w:r>
      <w:bookmarkEnd w:id="1515"/>
      <w:bookmarkEnd w:id="1516"/>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在履行合同过程中，由于发包人的下列原因造成勘察服务期限延误的，发包人应当延长勘察服务期限并增加勘察费用，具体方法</w:t>
      </w:r>
      <w:r>
        <w:rPr>
          <w:rFonts w:ascii="宋体" w:hAnsi="宋体"/>
          <w:kern w:val="0"/>
          <w:szCs w:val="21"/>
          <w:highlight w:val="none"/>
        </w:rPr>
        <w:t>在专用合同条款中约定</w:t>
      </w:r>
      <w:r>
        <w:rPr>
          <w:rFonts w:ascii="宋体" w:hAnsi="宋体"/>
          <w:szCs w:val="21"/>
          <w:highlight w:val="none"/>
        </w:rPr>
        <w:t>。</w:t>
      </w:r>
      <w:bookmarkEnd w:id="1512"/>
      <w:bookmarkEnd w:id="1513"/>
      <w:bookmarkEnd w:id="1514"/>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（1）合同变更；</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（2）未按合同约定期限及时答复勘察事项；</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 xml:space="preserve">（3）因发包人原因导致的暂停勘察； </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（4）未按合同约定及时支付勘察费用；</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（5）发包人提供的基准资料错误；</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（6）未及时按照履行合同约定的相关义务；</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（7）未能按照合同约定期限对勘察文件进行审查；</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（8）发包人造成</w:t>
      </w:r>
      <w:r>
        <w:rPr>
          <w:rFonts w:ascii="宋体" w:hAnsi="宋体"/>
          <w:szCs w:val="21"/>
          <w:highlight w:val="none"/>
        </w:rPr>
        <w:t>周期延误的其他原因。</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17" w:name="_Toc482188594"/>
      <w:bookmarkStart w:id="1518" w:name="_Toc492300883"/>
      <w:r>
        <w:rPr>
          <w:rFonts w:ascii="宋体" w:hAnsi="宋体"/>
          <w:color w:val="000000"/>
          <w:sz w:val="28"/>
          <w:szCs w:val="20"/>
          <w:highlight w:val="none"/>
        </w:rPr>
        <w:t xml:space="preserve">6.3 </w:t>
      </w:r>
      <w:r>
        <w:rPr>
          <w:rFonts w:hint="eastAsia" w:ascii="宋体" w:hAnsi="宋体"/>
          <w:color w:val="000000"/>
          <w:sz w:val="28"/>
          <w:szCs w:val="20"/>
          <w:highlight w:val="none"/>
        </w:rPr>
        <w:t>非人为因素引起的周期延误</w:t>
      </w:r>
      <w:bookmarkEnd w:id="1517"/>
      <w:bookmarkEnd w:id="1518"/>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6.3.1 由于出现专用合同条款规定的异常恶劣气候条件、不利物质条件等因素导致周期延误的，勘察人有权要求发包人延长</w:t>
      </w:r>
      <w:bookmarkStart w:id="1519" w:name="_Toc247527719"/>
      <w:bookmarkStart w:id="1520" w:name="_Toc300835121"/>
      <w:bookmarkStart w:id="1521" w:name="_Toc247514118"/>
      <w:r>
        <w:rPr>
          <w:rFonts w:ascii="宋体" w:hAnsi="宋体"/>
          <w:szCs w:val="21"/>
          <w:highlight w:val="none"/>
        </w:rPr>
        <w:t>周期和（或）增加费用。</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6.3.2 勘察人发现地下文物或化石时，应按规定及时报告发包人和文物部门，并采取有效措施进行保护；勘察人有权要求发包人延长周期和（或）增加费用。</w:t>
      </w:r>
    </w:p>
    <w:bookmarkEnd w:id="1519"/>
    <w:bookmarkEnd w:id="1520"/>
    <w:bookmarkEnd w:id="1521"/>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22" w:name="_Toc492300884"/>
      <w:bookmarkStart w:id="1523" w:name="_Toc482188595"/>
      <w:r>
        <w:rPr>
          <w:rFonts w:ascii="宋体" w:hAnsi="宋体"/>
          <w:color w:val="000000"/>
          <w:sz w:val="28"/>
          <w:szCs w:val="20"/>
          <w:highlight w:val="none"/>
        </w:rPr>
        <w:t xml:space="preserve">6.4 </w:t>
      </w:r>
      <w:r>
        <w:rPr>
          <w:rFonts w:hint="eastAsia" w:ascii="宋体" w:hAnsi="宋体"/>
          <w:color w:val="000000"/>
          <w:sz w:val="28"/>
          <w:szCs w:val="20"/>
          <w:highlight w:val="none"/>
        </w:rPr>
        <w:t>勘察人引起的周期延误</w:t>
      </w:r>
      <w:bookmarkEnd w:id="1522"/>
      <w:bookmarkEnd w:id="1523"/>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由于勘察人原因造成周期延误，勘察人应支付逾期违约金。逾期违约金的计算方法和最高限额在专用合同条款中约定。</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24" w:name="_Toc482188596"/>
      <w:bookmarkStart w:id="1525" w:name="_Toc492300885"/>
      <w:bookmarkStart w:id="1526" w:name="_Toc474834020"/>
      <w:r>
        <w:rPr>
          <w:rFonts w:ascii="宋体" w:hAnsi="宋体"/>
          <w:color w:val="000000"/>
          <w:sz w:val="28"/>
          <w:szCs w:val="20"/>
          <w:highlight w:val="none"/>
        </w:rPr>
        <w:t xml:space="preserve">6.5 </w:t>
      </w:r>
      <w:r>
        <w:rPr>
          <w:rFonts w:hint="eastAsia" w:ascii="宋体" w:hAnsi="宋体"/>
          <w:color w:val="000000"/>
          <w:sz w:val="28"/>
          <w:szCs w:val="20"/>
          <w:highlight w:val="none"/>
        </w:rPr>
        <w:t>第三人引起的周期延误</w:t>
      </w:r>
      <w:bookmarkEnd w:id="1524"/>
      <w:bookmarkEnd w:id="1525"/>
      <w:bookmarkEnd w:id="1526"/>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由于行政管理部门审查或其他第三人原因造成费用增加和（或）周期延误的，由发包人承担。</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27" w:name="_Toc492300886"/>
      <w:bookmarkStart w:id="1528" w:name="_Toc482188597"/>
      <w:r>
        <w:rPr>
          <w:rFonts w:ascii="宋体" w:hAnsi="宋体"/>
          <w:color w:val="000000"/>
          <w:sz w:val="28"/>
          <w:szCs w:val="20"/>
          <w:highlight w:val="none"/>
        </w:rPr>
        <w:t xml:space="preserve">6.6 </w:t>
      </w:r>
      <w:r>
        <w:rPr>
          <w:rFonts w:hint="eastAsia" w:ascii="宋体" w:hAnsi="宋体"/>
          <w:color w:val="000000"/>
          <w:sz w:val="28"/>
          <w:szCs w:val="20"/>
          <w:highlight w:val="none"/>
        </w:rPr>
        <w:t>完成勘察</w:t>
      </w:r>
      <w:bookmarkEnd w:id="1527"/>
      <w:bookmarkEnd w:id="1528"/>
      <w:r>
        <w:rPr>
          <w:rFonts w:ascii="宋体" w:hAnsi="宋体"/>
          <w:color w:val="000000"/>
          <w:sz w:val="28"/>
          <w:szCs w:val="20"/>
          <w:highlight w:val="none"/>
        </w:rPr>
        <w:t xml:space="preserve"> </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6.6.1 勘察人完成勘察服务之后，应当根据法律、规范标准、合同约定和发包人要</w:t>
      </w:r>
      <w:bookmarkStart w:id="1529" w:name="_Toc184635115"/>
      <w:bookmarkStart w:id="1530" w:name="_Toc300835157"/>
      <w:bookmarkStart w:id="1531" w:name="_Toc247514153"/>
      <w:bookmarkStart w:id="1532" w:name="_Toc247527754"/>
      <w:r>
        <w:rPr>
          <w:rFonts w:ascii="宋体" w:hAnsi="宋体"/>
          <w:szCs w:val="22"/>
          <w:highlight w:val="none"/>
        </w:rPr>
        <w:t>求编制勘察文件。</w:t>
      </w:r>
      <w:bookmarkEnd w:id="1529"/>
      <w:bookmarkEnd w:id="1530"/>
      <w:bookmarkEnd w:id="1531"/>
      <w:bookmarkEnd w:id="1532"/>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6.6</w:t>
      </w:r>
      <w:bookmarkStart w:id="1533" w:name="_Toc300835158"/>
      <w:bookmarkStart w:id="1534" w:name="_Toc247514154"/>
      <w:bookmarkStart w:id="1535" w:name="_Toc247527755"/>
      <w:r>
        <w:rPr>
          <w:rFonts w:ascii="宋体" w:hAnsi="宋体"/>
          <w:szCs w:val="22"/>
          <w:highlight w:val="none"/>
        </w:rPr>
        <w:t>.2 勘察</w:t>
      </w:r>
      <w:bookmarkEnd w:id="1533"/>
      <w:r>
        <w:rPr>
          <w:rFonts w:ascii="宋体" w:hAnsi="宋体"/>
          <w:szCs w:val="22"/>
          <w:highlight w:val="none"/>
        </w:rPr>
        <w:t>文件是工程勘察的最终成果和设计施工的重要依据，</w:t>
      </w:r>
      <w:r>
        <w:rPr>
          <w:rFonts w:ascii="宋体" w:hAnsi="宋体"/>
          <w:szCs w:val="21"/>
          <w:highlight w:val="none"/>
        </w:rPr>
        <w:t>应当根据本工程的勘察内容和不同阶段的勘察任务、目的和要求等进行编制。</w:t>
      </w:r>
      <w:r>
        <w:rPr>
          <w:rFonts w:ascii="宋体" w:hAnsi="宋体"/>
          <w:szCs w:val="22"/>
          <w:highlight w:val="none"/>
        </w:rPr>
        <w:t>勘察文件的内容和深度应当满足对应阶段的设计需求。</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6.6.3 除专用合同条款另有约定外，勘察文件包括纸质文件和电子文件两种形式，两者若有不一致时，应以纸质文件为准。纸质文件一式八份，应当加盖</w:t>
      </w:r>
      <w:bookmarkEnd w:id="1534"/>
      <w:bookmarkEnd w:id="1535"/>
      <w:r>
        <w:rPr>
          <w:rFonts w:ascii="宋体" w:hAnsi="宋体"/>
          <w:szCs w:val="22"/>
          <w:highlight w:val="none"/>
        </w:rPr>
        <w:t>单位章和项目负责人注册执业印章；电子文件中的文字为WORD格式、图形为CAD格式，并应使用光盘和U盘分别贮存。</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36" w:name="_Toc482188598"/>
      <w:bookmarkStart w:id="1537" w:name="_Toc492300887"/>
      <w:r>
        <w:rPr>
          <w:rFonts w:ascii="宋体" w:hAnsi="宋体"/>
          <w:color w:val="000000"/>
          <w:sz w:val="28"/>
          <w:szCs w:val="20"/>
          <w:highlight w:val="none"/>
        </w:rPr>
        <w:t xml:space="preserve">6.7 </w:t>
      </w:r>
      <w:r>
        <w:rPr>
          <w:rFonts w:hint="eastAsia" w:ascii="宋体" w:hAnsi="宋体"/>
          <w:color w:val="000000"/>
          <w:sz w:val="28"/>
          <w:szCs w:val="20"/>
          <w:highlight w:val="none"/>
        </w:rPr>
        <w:t>提前完成勘察</w:t>
      </w:r>
      <w:bookmarkEnd w:id="1536"/>
      <w:bookmarkEnd w:id="1537"/>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6.7.1 根据发包人要求或者基于专业能力判断，勘察人认为能够提前完成勘察的，可向发包人递交一份提前完成勘察建议书，包括实施方案、提前时间、勘察费用变动等内容。除专用合同条款另有约定之外，发包人接受建议书的，不因提前完成勘察而减少勘察费用；增加勘察费用的，所增费用由发包人承担。</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6.7.2 发包人要求提前完成勘察但勘察人认为无法实施的，应在收到发包人书面指示后7天内提出异议，说明不能提前完成的理由。发包人应在收到异议后7天内予以答复。任何情况下，发包人不得压缩合理的勘察服务期限。</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6.7.3 由于勘察人提前完成勘察而给发包人带来经济效益的，发包人可以在专用合同条款中约定勘察人因此获得的奖励内容。</w:t>
      </w:r>
    </w:p>
    <w:p>
      <w:pPr>
        <w:keepNext/>
        <w:keepLines/>
        <w:tabs>
          <w:tab w:val="left" w:pos="8931"/>
        </w:tabs>
        <w:spacing w:before="260" w:after="260" w:line="413" w:lineRule="auto"/>
        <w:ind w:firstLine="108"/>
        <w:outlineLvl w:val="2"/>
        <w:rPr>
          <w:rFonts w:ascii="宋体" w:hAnsi="宋体"/>
          <w:sz w:val="32"/>
          <w:szCs w:val="20"/>
          <w:highlight w:val="none"/>
        </w:rPr>
      </w:pPr>
      <w:bookmarkStart w:id="1538" w:name="_Toc23622"/>
      <w:bookmarkStart w:id="1539" w:name="_Toc75857079"/>
      <w:bookmarkStart w:id="1540" w:name="_Toc492300888"/>
      <w:bookmarkStart w:id="1541" w:name="_Toc5925"/>
      <w:bookmarkStart w:id="1542" w:name="_Toc31733"/>
      <w:bookmarkStart w:id="1543" w:name="_Toc12694"/>
      <w:bookmarkStart w:id="1544" w:name="_Toc482188599"/>
      <w:bookmarkStart w:id="1545" w:name="_Toc1691"/>
      <w:r>
        <w:rPr>
          <w:rFonts w:ascii="宋体" w:hAnsi="宋体"/>
          <w:sz w:val="32"/>
          <w:szCs w:val="20"/>
          <w:highlight w:val="none"/>
        </w:rPr>
        <w:t>7. 暂停勘察</w:t>
      </w:r>
      <w:bookmarkEnd w:id="1538"/>
      <w:bookmarkEnd w:id="1539"/>
      <w:bookmarkEnd w:id="1540"/>
      <w:bookmarkEnd w:id="1541"/>
      <w:bookmarkEnd w:id="1542"/>
      <w:bookmarkEnd w:id="1543"/>
      <w:bookmarkEnd w:id="1544"/>
      <w:bookmarkEnd w:id="1545"/>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46" w:name="_Toc467651003"/>
      <w:bookmarkStart w:id="1547" w:name="_Toc492300889"/>
      <w:bookmarkStart w:id="1548" w:name="_Toc482188600"/>
      <w:r>
        <w:rPr>
          <w:rFonts w:ascii="宋体" w:hAnsi="宋体"/>
          <w:color w:val="000000"/>
          <w:sz w:val="28"/>
          <w:szCs w:val="20"/>
          <w:highlight w:val="none"/>
        </w:rPr>
        <w:t xml:space="preserve">7.1 </w:t>
      </w:r>
      <w:bookmarkEnd w:id="1546"/>
      <w:r>
        <w:rPr>
          <w:rFonts w:hint="eastAsia" w:ascii="宋体" w:hAnsi="宋体"/>
          <w:color w:val="000000"/>
          <w:sz w:val="28"/>
          <w:szCs w:val="20"/>
          <w:highlight w:val="none"/>
        </w:rPr>
        <w:t>发包人原因暂停勘察</w:t>
      </w:r>
      <w:bookmarkEnd w:id="1547"/>
      <w:bookmarkEnd w:id="1548"/>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合同履行中发生下列情形之一的，勘察人可向发包人发出通知，要求发包人采取有效措施予以纠正。发包人收到勘察人通知后的28天内仍不履行合同义务时，勘察人有权暂停勘察并通知发包人；发包人应承担由此导致的费用增加和（或）周期延误。</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（1）发包人违约；</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（2）发包人确定暂停勘察；</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（3）合同约</w:t>
      </w:r>
      <w:r>
        <w:rPr>
          <w:rFonts w:ascii="宋体" w:hAnsi="宋体"/>
          <w:szCs w:val="21"/>
          <w:highlight w:val="none"/>
        </w:rPr>
        <w:t>定由发包人承担责任的其他情形。</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49" w:name="_Toc467651004"/>
      <w:bookmarkStart w:id="1550" w:name="_Toc482188601"/>
      <w:bookmarkStart w:id="1551" w:name="_Toc492300890"/>
      <w:r>
        <w:rPr>
          <w:rFonts w:ascii="宋体" w:hAnsi="宋体"/>
          <w:color w:val="000000"/>
          <w:sz w:val="28"/>
          <w:szCs w:val="20"/>
          <w:highlight w:val="none"/>
        </w:rPr>
        <w:t xml:space="preserve">7.2 </w:t>
      </w:r>
      <w:r>
        <w:rPr>
          <w:rFonts w:hint="eastAsia" w:ascii="宋体" w:hAnsi="宋体"/>
          <w:color w:val="000000"/>
          <w:sz w:val="28"/>
          <w:szCs w:val="20"/>
          <w:highlight w:val="none"/>
        </w:rPr>
        <w:t>勘察人原因暂停</w:t>
      </w:r>
      <w:bookmarkEnd w:id="1549"/>
      <w:r>
        <w:rPr>
          <w:rFonts w:hint="eastAsia" w:ascii="宋体" w:hAnsi="宋体"/>
          <w:color w:val="000000"/>
          <w:sz w:val="28"/>
          <w:szCs w:val="20"/>
          <w:highlight w:val="none"/>
        </w:rPr>
        <w:t>勘察</w:t>
      </w:r>
      <w:bookmarkEnd w:id="1550"/>
      <w:bookmarkEnd w:id="1551"/>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合同履行中发生下列情形之一的，发包人可向勘察人发出通知</w:t>
      </w:r>
      <w:r>
        <w:rPr>
          <w:rFonts w:ascii="宋体" w:hAnsi="宋体"/>
          <w:szCs w:val="21"/>
          <w:highlight w:val="none"/>
        </w:rPr>
        <w:t>暂停勘察，由此造成费用的增加和（或）周期延误由勘察人承担：</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（1）勘察人违约；</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（2）勘察人擅自暂停勘察；</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（3）合同约</w:t>
      </w:r>
      <w:r>
        <w:rPr>
          <w:rFonts w:ascii="宋体" w:hAnsi="宋体"/>
          <w:szCs w:val="21"/>
          <w:highlight w:val="none"/>
        </w:rPr>
        <w:t>定由勘察人承担责任的其他情形。</w:t>
      </w:r>
      <w:bookmarkStart w:id="1552" w:name="_Toc247514127"/>
      <w:bookmarkStart w:id="1553" w:name="_Toc247527728"/>
      <w:bookmarkStart w:id="1554" w:name="_Toc184635110"/>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55" w:name="_Toc482188602"/>
      <w:bookmarkStart w:id="1556" w:name="_Toc492300891"/>
      <w:r>
        <w:rPr>
          <w:rFonts w:ascii="宋体" w:hAnsi="宋体"/>
          <w:color w:val="000000"/>
          <w:sz w:val="28"/>
          <w:szCs w:val="20"/>
          <w:highlight w:val="none"/>
        </w:rPr>
        <w:t xml:space="preserve">7.3 </w:t>
      </w:r>
      <w:r>
        <w:rPr>
          <w:rFonts w:hint="eastAsia" w:ascii="宋体" w:hAnsi="宋体"/>
          <w:color w:val="000000"/>
          <w:sz w:val="28"/>
          <w:szCs w:val="20"/>
          <w:highlight w:val="none"/>
        </w:rPr>
        <w:t>暂停期间的文件照管</w:t>
      </w:r>
      <w:bookmarkEnd w:id="1555"/>
      <w:bookmarkEnd w:id="1556"/>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不论由于何种原因引起暂停勘察的，暂停期间勘察人应负责妥善保护已完部分的勘察文件，由此</w:t>
      </w:r>
      <w:bookmarkStart w:id="1557" w:name="_Toc300835128"/>
      <w:r>
        <w:rPr>
          <w:rFonts w:ascii="宋体" w:hAnsi="宋体"/>
          <w:szCs w:val="21"/>
          <w:highlight w:val="none"/>
        </w:rPr>
        <w:t>增加的费用由责任方承担。</w:t>
      </w:r>
    </w:p>
    <w:bookmarkEnd w:id="1557"/>
    <w:p>
      <w:pPr>
        <w:keepNext/>
        <w:keepLines/>
        <w:tabs>
          <w:tab w:val="left" w:pos="8931"/>
        </w:tabs>
        <w:spacing w:before="260" w:after="260" w:line="413" w:lineRule="auto"/>
        <w:ind w:firstLine="108"/>
        <w:outlineLvl w:val="2"/>
        <w:rPr>
          <w:rFonts w:ascii="宋体" w:hAnsi="宋体"/>
          <w:sz w:val="32"/>
          <w:szCs w:val="20"/>
          <w:highlight w:val="none"/>
        </w:rPr>
      </w:pPr>
      <w:bookmarkStart w:id="1558" w:name="_Toc1301"/>
      <w:bookmarkStart w:id="1559" w:name="_Toc29961"/>
      <w:bookmarkStart w:id="1560" w:name="_Toc1704"/>
      <w:bookmarkStart w:id="1561" w:name="_Toc2450"/>
      <w:bookmarkStart w:id="1562" w:name="_Toc492300892"/>
      <w:bookmarkStart w:id="1563" w:name="_Toc482188603"/>
      <w:bookmarkStart w:id="1564" w:name="_Toc1386"/>
      <w:bookmarkStart w:id="1565" w:name="_Toc75857080"/>
      <w:r>
        <w:rPr>
          <w:rFonts w:ascii="宋体" w:hAnsi="宋体"/>
          <w:sz w:val="32"/>
          <w:szCs w:val="20"/>
          <w:highlight w:val="none"/>
        </w:rPr>
        <w:t>8. 勘察文件</w:t>
      </w:r>
      <w:bookmarkEnd w:id="1558"/>
      <w:bookmarkEnd w:id="1559"/>
      <w:bookmarkEnd w:id="1560"/>
      <w:bookmarkEnd w:id="1561"/>
      <w:bookmarkEnd w:id="1562"/>
      <w:bookmarkEnd w:id="1563"/>
      <w:bookmarkEnd w:id="1564"/>
      <w:bookmarkEnd w:id="1565"/>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66" w:name="_Toc492300893"/>
      <w:bookmarkStart w:id="1567" w:name="_Toc482188604"/>
      <w:r>
        <w:rPr>
          <w:rFonts w:ascii="宋体" w:hAnsi="宋体"/>
          <w:color w:val="000000"/>
          <w:sz w:val="28"/>
          <w:szCs w:val="20"/>
          <w:highlight w:val="none"/>
        </w:rPr>
        <w:t xml:space="preserve">8.1 </w:t>
      </w:r>
      <w:r>
        <w:rPr>
          <w:rFonts w:hint="eastAsia" w:ascii="宋体" w:hAnsi="宋体"/>
          <w:color w:val="000000"/>
          <w:sz w:val="28"/>
          <w:szCs w:val="20"/>
          <w:highlight w:val="none"/>
        </w:rPr>
        <w:t>勘察文件接收</w:t>
      </w:r>
      <w:bookmarkEnd w:id="1566"/>
      <w:bookmarkEnd w:id="1567"/>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8.1.1 发包人应当及时接收勘察人提交的勘察文件。如无正当理由拒收的，视为发包人已经接收勘察文件。</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8.1.2 发包人接收勘察文件时，应向勘察人出具文件签收凭证，凭证内容包括文件名称、文件内容、文件形式、份数、提交和接收日期、提交人与接收人的亲笔签名等。</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8.1.3 勘察文件提交的份数、内容、纸幅、装订格式、电子文件等要求，</w:t>
      </w:r>
      <w:r>
        <w:rPr>
          <w:rFonts w:ascii="宋体" w:hAnsi="宋体"/>
          <w:kern w:val="0"/>
          <w:szCs w:val="21"/>
          <w:highlight w:val="none"/>
        </w:rPr>
        <w:t>在专用合同条款中约定</w:t>
      </w:r>
      <w:r>
        <w:rPr>
          <w:rFonts w:ascii="宋体" w:hAnsi="宋体"/>
          <w:szCs w:val="22"/>
          <w:highlight w:val="none"/>
        </w:rPr>
        <w:t>。</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68" w:name="_Toc492300894"/>
      <w:bookmarkStart w:id="1569" w:name="_Toc482188605"/>
      <w:r>
        <w:rPr>
          <w:rFonts w:ascii="宋体" w:hAnsi="宋体"/>
          <w:color w:val="000000"/>
          <w:sz w:val="28"/>
          <w:szCs w:val="20"/>
          <w:highlight w:val="none"/>
        </w:rPr>
        <w:t xml:space="preserve">8.2 </w:t>
      </w:r>
      <w:r>
        <w:rPr>
          <w:rFonts w:hint="eastAsia" w:ascii="宋体" w:hAnsi="宋体"/>
          <w:color w:val="000000"/>
          <w:sz w:val="28"/>
          <w:szCs w:val="20"/>
          <w:highlight w:val="none"/>
        </w:rPr>
        <w:t>发包人审查勘察文件</w:t>
      </w:r>
      <w:bookmarkEnd w:id="1568"/>
      <w:bookmarkEnd w:id="1569"/>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8.2.1 发包人接收勘察文件之后，可以自行或者组织专家会进行审查，勘察人应当给予配合。审查标准应当符合法律、规范标准、合同约定和发包人要求等；审查的具体范围、明细内容和费用分担，</w:t>
      </w:r>
      <w:r>
        <w:rPr>
          <w:rFonts w:ascii="宋体" w:hAnsi="宋体"/>
          <w:kern w:val="0"/>
          <w:szCs w:val="21"/>
          <w:highlight w:val="none"/>
        </w:rPr>
        <w:t>在专用合同条款中约定</w:t>
      </w:r>
      <w:r>
        <w:rPr>
          <w:rFonts w:ascii="宋体" w:hAnsi="宋体"/>
          <w:szCs w:val="22"/>
          <w:highlight w:val="none"/>
        </w:rPr>
        <w:t>。</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8.2.2 除专用合同条款另有约定外，发包人对于勘察文件的审查期限，自文件接收之日起不应超过14天。发包人逾期未做出审查结论且未提出异议的，视为勘察人的勘察文件已经通过发包人审查。</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8.2.3 发包人审查后不同意勘察文件的，应以书面形式通知勘察人，说明审查不通过的理由及其具体内容。勘察人应根据发包人的审查意见修改完善勘察文件，并重新报送发包人审查，审查期限重新起算。</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70" w:name="_Toc482188606"/>
      <w:bookmarkStart w:id="1571" w:name="_Toc492300895"/>
      <w:r>
        <w:rPr>
          <w:rFonts w:ascii="宋体" w:hAnsi="宋体"/>
          <w:color w:val="000000"/>
          <w:sz w:val="28"/>
          <w:szCs w:val="20"/>
          <w:highlight w:val="none"/>
        </w:rPr>
        <w:t xml:space="preserve">8.3 </w:t>
      </w:r>
      <w:r>
        <w:rPr>
          <w:rFonts w:hint="eastAsia" w:ascii="宋体" w:hAnsi="宋体"/>
          <w:color w:val="000000"/>
          <w:sz w:val="28"/>
          <w:szCs w:val="20"/>
          <w:highlight w:val="none"/>
        </w:rPr>
        <w:t>审查机构审查勘察文件</w:t>
      </w:r>
      <w:bookmarkEnd w:id="1570"/>
      <w:bookmarkEnd w:id="1571"/>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8.3.1 勘察文件需经政府有关部门审查或批准的，发包人应在审查同意后，按照</w:t>
      </w:r>
      <w:r>
        <w:rPr>
          <w:rFonts w:hint="eastAsia" w:ascii="宋体" w:hAnsi="宋体"/>
          <w:szCs w:val="22"/>
          <w:highlight w:val="none"/>
        </w:rPr>
        <w:t>有关</w:t>
      </w:r>
      <w:r>
        <w:rPr>
          <w:rFonts w:ascii="宋体" w:hAnsi="宋体"/>
          <w:szCs w:val="22"/>
          <w:highlight w:val="none"/>
        </w:rPr>
        <w:t>主管部门要求，将勘察文件和相关资料报送施工图审查机构进行审查。发包人的审查和施工图审查机构的审查不减免勘察人因为质量问题而应承担的勘察责任。</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8.3.2 对于施工图审查机构的审查意见，如不需要修改发包人要求的，应由勘察人按照审查意见修改完善勘察文件；如需修改发包人要求的，则由发包人重新修改和提出发包人要求，再由勘察人根据新的发包人要求修改完善勘察文件。</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8.3.3 由于自身原因造成勘察文件未通过审查机构审查的，勘察人应当承担违约责任，采取补救措施直至达到合同约定的质量标准，并自行承担由此导致的费用增加和（或）周期延误。</w:t>
      </w:r>
    </w:p>
    <w:p>
      <w:pPr>
        <w:keepNext/>
        <w:keepLines/>
        <w:tabs>
          <w:tab w:val="left" w:pos="8931"/>
        </w:tabs>
        <w:spacing w:before="260" w:after="260" w:line="413" w:lineRule="auto"/>
        <w:ind w:firstLine="108"/>
        <w:outlineLvl w:val="2"/>
        <w:rPr>
          <w:rFonts w:ascii="宋体" w:hAnsi="宋体"/>
          <w:sz w:val="32"/>
          <w:szCs w:val="20"/>
          <w:highlight w:val="none"/>
        </w:rPr>
      </w:pPr>
      <w:bookmarkStart w:id="1572" w:name="_Toc17577"/>
      <w:bookmarkStart w:id="1573" w:name="_Toc492300896"/>
      <w:bookmarkStart w:id="1574" w:name="_Toc30495"/>
      <w:bookmarkStart w:id="1575" w:name="_Toc75857081"/>
      <w:bookmarkStart w:id="1576" w:name="_Toc22342"/>
      <w:bookmarkStart w:id="1577" w:name="_Toc482188607"/>
      <w:bookmarkStart w:id="1578" w:name="_Toc1346"/>
      <w:bookmarkStart w:id="1579" w:name="_Toc17648"/>
      <w:r>
        <w:rPr>
          <w:rFonts w:ascii="宋体" w:hAnsi="宋体"/>
          <w:sz w:val="32"/>
          <w:szCs w:val="20"/>
          <w:highlight w:val="none"/>
        </w:rPr>
        <w:t>9. 勘察责任与保险</w:t>
      </w:r>
      <w:bookmarkEnd w:id="1572"/>
      <w:bookmarkEnd w:id="1573"/>
      <w:bookmarkEnd w:id="1574"/>
      <w:bookmarkEnd w:id="1575"/>
      <w:bookmarkEnd w:id="1576"/>
      <w:bookmarkEnd w:id="1577"/>
      <w:bookmarkEnd w:id="1578"/>
      <w:bookmarkEnd w:id="1579"/>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80" w:name="_Toc492300897"/>
      <w:bookmarkStart w:id="1581" w:name="_Toc482188608"/>
      <w:r>
        <w:rPr>
          <w:rFonts w:ascii="宋体" w:hAnsi="宋体"/>
          <w:color w:val="000000"/>
          <w:sz w:val="28"/>
          <w:szCs w:val="20"/>
          <w:highlight w:val="none"/>
        </w:rPr>
        <w:t xml:space="preserve">9.1 </w:t>
      </w:r>
      <w:r>
        <w:rPr>
          <w:rFonts w:hint="eastAsia" w:ascii="宋体" w:hAnsi="宋体"/>
          <w:color w:val="000000"/>
          <w:sz w:val="28"/>
          <w:szCs w:val="20"/>
          <w:highlight w:val="none"/>
        </w:rPr>
        <w:t>工作质量责任</w:t>
      </w:r>
      <w:bookmarkEnd w:id="1580"/>
      <w:bookmarkEnd w:id="1581"/>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9.1.1 </w:t>
      </w:r>
      <w:r>
        <w:rPr>
          <w:rFonts w:ascii="宋体" w:hAnsi="宋体"/>
          <w:szCs w:val="21"/>
          <w:highlight w:val="none"/>
        </w:rPr>
        <w:t>勘察工作质量应满足法律规定、规范标准、合同约定和发包人要求等。</w:t>
      </w:r>
      <w:bookmarkEnd w:id="1552"/>
      <w:bookmarkEnd w:id="1553"/>
      <w:bookmarkEnd w:id="1554"/>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9.1.2 勘察人应做好勘察服务的质量与技术管理工作，建立健全内部质量</w:t>
      </w:r>
      <w:bookmarkStart w:id="1582" w:name="_Toc300835131"/>
      <w:r>
        <w:rPr>
          <w:rFonts w:ascii="宋体" w:hAnsi="宋体"/>
          <w:szCs w:val="21"/>
          <w:highlight w:val="none"/>
        </w:rPr>
        <w:t>管理体系和质量责</w:t>
      </w:r>
      <w:bookmarkEnd w:id="1582"/>
      <w:r>
        <w:rPr>
          <w:rFonts w:ascii="宋体" w:hAnsi="宋体"/>
          <w:szCs w:val="21"/>
          <w:highlight w:val="none"/>
        </w:rPr>
        <w:t>任</w:t>
      </w:r>
      <w:bookmarkStart w:id="1583" w:name="_Toc300835132"/>
      <w:bookmarkStart w:id="1584" w:name="_Toc247527729"/>
      <w:bookmarkStart w:id="1585" w:name="_Toc247514128"/>
      <w:r>
        <w:rPr>
          <w:rFonts w:ascii="宋体" w:hAnsi="宋体"/>
          <w:szCs w:val="21"/>
          <w:highlight w:val="none"/>
        </w:rPr>
        <w:t>制度，加强勘察服务全过程的质量控制，建立完整的勘察文件的设计、复核、审核、会签和批准制度，明确各阶段的责任人。</w:t>
      </w:r>
      <w:bookmarkEnd w:id="1583"/>
      <w:bookmarkEnd w:id="1584"/>
      <w:bookmarkEnd w:id="1585"/>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9.1.3 勘察人应当强化现场作业质量和试验工作管理，保证原始记录和试验数据的可靠性、真实性和完整性，严禁离开现场进行追记、补记和修改记录。</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9.1.4 勘察人应按合同约定对勘察服务进行全过程的质量检查和检验，并作详细记录，编制勘察工作质量报表</w:t>
      </w:r>
      <w:bookmarkStart w:id="1586" w:name="_Toc247527731"/>
      <w:bookmarkStart w:id="1587" w:name="_Toc247514130"/>
      <w:bookmarkStart w:id="1588" w:name="_Toc300835133"/>
      <w:r>
        <w:rPr>
          <w:rFonts w:ascii="宋体" w:hAnsi="宋体"/>
          <w:szCs w:val="21"/>
          <w:highlight w:val="none"/>
        </w:rPr>
        <w:t>，报送发包人审查。</w:t>
      </w:r>
    </w:p>
    <w:bookmarkEnd w:id="1586"/>
    <w:bookmarkEnd w:id="1587"/>
    <w:bookmarkEnd w:id="1588"/>
    <w:p>
      <w:pPr>
        <w:tabs>
          <w:tab w:val="left" w:pos="8931"/>
        </w:tabs>
        <w:spacing w:line="360" w:lineRule="auto"/>
        <w:ind w:firstLine="420" w:firstLineChars="200"/>
        <w:rPr>
          <w:rFonts w:ascii="宋体" w:hAnsi="宋体"/>
          <w:szCs w:val="21"/>
          <w:highlight w:val="none"/>
        </w:rPr>
      </w:pPr>
      <w:r>
        <w:rPr>
          <w:rFonts w:ascii="宋体" w:hAnsi="宋体"/>
          <w:szCs w:val="21"/>
          <w:highlight w:val="none"/>
        </w:rPr>
        <w:t>9.1.5 发包人有权对勘察工作质量进行检查和审核。勘察人应为发包人的检查和检验提供方便，包括发包人到</w:t>
      </w:r>
      <w:bookmarkStart w:id="1589" w:name="_Toc247527732"/>
      <w:bookmarkStart w:id="1590" w:name="_Toc300835134"/>
      <w:bookmarkStart w:id="1591" w:name="_Toc247514131"/>
      <w:r>
        <w:rPr>
          <w:rFonts w:ascii="宋体" w:hAnsi="宋体"/>
          <w:szCs w:val="21"/>
          <w:highlight w:val="none"/>
        </w:rPr>
        <w:t>勘察场地、试验室或合同约定</w:t>
      </w:r>
      <w:bookmarkEnd w:id="1589"/>
      <w:bookmarkEnd w:id="1590"/>
      <w:bookmarkEnd w:id="1591"/>
      <w:r>
        <w:rPr>
          <w:rFonts w:ascii="宋体" w:hAnsi="宋体"/>
          <w:szCs w:val="21"/>
          <w:highlight w:val="none"/>
        </w:rPr>
        <w:t>的其他地方进行察看，查阅、审核勘察的原始记录和其他文件。发包人的检查和审核，不免除勘察人按合同约定应负的责任。</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92" w:name="_Toc492300898"/>
      <w:bookmarkStart w:id="1593" w:name="_Toc482188609"/>
      <w:r>
        <w:rPr>
          <w:rFonts w:ascii="宋体" w:hAnsi="宋体"/>
          <w:color w:val="000000"/>
          <w:sz w:val="28"/>
          <w:szCs w:val="20"/>
          <w:highlight w:val="none"/>
        </w:rPr>
        <w:t xml:space="preserve">9.2 </w:t>
      </w:r>
      <w:r>
        <w:rPr>
          <w:rFonts w:hint="eastAsia" w:ascii="宋体" w:hAnsi="宋体"/>
          <w:color w:val="000000"/>
          <w:sz w:val="28"/>
          <w:szCs w:val="20"/>
          <w:highlight w:val="none"/>
        </w:rPr>
        <w:t>勘察文件错误责任</w:t>
      </w:r>
      <w:bookmarkEnd w:id="1592"/>
      <w:bookmarkEnd w:id="1593"/>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9.2.1 勘察文件存在错误、遗漏、含混、矛盾、不充分之处或其他缺陷，无论勘察人是否通过了发包人审查或</w:t>
      </w:r>
      <w:bookmarkStart w:id="1594" w:name="_Toc300835084"/>
      <w:bookmarkStart w:id="1595" w:name="_Toc247514085"/>
      <w:bookmarkStart w:id="1596" w:name="_Toc247527686"/>
      <w:r>
        <w:rPr>
          <w:rFonts w:ascii="宋体" w:hAnsi="宋体"/>
          <w:szCs w:val="22"/>
          <w:highlight w:val="none"/>
        </w:rPr>
        <w:t>审查机构审查，勘察人均</w:t>
      </w:r>
      <w:bookmarkEnd w:id="1594"/>
      <w:bookmarkEnd w:id="1595"/>
      <w:bookmarkEnd w:id="1596"/>
      <w:r>
        <w:rPr>
          <w:rFonts w:ascii="宋体" w:hAnsi="宋体"/>
          <w:szCs w:val="22"/>
          <w:highlight w:val="none"/>
        </w:rPr>
        <w:t>应自费对前述问题带来的缺陷和工程问题进行改正，但因第1.6.2项</w:t>
      </w:r>
      <w:r>
        <w:rPr>
          <w:rFonts w:hint="eastAsia" w:ascii="宋体" w:hAnsi="宋体"/>
          <w:szCs w:val="22"/>
          <w:highlight w:val="none"/>
        </w:rPr>
        <w:t>约定由</w:t>
      </w:r>
      <w:r>
        <w:rPr>
          <w:rFonts w:ascii="宋体" w:hAnsi="宋体"/>
          <w:szCs w:val="21"/>
          <w:highlight w:val="none"/>
        </w:rPr>
        <w:t>发包人提供的文件错误导致</w:t>
      </w:r>
      <w:r>
        <w:rPr>
          <w:rFonts w:ascii="宋体" w:hAnsi="宋体"/>
          <w:szCs w:val="22"/>
          <w:highlight w:val="none"/>
        </w:rPr>
        <w:t>的</w:t>
      </w:r>
      <w:r>
        <w:rPr>
          <w:rFonts w:ascii="宋体" w:hAnsi="宋体"/>
          <w:szCs w:val="21"/>
          <w:highlight w:val="none"/>
        </w:rPr>
        <w:t>除外。</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 xml:space="preserve">9.2.2 因勘察人原因造成勘察文件不合格的，发包人有权要求勘察人采取补救措施，直至达到合同要求的质量标准，并按第14.1款的约定承担责任。 </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9.2.3 因发包人原因造成勘察文件不合格的，勘察人应当采取补救措施，直至达到合同要求的质量标准，由此造成的勘察费用增加和（或）勘察服务期限延误由发包人承担。</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97" w:name="_Toc482188610"/>
      <w:bookmarkStart w:id="1598" w:name="_Toc492300899"/>
      <w:r>
        <w:rPr>
          <w:rFonts w:ascii="宋体" w:hAnsi="宋体"/>
          <w:color w:val="000000"/>
          <w:sz w:val="28"/>
          <w:szCs w:val="20"/>
          <w:highlight w:val="none"/>
        </w:rPr>
        <w:t xml:space="preserve">9.3 </w:t>
      </w:r>
      <w:r>
        <w:rPr>
          <w:rFonts w:hint="eastAsia" w:ascii="宋体" w:hAnsi="宋体"/>
          <w:color w:val="000000"/>
          <w:sz w:val="28"/>
          <w:szCs w:val="20"/>
          <w:highlight w:val="none"/>
        </w:rPr>
        <w:t>勘察责任主体</w:t>
      </w:r>
      <w:bookmarkEnd w:id="1597"/>
      <w:bookmarkEnd w:id="1598"/>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9.3.1 勘察人应运用一切合理的专业技术、知识技能和项目经验，按照职业道德准则和行业公认标准尽其全部职责，勤勉、谨慎、公正地履行其在本合同项下的责任和义务。</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9.3.2 勘察责任为勘察单位项目负责人终身责任制。项目负责人应当保证勘察文件符合法律法规和工程建设强制性标准的要求，对因勘察导致的工程质量事故或质量问题承担责任。</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9.3.3 项目负责人应当在办理工程质量监督手续前签署工程质量终身责任承诺书，连同法定代表人出具的授权书，报工程质量监督机构备案。</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599" w:name="_Toc492300900"/>
      <w:bookmarkStart w:id="1600" w:name="_Toc482188611"/>
      <w:r>
        <w:rPr>
          <w:rFonts w:ascii="宋体" w:hAnsi="宋体"/>
          <w:color w:val="000000"/>
          <w:sz w:val="28"/>
          <w:szCs w:val="20"/>
          <w:highlight w:val="none"/>
        </w:rPr>
        <w:t xml:space="preserve">9.4 </w:t>
      </w:r>
      <w:r>
        <w:rPr>
          <w:rFonts w:hint="eastAsia" w:ascii="宋体" w:hAnsi="宋体"/>
          <w:color w:val="000000"/>
          <w:sz w:val="28"/>
          <w:szCs w:val="20"/>
          <w:highlight w:val="none"/>
        </w:rPr>
        <w:t>勘察责任保险</w:t>
      </w:r>
      <w:bookmarkEnd w:id="1599"/>
      <w:bookmarkEnd w:id="1600"/>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9.4.1 除专用合同条款另有约定外，勘察人应具有发包人认可的、履行本合同所需要的工程勘察责任险，</w:t>
      </w:r>
      <w:r>
        <w:rPr>
          <w:rFonts w:ascii="宋体" w:hAnsi="宋体"/>
          <w:szCs w:val="21"/>
          <w:highlight w:val="none"/>
        </w:rPr>
        <w:t>于合同签订后28天内向发包人提交工程勘察责任险的保险单副本或者其他有效证明，</w:t>
      </w:r>
      <w:r>
        <w:rPr>
          <w:rFonts w:ascii="宋体" w:hAnsi="宋体"/>
          <w:szCs w:val="22"/>
          <w:highlight w:val="none"/>
        </w:rPr>
        <w:t>并在合同履行期间保持足额、有效。</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9.4.2 工程勘察责任险的保险范围，应当包括由于勘察人的疏忽或过失而造成的工程质量事故损失，以及由于事故引发的第三者人身伤亡、财产损失或费用赔偿等。</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9.4.3 发生工程勘察保险事故后，勘察人应按保险人要求进行报告，并负责办理保险理赔业务；</w:t>
      </w:r>
      <w:r>
        <w:rPr>
          <w:rFonts w:ascii="宋体" w:hAnsi="宋体"/>
          <w:szCs w:val="21"/>
          <w:highlight w:val="none"/>
        </w:rPr>
        <w:t>保险金不足以补偿损失的，由勘察人自行补偿。</w:t>
      </w:r>
    </w:p>
    <w:p>
      <w:pPr>
        <w:keepNext/>
        <w:keepLines/>
        <w:tabs>
          <w:tab w:val="left" w:pos="8931"/>
        </w:tabs>
        <w:spacing w:before="260" w:after="260" w:line="413" w:lineRule="auto"/>
        <w:ind w:firstLine="108"/>
        <w:outlineLvl w:val="2"/>
        <w:rPr>
          <w:rFonts w:ascii="宋体" w:hAnsi="宋体"/>
          <w:sz w:val="32"/>
          <w:szCs w:val="20"/>
          <w:highlight w:val="none"/>
        </w:rPr>
      </w:pPr>
      <w:bookmarkStart w:id="1601" w:name="_Toc23091"/>
      <w:bookmarkStart w:id="1602" w:name="_Toc75857082"/>
      <w:bookmarkStart w:id="1603" w:name="_Toc26408"/>
      <w:bookmarkStart w:id="1604" w:name="_Toc492300901"/>
      <w:bookmarkStart w:id="1605" w:name="_Toc954"/>
      <w:bookmarkStart w:id="1606" w:name="_Toc6189"/>
      <w:bookmarkStart w:id="1607" w:name="_Toc20554"/>
      <w:bookmarkStart w:id="1608" w:name="_Toc482188612"/>
      <w:r>
        <w:rPr>
          <w:rFonts w:ascii="宋体" w:hAnsi="宋体"/>
          <w:sz w:val="32"/>
          <w:szCs w:val="20"/>
          <w:highlight w:val="none"/>
        </w:rPr>
        <w:t>10. 设计和施工期间配合</w:t>
      </w:r>
      <w:bookmarkEnd w:id="1601"/>
      <w:bookmarkEnd w:id="1602"/>
      <w:bookmarkEnd w:id="1603"/>
      <w:bookmarkEnd w:id="1604"/>
      <w:bookmarkEnd w:id="1605"/>
      <w:bookmarkEnd w:id="1606"/>
      <w:bookmarkEnd w:id="1607"/>
      <w:bookmarkEnd w:id="1608"/>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09" w:name="_Toc492300902"/>
      <w:bookmarkStart w:id="1610" w:name="_Toc482188613"/>
      <w:r>
        <w:rPr>
          <w:rFonts w:ascii="宋体" w:hAnsi="宋体"/>
          <w:color w:val="000000"/>
          <w:sz w:val="28"/>
          <w:szCs w:val="20"/>
          <w:highlight w:val="none"/>
        </w:rPr>
        <w:t xml:space="preserve">10.1 </w:t>
      </w:r>
      <w:r>
        <w:rPr>
          <w:rFonts w:hint="eastAsia" w:ascii="宋体" w:hAnsi="宋体"/>
          <w:color w:val="000000"/>
          <w:sz w:val="28"/>
          <w:szCs w:val="20"/>
          <w:highlight w:val="none"/>
        </w:rPr>
        <w:t>设计期间配合</w:t>
      </w:r>
      <w:bookmarkEnd w:id="1609"/>
      <w:bookmarkEnd w:id="1610"/>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10.1.1 设计配合指勘察人配合设计人，在设计期间对本工程进行的补充勘察或其他配合工作。</w:t>
      </w:r>
    </w:p>
    <w:p>
      <w:pPr>
        <w:tabs>
          <w:tab w:val="left" w:pos="8931"/>
        </w:tabs>
        <w:spacing w:line="360" w:lineRule="auto"/>
        <w:ind w:firstLine="420" w:firstLineChars="200"/>
        <w:rPr>
          <w:rFonts w:ascii="宋体" w:hAnsi="宋体"/>
          <w:szCs w:val="21"/>
          <w:highlight w:val="none"/>
        </w:rPr>
      </w:pPr>
      <w:bookmarkStart w:id="1611" w:name="_Toc55705120"/>
      <w:bookmarkStart w:id="1612" w:name="_Toc25930148"/>
      <w:bookmarkStart w:id="1613" w:name="_Toc56141844"/>
      <w:bookmarkStart w:id="1614" w:name="_Toc54372619"/>
      <w:bookmarkStart w:id="1615" w:name="_Toc54329115"/>
      <w:bookmarkStart w:id="1616" w:name="_Toc56139034"/>
      <w:bookmarkStart w:id="1617" w:name="_Toc402386798"/>
      <w:bookmarkStart w:id="1618" w:name="_Toc14102102"/>
      <w:bookmarkStart w:id="1619" w:name="_Toc55654492"/>
      <w:bookmarkStart w:id="1620" w:name="_Toc59900920"/>
      <w:bookmarkStart w:id="1621" w:name="_Toc55639357"/>
      <w:bookmarkStart w:id="1622" w:name="_Toc26108574"/>
      <w:bookmarkStart w:id="1623" w:name="_Toc54368850"/>
      <w:bookmarkStart w:id="1624" w:name="_Toc59896652"/>
      <w:bookmarkStart w:id="1625" w:name="_Toc53290166"/>
      <w:bookmarkStart w:id="1626" w:name="_Toc54372201"/>
      <w:bookmarkStart w:id="1627" w:name="_Toc54330944"/>
      <w:bookmarkStart w:id="1628" w:name="_Toc54372035"/>
      <w:bookmarkStart w:id="1629" w:name="_Toc56153806"/>
      <w:bookmarkStart w:id="1630" w:name="_Toc55707625"/>
      <w:bookmarkStart w:id="1631" w:name="_Toc56409059"/>
      <w:r>
        <w:rPr>
          <w:rFonts w:ascii="宋体" w:hAnsi="宋体"/>
          <w:szCs w:val="22"/>
          <w:highlight w:val="none"/>
        </w:rPr>
        <w:t xml:space="preserve">10.1.2 </w:t>
      </w:r>
      <w:r>
        <w:rPr>
          <w:rFonts w:ascii="宋体" w:hAnsi="宋体"/>
          <w:szCs w:val="21"/>
          <w:highlight w:val="none"/>
        </w:rPr>
        <w:t>勘察人</w:t>
      </w:r>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r>
        <w:rPr>
          <w:rFonts w:ascii="宋体" w:hAnsi="宋体"/>
          <w:szCs w:val="21"/>
          <w:highlight w:val="none"/>
        </w:rPr>
        <w:t>应当根据设计工作需要，对勘察报告和资料文件中的不完善或者错误之处，进行验证、补充或者修改；如遇不利的工程地质条件，勘察人应与设计人研讨并提出解决建议。</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32" w:name="_Toc482188614"/>
      <w:bookmarkStart w:id="1633" w:name="_Toc492300903"/>
      <w:r>
        <w:rPr>
          <w:rFonts w:ascii="宋体" w:hAnsi="宋体"/>
          <w:color w:val="000000"/>
          <w:sz w:val="28"/>
          <w:szCs w:val="20"/>
          <w:highlight w:val="none"/>
        </w:rPr>
        <w:t>10.2</w:t>
      </w:r>
      <w:r>
        <w:rPr>
          <w:rFonts w:hint="eastAsia" w:ascii="宋体" w:hAnsi="宋体"/>
          <w:color w:val="000000"/>
          <w:sz w:val="28"/>
          <w:szCs w:val="20"/>
          <w:highlight w:val="none"/>
        </w:rPr>
        <w:t>施工期间配合</w:t>
      </w:r>
      <w:bookmarkEnd w:id="1632"/>
      <w:bookmarkEnd w:id="1633"/>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10.2.1 施工配合指勘察人配合施工承包人，在施工期间对本工程进行的补充勘察或其他配合工作，直至</w:t>
      </w:r>
      <w:bookmarkStart w:id="1634" w:name="_Toc59896653"/>
      <w:bookmarkStart w:id="1635" w:name="_Toc26108575"/>
      <w:bookmarkStart w:id="1636" w:name="_Toc53290167"/>
      <w:bookmarkStart w:id="1637" w:name="_Toc56141845"/>
      <w:bookmarkStart w:id="1638" w:name="_Toc14102103"/>
      <w:bookmarkStart w:id="1639" w:name="_Toc402386799"/>
      <w:bookmarkStart w:id="1640" w:name="_Toc54372202"/>
      <w:bookmarkStart w:id="1641" w:name="_Toc54368851"/>
      <w:bookmarkStart w:id="1642" w:name="_Toc59900921"/>
      <w:bookmarkStart w:id="1643" w:name="_Toc54330945"/>
      <w:bookmarkStart w:id="1644" w:name="_Toc54372036"/>
      <w:bookmarkStart w:id="1645" w:name="_Toc55705121"/>
      <w:bookmarkStart w:id="1646" w:name="_Toc56139035"/>
      <w:bookmarkStart w:id="1647" w:name="_Toc54329116"/>
      <w:bookmarkStart w:id="1648" w:name="_Toc54372620"/>
      <w:bookmarkStart w:id="1649" w:name="_Toc55639358"/>
      <w:bookmarkStart w:id="1650" w:name="_Toc55707626"/>
      <w:bookmarkStart w:id="1651" w:name="_Toc56409060"/>
      <w:bookmarkStart w:id="1652" w:name="_Toc25930149"/>
      <w:bookmarkStart w:id="1653" w:name="_Toc56153807"/>
      <w:bookmarkStart w:id="1654" w:name="_Toc55654493"/>
      <w:r>
        <w:rPr>
          <w:rFonts w:ascii="宋体" w:hAnsi="宋体"/>
          <w:szCs w:val="22"/>
          <w:highlight w:val="none"/>
        </w:rPr>
        <w:t>工程通过</w:t>
      </w:r>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r>
        <w:rPr>
          <w:rFonts w:ascii="宋体" w:hAnsi="宋体"/>
          <w:szCs w:val="22"/>
          <w:highlight w:val="none"/>
        </w:rPr>
        <w:t>竣工验收为止。</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10.2.2 除专用合同条款另有约定外，发包人应为勘察人派赴施工现场的工作人员，在施工期间提供办公房间、办公桌椅、互联网接口、冷暖设施、生活设施、进出现场交通服务和其他便利条件。</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10.2.3 勘察人应在本工程的施工期间，积极提供勘察配合服务，进行勘察技术交底，委派专业人员配合施工承包人及时解决与勘察有关的问题，参与基坑基底验收和工程竣工验收等工作。</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10.2.4 发包人应当组织勘察技术交底会，由勘察人向发包人、监理人和施工承包人等进行勘察交底，对本工程的勘察意图、勘察文件和施工要求等进行系统地说明和解释。</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10.2.5 工程施工完毕后，发包人应当组织投产试车（试运行）和工程竣工验收，勘察人参加验收并出具本单位的验收结论。</w:t>
      </w:r>
    </w:p>
    <w:p>
      <w:pPr>
        <w:keepNext/>
        <w:keepLines/>
        <w:tabs>
          <w:tab w:val="left" w:pos="8931"/>
        </w:tabs>
        <w:spacing w:before="260" w:after="260" w:line="413" w:lineRule="auto"/>
        <w:ind w:firstLine="108"/>
        <w:outlineLvl w:val="2"/>
        <w:rPr>
          <w:rFonts w:ascii="宋体" w:hAnsi="宋体"/>
          <w:sz w:val="32"/>
          <w:szCs w:val="20"/>
          <w:highlight w:val="none"/>
        </w:rPr>
      </w:pPr>
      <w:bookmarkStart w:id="1655" w:name="_Toc19748"/>
      <w:bookmarkStart w:id="1656" w:name="_Toc26790"/>
      <w:bookmarkStart w:id="1657" w:name="_Toc8462"/>
      <w:bookmarkStart w:id="1658" w:name="_Toc482188615"/>
      <w:bookmarkStart w:id="1659" w:name="_Toc492300904"/>
      <w:bookmarkStart w:id="1660" w:name="_Toc25815"/>
      <w:bookmarkStart w:id="1661" w:name="_Toc75857083"/>
      <w:bookmarkStart w:id="1662" w:name="_Toc13416"/>
      <w:r>
        <w:rPr>
          <w:rFonts w:ascii="宋体" w:hAnsi="宋体"/>
          <w:sz w:val="32"/>
          <w:szCs w:val="20"/>
          <w:highlight w:val="none"/>
        </w:rPr>
        <w:t>11. 合同变更</w:t>
      </w:r>
      <w:bookmarkEnd w:id="1655"/>
      <w:bookmarkEnd w:id="1656"/>
      <w:bookmarkEnd w:id="1657"/>
      <w:bookmarkEnd w:id="1658"/>
      <w:bookmarkEnd w:id="1659"/>
      <w:bookmarkEnd w:id="1660"/>
      <w:bookmarkEnd w:id="1661"/>
      <w:bookmarkEnd w:id="1662"/>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63" w:name="_Toc492300905"/>
      <w:bookmarkStart w:id="1664" w:name="_Toc467651025"/>
      <w:bookmarkStart w:id="1665" w:name="_Toc482188616"/>
      <w:r>
        <w:rPr>
          <w:rFonts w:ascii="宋体" w:hAnsi="宋体"/>
          <w:color w:val="000000"/>
          <w:sz w:val="28"/>
          <w:szCs w:val="20"/>
          <w:highlight w:val="none"/>
        </w:rPr>
        <w:t xml:space="preserve">11.1 </w:t>
      </w:r>
      <w:r>
        <w:rPr>
          <w:rFonts w:hint="eastAsia" w:ascii="宋体" w:hAnsi="宋体"/>
          <w:color w:val="000000"/>
          <w:sz w:val="28"/>
          <w:szCs w:val="20"/>
          <w:highlight w:val="none"/>
        </w:rPr>
        <w:t>变更情形</w:t>
      </w:r>
      <w:bookmarkEnd w:id="1663"/>
      <w:bookmarkEnd w:id="1664"/>
      <w:bookmarkEnd w:id="1665"/>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11.1.1 合同履行中发生下述情形时，合同一方均可向对方提出变更请求，经双方协商一致后进行变更，勘察服务期限和勘察费用的调整方法</w:t>
      </w:r>
      <w:r>
        <w:rPr>
          <w:rFonts w:ascii="宋体" w:hAnsi="宋体"/>
          <w:kern w:val="0"/>
          <w:szCs w:val="21"/>
          <w:highlight w:val="none"/>
        </w:rPr>
        <w:t>在专用合同条款中约定</w:t>
      </w:r>
      <w:r>
        <w:rPr>
          <w:rFonts w:ascii="宋体" w:hAnsi="宋体"/>
          <w:szCs w:val="21"/>
          <w:highlight w:val="none"/>
        </w:rPr>
        <w:t>。</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（1）勘察范围发生变化；</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（2）除不可抗力外，非勘察人的原因引起的周期延误；</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（3）非勘察人的原因，对工程同一部分重复进行勘察；</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（4）非勘察人的原因，对工程暂停勘察及恢复勘察。</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11.1.2 基准日后，因颁布新的或修订原有法律、法规、规范和标准等引发合同变更情形的，按照上述约定进行调整。</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66" w:name="_Toc467651026"/>
      <w:bookmarkStart w:id="1667" w:name="_Toc482188617"/>
      <w:bookmarkStart w:id="1668" w:name="_Toc492300906"/>
      <w:r>
        <w:rPr>
          <w:rFonts w:ascii="宋体" w:hAnsi="宋体"/>
          <w:color w:val="000000"/>
          <w:sz w:val="28"/>
          <w:szCs w:val="20"/>
          <w:highlight w:val="none"/>
        </w:rPr>
        <w:t xml:space="preserve">11.2 </w:t>
      </w:r>
      <w:r>
        <w:rPr>
          <w:rFonts w:hint="eastAsia" w:ascii="宋体" w:hAnsi="宋体"/>
          <w:color w:val="000000"/>
          <w:sz w:val="28"/>
          <w:szCs w:val="20"/>
          <w:highlight w:val="none"/>
        </w:rPr>
        <w:t>合理化建议</w:t>
      </w:r>
      <w:bookmarkEnd w:id="1666"/>
      <w:bookmarkEnd w:id="1667"/>
      <w:bookmarkEnd w:id="1668"/>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11.2.1 </w:t>
      </w:r>
      <w:r>
        <w:rPr>
          <w:rFonts w:ascii="宋体" w:hAnsi="宋体"/>
          <w:szCs w:val="21"/>
          <w:highlight w:val="none"/>
        </w:rPr>
        <w:t>合同履行中，勘察人可对发包人要求提出合理化建议。合理化建议应以书面形式提交发包人，被发包人采纳并构成变更的，执行第</w:t>
      </w:r>
      <w:r>
        <w:rPr>
          <w:rFonts w:ascii="宋体" w:hAnsi="宋体"/>
          <w:szCs w:val="22"/>
          <w:highlight w:val="none"/>
        </w:rPr>
        <w:t>11.1</w:t>
      </w:r>
      <w:r>
        <w:rPr>
          <w:rFonts w:ascii="宋体" w:hAnsi="宋体"/>
          <w:szCs w:val="21"/>
          <w:highlight w:val="none"/>
        </w:rPr>
        <w:t>款约定。</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11.2.2</w:t>
      </w:r>
      <w:r>
        <w:rPr>
          <w:rFonts w:ascii="宋体" w:hAnsi="宋体"/>
          <w:szCs w:val="21"/>
          <w:highlight w:val="none"/>
        </w:rPr>
        <w:t xml:space="preserve"> 勘察人提出的合理化建议降低了工程投资、缩短了施工期限或者提高了工程经济效益的，发包人应按专用合同条款中的约定给予奖励。</w:t>
      </w:r>
    </w:p>
    <w:p>
      <w:pPr>
        <w:keepNext/>
        <w:keepLines/>
        <w:tabs>
          <w:tab w:val="left" w:pos="8931"/>
        </w:tabs>
        <w:spacing w:before="260" w:after="260" w:line="413" w:lineRule="auto"/>
        <w:ind w:firstLine="108"/>
        <w:outlineLvl w:val="2"/>
        <w:rPr>
          <w:rFonts w:ascii="宋体" w:hAnsi="宋体"/>
          <w:sz w:val="32"/>
          <w:szCs w:val="20"/>
          <w:highlight w:val="none"/>
        </w:rPr>
      </w:pPr>
      <w:bookmarkStart w:id="1669" w:name="_Toc492300907"/>
      <w:bookmarkStart w:id="1670" w:name="_Toc23562"/>
      <w:bookmarkStart w:id="1671" w:name="_Toc482188618"/>
      <w:bookmarkStart w:id="1672" w:name="_Toc75857084"/>
      <w:bookmarkStart w:id="1673" w:name="_Toc9193"/>
      <w:bookmarkStart w:id="1674" w:name="_Toc4592"/>
      <w:bookmarkStart w:id="1675" w:name="_Toc26921"/>
      <w:bookmarkStart w:id="1676" w:name="_Toc17367"/>
      <w:r>
        <w:rPr>
          <w:rFonts w:ascii="宋体" w:hAnsi="宋体"/>
          <w:sz w:val="32"/>
          <w:szCs w:val="20"/>
          <w:highlight w:val="none"/>
        </w:rPr>
        <w:t>12. 合同价格与支付</w:t>
      </w:r>
      <w:bookmarkEnd w:id="1669"/>
      <w:bookmarkEnd w:id="1670"/>
      <w:bookmarkEnd w:id="1671"/>
      <w:bookmarkEnd w:id="1672"/>
      <w:bookmarkEnd w:id="1673"/>
      <w:bookmarkEnd w:id="1674"/>
      <w:bookmarkEnd w:id="1675"/>
      <w:bookmarkEnd w:id="1676"/>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77" w:name="_Toc482188619"/>
      <w:bookmarkStart w:id="1678" w:name="_Toc492300908"/>
      <w:r>
        <w:rPr>
          <w:rFonts w:ascii="宋体" w:hAnsi="宋体"/>
          <w:color w:val="000000"/>
          <w:sz w:val="28"/>
          <w:szCs w:val="20"/>
          <w:highlight w:val="none"/>
        </w:rPr>
        <w:t xml:space="preserve">12.1 </w:t>
      </w:r>
      <w:r>
        <w:rPr>
          <w:rFonts w:hint="eastAsia" w:ascii="宋体" w:hAnsi="宋体"/>
          <w:color w:val="000000"/>
          <w:sz w:val="28"/>
          <w:szCs w:val="20"/>
          <w:highlight w:val="none"/>
        </w:rPr>
        <w:t>合同价格</w:t>
      </w:r>
      <w:bookmarkEnd w:id="1677"/>
      <w:bookmarkEnd w:id="1678"/>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 xml:space="preserve">12.1.1 </w:t>
      </w:r>
      <w:r>
        <w:rPr>
          <w:rFonts w:hint="eastAsia" w:ascii="宋体" w:hAnsi="宋体"/>
          <w:szCs w:val="22"/>
          <w:highlight w:val="none"/>
        </w:rPr>
        <w:t>本合同的价款确定方式、调整方式和风险范围划分，</w:t>
      </w:r>
      <w:r>
        <w:rPr>
          <w:rFonts w:hint="eastAsia" w:ascii="宋体" w:hAnsi="宋体"/>
          <w:kern w:val="0"/>
          <w:szCs w:val="21"/>
          <w:highlight w:val="none"/>
        </w:rPr>
        <w:t>在专用合同条款中约定</w:t>
      </w:r>
      <w:r>
        <w:rPr>
          <w:rFonts w:hint="eastAsia" w:ascii="宋体" w:hAnsi="宋体"/>
          <w:szCs w:val="22"/>
          <w:highlight w:val="none"/>
        </w:rPr>
        <w:t>。</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12.1.2 勘察费用实行发包人签证制度，即勘察人完成勘察项目后通知发包人进行验收，通过验收后由发包人代表对实施的勘察项目、数量、质量和实施时间签名确认，以此作为计算勘察费用的依据之一。</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12.1.3 除专用合同条款另有约定外，合同价格应当包括收集资料，踏勘现场，制订纲要，进行测绘、勘探、取样、试验、测试、分析、评估、配合审查等，编制勘察文件，设计施工配合，青苗和园林绿化补偿，占地补偿，扰民及民扰，占道施工，安全防护、文明施工、环境保护，农民工工伤保险等全部费用</w:t>
      </w:r>
      <w:r>
        <w:rPr>
          <w:rFonts w:ascii="宋体" w:hAnsi="宋体"/>
          <w:color w:val="000000"/>
          <w:szCs w:val="22"/>
          <w:highlight w:val="none"/>
        </w:rPr>
        <w:t>和国家规定的增值税税金</w:t>
      </w:r>
      <w:r>
        <w:rPr>
          <w:rFonts w:ascii="宋体" w:hAnsi="宋体"/>
          <w:szCs w:val="22"/>
          <w:highlight w:val="none"/>
        </w:rPr>
        <w:t>。</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12.1.4 发包人要求勘察人进行外出考察、试验检测、专项咨询或专家评审时，相应费用不含在合同价格之中，由发包人另行支付。</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79" w:name="_Toc482188620"/>
      <w:bookmarkStart w:id="1680" w:name="_Toc492300909"/>
      <w:r>
        <w:rPr>
          <w:rFonts w:ascii="宋体" w:hAnsi="宋体"/>
          <w:color w:val="000000"/>
          <w:sz w:val="28"/>
          <w:szCs w:val="20"/>
          <w:highlight w:val="none"/>
        </w:rPr>
        <w:t xml:space="preserve">12.2 </w:t>
      </w:r>
      <w:r>
        <w:rPr>
          <w:rFonts w:hint="eastAsia" w:ascii="宋体" w:hAnsi="宋体"/>
          <w:color w:val="000000"/>
          <w:sz w:val="28"/>
          <w:szCs w:val="20"/>
          <w:highlight w:val="none"/>
        </w:rPr>
        <w:t>定金</w:t>
      </w:r>
      <w:bookmarkEnd w:id="1679"/>
      <w:r>
        <w:rPr>
          <w:rFonts w:hint="eastAsia" w:ascii="宋体" w:hAnsi="宋体"/>
          <w:color w:val="000000"/>
          <w:sz w:val="28"/>
          <w:szCs w:val="20"/>
          <w:highlight w:val="none"/>
        </w:rPr>
        <w:t>或预付款</w:t>
      </w:r>
      <w:bookmarkEnd w:id="1680"/>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12.2.1</w:t>
      </w:r>
      <w:r>
        <w:rPr>
          <w:rFonts w:hint="eastAsia" w:ascii="宋体" w:hAnsi="宋体"/>
          <w:szCs w:val="21"/>
          <w:highlight w:val="none"/>
        </w:rPr>
        <w:t>定金或预付款应专用于本工程的勘察。定金或预付款的额度、支付方式及抵扣方式</w:t>
      </w:r>
      <w:r>
        <w:rPr>
          <w:rFonts w:hint="eastAsia" w:ascii="宋体" w:hAnsi="宋体"/>
          <w:kern w:val="0"/>
          <w:szCs w:val="21"/>
          <w:highlight w:val="none"/>
        </w:rPr>
        <w:t>在专用合同条款中约定</w:t>
      </w:r>
      <w:r>
        <w:rPr>
          <w:rFonts w:hint="eastAsia" w:ascii="宋体" w:hAnsi="宋体"/>
          <w:szCs w:val="22"/>
          <w:highlight w:val="none"/>
        </w:rPr>
        <w:t>。</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12.2.2 发包人应在收到定金</w:t>
      </w:r>
      <w:r>
        <w:rPr>
          <w:rFonts w:hint="eastAsia" w:ascii="宋体" w:hAnsi="宋体"/>
          <w:szCs w:val="22"/>
          <w:highlight w:val="none"/>
        </w:rPr>
        <w:t>或预付款</w:t>
      </w:r>
      <w:r>
        <w:rPr>
          <w:rFonts w:ascii="宋体" w:hAnsi="宋体"/>
          <w:szCs w:val="22"/>
          <w:highlight w:val="none"/>
        </w:rPr>
        <w:t>支付</w:t>
      </w:r>
      <w:r>
        <w:rPr>
          <w:rFonts w:ascii="宋体" w:hAnsi="宋体"/>
          <w:szCs w:val="21"/>
          <w:highlight w:val="none"/>
        </w:rPr>
        <w:t>申请</w:t>
      </w:r>
      <w:r>
        <w:rPr>
          <w:rFonts w:ascii="宋体" w:hAnsi="宋体"/>
          <w:szCs w:val="22"/>
          <w:highlight w:val="none"/>
        </w:rPr>
        <w:t>后28天内，将定金</w:t>
      </w:r>
      <w:r>
        <w:rPr>
          <w:rFonts w:hint="eastAsia" w:ascii="宋体" w:hAnsi="宋体"/>
          <w:szCs w:val="22"/>
          <w:highlight w:val="none"/>
        </w:rPr>
        <w:t>或预付款</w:t>
      </w:r>
      <w:r>
        <w:rPr>
          <w:rFonts w:ascii="宋体" w:hAnsi="宋体"/>
          <w:szCs w:val="22"/>
          <w:highlight w:val="none"/>
        </w:rPr>
        <w:t>支付给勘察人；勘察人应当提供等额的增值税发票。</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12.2.3 </w:t>
      </w:r>
      <w:r>
        <w:rPr>
          <w:rFonts w:ascii="宋体" w:hAnsi="宋体"/>
          <w:szCs w:val="21"/>
          <w:highlight w:val="none"/>
        </w:rPr>
        <w:t>勘察服务完成之前，由于不可抗力或其他非勘察人的原因解除合同时，定金不予退还。</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81" w:name="_Toc492300910"/>
      <w:bookmarkStart w:id="1682" w:name="_Toc467651035"/>
      <w:bookmarkStart w:id="1683" w:name="_Toc482188621"/>
      <w:r>
        <w:rPr>
          <w:rFonts w:ascii="宋体" w:hAnsi="宋体"/>
          <w:color w:val="000000"/>
          <w:sz w:val="28"/>
          <w:szCs w:val="20"/>
          <w:highlight w:val="none"/>
        </w:rPr>
        <w:t xml:space="preserve">12.3 </w:t>
      </w:r>
      <w:r>
        <w:rPr>
          <w:rFonts w:hint="eastAsia" w:ascii="宋体" w:hAnsi="宋体"/>
          <w:color w:val="000000"/>
          <w:sz w:val="28"/>
          <w:szCs w:val="20"/>
          <w:highlight w:val="none"/>
        </w:rPr>
        <w:t>中期支付</w:t>
      </w:r>
      <w:bookmarkEnd w:id="1681"/>
      <w:bookmarkEnd w:id="1682"/>
      <w:bookmarkEnd w:id="1683"/>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12.3.1</w:t>
      </w:r>
      <w:r>
        <w:rPr>
          <w:rFonts w:ascii="宋体" w:hAnsi="宋体"/>
          <w:szCs w:val="21"/>
          <w:highlight w:val="none"/>
        </w:rPr>
        <w:t xml:space="preserve"> 勘察人应按发包人批准或专用合同条款约定的格式及份数，向发包人提交中期支付申请，并附相应的支持性证明文件。</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12.3.2 发包人应在收到</w:t>
      </w:r>
      <w:r>
        <w:rPr>
          <w:rFonts w:ascii="宋体" w:hAnsi="宋体"/>
          <w:szCs w:val="21"/>
          <w:highlight w:val="none"/>
        </w:rPr>
        <w:t>中期支付申请</w:t>
      </w:r>
      <w:r>
        <w:rPr>
          <w:rFonts w:ascii="宋体" w:hAnsi="宋体"/>
          <w:szCs w:val="22"/>
          <w:highlight w:val="none"/>
        </w:rPr>
        <w:t>后的28天内，将应付款项支付给勘察人；勘察人应当提供等额的增值税发票。发包人未能在前述时间内完成审批或不予答复的，视为发包人同意</w:t>
      </w:r>
      <w:r>
        <w:rPr>
          <w:rFonts w:ascii="宋体" w:hAnsi="宋体"/>
          <w:szCs w:val="21"/>
          <w:highlight w:val="none"/>
        </w:rPr>
        <w:t>中期支付申请</w:t>
      </w:r>
      <w:r>
        <w:rPr>
          <w:rFonts w:ascii="宋体" w:hAnsi="宋体"/>
          <w:szCs w:val="22"/>
          <w:highlight w:val="none"/>
        </w:rPr>
        <w:t>。发包人不按期支付的，按专用合同条款的约定支付逾期付款违约金。</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12.3.3 </w:t>
      </w:r>
      <w:r>
        <w:rPr>
          <w:rFonts w:ascii="宋体" w:hAnsi="宋体"/>
          <w:szCs w:val="21"/>
          <w:highlight w:val="none"/>
        </w:rPr>
        <w:t>中期支付涉及政府投资资金的，按照国库集中支付等国家相关规定和专用合同条款的约定执行。</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84" w:name="_Toc467651036"/>
      <w:bookmarkStart w:id="1685" w:name="_Toc492300911"/>
      <w:bookmarkStart w:id="1686" w:name="_Toc482188622"/>
      <w:r>
        <w:rPr>
          <w:rFonts w:ascii="宋体" w:hAnsi="宋体"/>
          <w:color w:val="000000"/>
          <w:sz w:val="28"/>
          <w:szCs w:val="20"/>
          <w:highlight w:val="none"/>
        </w:rPr>
        <w:t xml:space="preserve">12.4 </w:t>
      </w:r>
      <w:r>
        <w:rPr>
          <w:rFonts w:hint="eastAsia" w:ascii="宋体" w:hAnsi="宋体"/>
          <w:color w:val="000000"/>
          <w:sz w:val="28"/>
          <w:szCs w:val="20"/>
          <w:highlight w:val="none"/>
        </w:rPr>
        <w:t>费用结算</w:t>
      </w:r>
      <w:bookmarkEnd w:id="1684"/>
      <w:bookmarkEnd w:id="1685"/>
      <w:bookmarkEnd w:id="1686"/>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12.4.1</w:t>
      </w:r>
      <w:r>
        <w:rPr>
          <w:rFonts w:ascii="宋体" w:hAnsi="宋体"/>
          <w:szCs w:val="21"/>
          <w:highlight w:val="none"/>
        </w:rPr>
        <w:t xml:space="preserve"> 合同工作完成后</w:t>
      </w:r>
      <w:r>
        <w:rPr>
          <w:rFonts w:ascii="宋体" w:hAnsi="宋体"/>
          <w:szCs w:val="22"/>
          <w:highlight w:val="none"/>
        </w:rPr>
        <w:t>，勘察人可按专用合同条款约定的份数和期限，向发包人提交勘察费用结算申请，并提供相关证明材料。</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12.4.2 发包人应在收到费用结算申请后的28天内，将应付款项支付给勘察人；勘察人应当提供等额的增值税发票。发包人未能在前述时间内完成审批或不予答复的，视为发包人同意费用结算申请。发包人不按期支付的，按专用合同条款的约定支付逾期付款违约金。</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12.4.3 发包人对费用结算申请内容有异议的，有权要求勘察人进行修正和提供补充资料，由勘察人重新提交</w:t>
      </w:r>
      <w:r>
        <w:rPr>
          <w:rFonts w:ascii="宋体" w:hAnsi="宋体"/>
          <w:szCs w:val="21"/>
          <w:highlight w:val="none"/>
        </w:rPr>
        <w:t>。</w:t>
      </w:r>
      <w:r>
        <w:rPr>
          <w:rFonts w:ascii="宋体" w:hAnsi="宋体"/>
          <w:szCs w:val="22"/>
          <w:highlight w:val="none"/>
        </w:rPr>
        <w:t>勘察人对此有异议的，按第15条的约定执行。</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12.4.4 最终结清</w:t>
      </w:r>
      <w:r>
        <w:rPr>
          <w:rFonts w:ascii="宋体" w:hAnsi="宋体"/>
          <w:szCs w:val="21"/>
          <w:highlight w:val="none"/>
        </w:rPr>
        <w:t>付款涉及政府投资资金的，</w:t>
      </w:r>
      <w:r>
        <w:rPr>
          <w:rFonts w:ascii="宋体" w:hAnsi="宋体"/>
          <w:szCs w:val="22"/>
          <w:highlight w:val="none"/>
        </w:rPr>
        <w:t>按第12.3.3项的</w:t>
      </w:r>
      <w:r>
        <w:rPr>
          <w:rFonts w:ascii="宋体" w:hAnsi="宋体"/>
          <w:szCs w:val="21"/>
          <w:highlight w:val="none"/>
        </w:rPr>
        <w:t>约定执行。</w:t>
      </w:r>
    </w:p>
    <w:p>
      <w:pPr>
        <w:keepNext/>
        <w:keepLines/>
        <w:tabs>
          <w:tab w:val="left" w:pos="8931"/>
        </w:tabs>
        <w:spacing w:before="260" w:after="260" w:line="413" w:lineRule="auto"/>
        <w:ind w:firstLine="108"/>
        <w:outlineLvl w:val="2"/>
        <w:rPr>
          <w:rFonts w:ascii="宋体" w:hAnsi="宋体"/>
          <w:sz w:val="32"/>
          <w:szCs w:val="20"/>
          <w:highlight w:val="none"/>
        </w:rPr>
      </w:pPr>
      <w:bookmarkStart w:id="1687" w:name="_Toc75857085"/>
      <w:bookmarkStart w:id="1688" w:name="_Toc13315"/>
      <w:bookmarkStart w:id="1689" w:name="_Toc29616"/>
      <w:bookmarkStart w:id="1690" w:name="_Toc6707"/>
      <w:bookmarkStart w:id="1691" w:name="_Toc26918"/>
      <w:bookmarkStart w:id="1692" w:name="_Toc15953"/>
      <w:bookmarkStart w:id="1693" w:name="_Toc482188623"/>
      <w:bookmarkStart w:id="1694" w:name="_Toc492300912"/>
      <w:r>
        <w:rPr>
          <w:rFonts w:ascii="宋体" w:hAnsi="宋体"/>
          <w:sz w:val="32"/>
          <w:szCs w:val="20"/>
          <w:highlight w:val="none"/>
        </w:rPr>
        <w:t>13. 不可抗力</w:t>
      </w:r>
      <w:bookmarkEnd w:id="1687"/>
      <w:bookmarkEnd w:id="1688"/>
      <w:bookmarkEnd w:id="1689"/>
      <w:bookmarkEnd w:id="1690"/>
      <w:bookmarkEnd w:id="1691"/>
      <w:bookmarkEnd w:id="1692"/>
      <w:bookmarkEnd w:id="1693"/>
      <w:bookmarkEnd w:id="1694"/>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695" w:name="_Toc482188624"/>
      <w:bookmarkStart w:id="1696" w:name="_Toc492300913"/>
      <w:r>
        <w:rPr>
          <w:rFonts w:ascii="宋体" w:hAnsi="宋体"/>
          <w:color w:val="000000"/>
          <w:sz w:val="28"/>
          <w:szCs w:val="20"/>
          <w:highlight w:val="none"/>
        </w:rPr>
        <w:t xml:space="preserve">13.1 </w:t>
      </w:r>
      <w:r>
        <w:rPr>
          <w:rFonts w:hint="eastAsia" w:ascii="宋体" w:hAnsi="宋体"/>
          <w:color w:val="000000"/>
          <w:sz w:val="28"/>
          <w:szCs w:val="20"/>
          <w:highlight w:val="none"/>
        </w:rPr>
        <w:t>不可抗力的确认</w:t>
      </w:r>
      <w:bookmarkEnd w:id="1695"/>
      <w:bookmarkEnd w:id="1696"/>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13.1.1</w:t>
      </w:r>
      <w:r>
        <w:rPr>
          <w:rFonts w:ascii="宋体" w:hAnsi="宋体"/>
          <w:szCs w:val="21"/>
          <w:highlight w:val="none"/>
        </w:rPr>
        <w:t xml:space="preserve"> 不可抗力是指勘察人和发包人在订立合同时不可预见，在履行合</w:t>
      </w:r>
      <w:bookmarkStart w:id="1697" w:name="_Toc300835182"/>
      <w:bookmarkStart w:id="1698" w:name="_Toc247527781"/>
      <w:bookmarkStart w:id="1699" w:name="_Toc247514180"/>
      <w:bookmarkStart w:id="1700" w:name="_Toc184635118"/>
      <w:r>
        <w:rPr>
          <w:rFonts w:ascii="宋体" w:hAnsi="宋体"/>
          <w:szCs w:val="21"/>
          <w:highlight w:val="none"/>
        </w:rPr>
        <w:t>同过程中不可避免</w:t>
      </w:r>
      <w:bookmarkEnd w:id="1697"/>
      <w:bookmarkEnd w:id="1698"/>
      <w:bookmarkEnd w:id="1699"/>
      <w:bookmarkEnd w:id="1700"/>
      <w:r>
        <w:rPr>
          <w:rFonts w:ascii="宋体" w:hAnsi="宋体"/>
          <w:szCs w:val="21"/>
          <w:highlight w:val="none"/>
        </w:rPr>
        <w:t>发</w:t>
      </w:r>
      <w:bookmarkStart w:id="1701" w:name="_Toc247514181"/>
      <w:bookmarkStart w:id="1702" w:name="_Toc300835183"/>
      <w:bookmarkStart w:id="1703" w:name="_Toc247527782"/>
      <w:r>
        <w:rPr>
          <w:rFonts w:ascii="宋体" w:hAnsi="宋体"/>
          <w:szCs w:val="21"/>
          <w:highlight w:val="none"/>
        </w:rPr>
        <w:t>生并不能克服的自然灾害和</w:t>
      </w:r>
      <w:bookmarkEnd w:id="1701"/>
      <w:bookmarkEnd w:id="1702"/>
      <w:bookmarkEnd w:id="1703"/>
      <w:r>
        <w:rPr>
          <w:rFonts w:ascii="宋体" w:hAnsi="宋体"/>
          <w:szCs w:val="21"/>
          <w:highlight w:val="none"/>
        </w:rPr>
        <w:t>社会性突发事件，如地震、海啸、瘟疫、水灾、骚乱、暴动、战争和专用合同条款约定的其</w:t>
      </w:r>
      <w:r>
        <w:rPr>
          <w:rFonts w:ascii="宋体" w:hAnsi="宋体"/>
          <w:szCs w:val="22"/>
          <w:highlight w:val="none"/>
        </w:rPr>
        <w:t>他情形。</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13.1.2</w:t>
      </w:r>
      <w:r>
        <w:rPr>
          <w:rFonts w:ascii="宋体" w:hAnsi="宋体"/>
          <w:szCs w:val="21"/>
          <w:highlight w:val="none"/>
        </w:rPr>
        <w:t xml:space="preserve"> 不可抗力发生后，发包人和勘察人应及时认真统计所造成的损失，收集不可抗力造成损失的证据。合同双方对是否属于不可抗力或其损失的意见不一致的，由合同双方协商确定。</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704" w:name="_Toc482188625"/>
      <w:bookmarkStart w:id="1705" w:name="_Toc492300914"/>
      <w:r>
        <w:rPr>
          <w:rFonts w:ascii="宋体" w:hAnsi="宋体"/>
          <w:color w:val="000000"/>
          <w:sz w:val="28"/>
          <w:szCs w:val="20"/>
          <w:highlight w:val="none"/>
        </w:rPr>
        <w:t xml:space="preserve">13.2 </w:t>
      </w:r>
      <w:r>
        <w:rPr>
          <w:rFonts w:hint="eastAsia" w:ascii="宋体" w:hAnsi="宋体"/>
          <w:color w:val="000000"/>
          <w:sz w:val="28"/>
          <w:szCs w:val="20"/>
          <w:highlight w:val="none"/>
        </w:rPr>
        <w:t>不可抗力的通知</w:t>
      </w:r>
      <w:bookmarkEnd w:id="1704"/>
      <w:bookmarkEnd w:id="1705"/>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13.2.1</w:t>
      </w:r>
      <w:r>
        <w:rPr>
          <w:rFonts w:ascii="宋体" w:hAnsi="宋体"/>
          <w:szCs w:val="21"/>
          <w:highlight w:val="none"/>
        </w:rPr>
        <w:t xml:space="preserve"> 合同一方当事人遇到不可抗力事件，使其履行合同义务受到阻碍时，应立即通知合同</w:t>
      </w:r>
      <w:bookmarkStart w:id="1706" w:name="_Toc247527783"/>
      <w:bookmarkStart w:id="1707" w:name="_Toc247514182"/>
      <w:bookmarkStart w:id="1708" w:name="_Toc300835184"/>
      <w:r>
        <w:rPr>
          <w:rFonts w:ascii="宋体" w:hAnsi="宋体"/>
          <w:szCs w:val="21"/>
          <w:highlight w:val="none"/>
        </w:rPr>
        <w:t>另一方当事人，书面说明不</w:t>
      </w:r>
      <w:bookmarkEnd w:id="1706"/>
      <w:bookmarkEnd w:id="1707"/>
      <w:bookmarkEnd w:id="1708"/>
      <w:r>
        <w:rPr>
          <w:rFonts w:ascii="宋体" w:hAnsi="宋体"/>
          <w:szCs w:val="21"/>
          <w:highlight w:val="none"/>
        </w:rPr>
        <w:t>可抗力和受阻碍的详细情况，并提供必要的证明。</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 xml:space="preserve">13.2.2 </w:t>
      </w:r>
      <w:r>
        <w:rPr>
          <w:rFonts w:ascii="宋体" w:hAnsi="宋体"/>
          <w:szCs w:val="21"/>
          <w:highlight w:val="none"/>
        </w:rPr>
        <w:t>如不可抗力持续发生，合同一方当事人应及时向合同另一方当事人提交中间报告，说明不可抗力和履行合同受阻的情况，并于不可抗力事件结束后28天内提交最终报告及有关资料。</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709" w:name="_Toc482188626"/>
      <w:bookmarkStart w:id="1710" w:name="_Toc492300915"/>
      <w:r>
        <w:rPr>
          <w:rFonts w:ascii="宋体" w:hAnsi="宋体"/>
          <w:color w:val="000000"/>
          <w:sz w:val="28"/>
          <w:szCs w:val="20"/>
          <w:highlight w:val="none"/>
        </w:rPr>
        <w:t xml:space="preserve">13.3 </w:t>
      </w:r>
      <w:r>
        <w:rPr>
          <w:rFonts w:hint="eastAsia" w:ascii="宋体" w:hAnsi="宋体"/>
          <w:color w:val="000000"/>
          <w:sz w:val="28"/>
          <w:szCs w:val="20"/>
          <w:highlight w:val="none"/>
        </w:rPr>
        <w:t>不可抗力后果及其处理</w:t>
      </w:r>
      <w:bookmarkEnd w:id="1709"/>
      <w:bookmarkEnd w:id="1710"/>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13.3.1 不可抗力引起的后果及其损失，应由合同当事人依据法律规定各自承担。不可抗力发生前已完成的勘察工作，应当按照合同约定进行支付。</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13.3.2 不可抗力发生后，合同当事人应当采取有效措施避免损失进一步扩大，如未采取有效措施致使损失扩大的，应当自行承担扩大部分的损失。</w:t>
      </w:r>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13.3.3 因一方当事人迟延履行合同义务，致使迟延履行期间遭遇不可抗力的，应由该当事人承担全部损失。</w:t>
      </w:r>
    </w:p>
    <w:p>
      <w:pPr>
        <w:keepNext/>
        <w:keepLines/>
        <w:tabs>
          <w:tab w:val="left" w:pos="8931"/>
        </w:tabs>
        <w:spacing w:before="260" w:after="260" w:line="413" w:lineRule="auto"/>
        <w:ind w:firstLine="108"/>
        <w:outlineLvl w:val="2"/>
        <w:rPr>
          <w:rFonts w:ascii="宋体" w:hAnsi="宋体"/>
          <w:sz w:val="32"/>
          <w:szCs w:val="20"/>
          <w:highlight w:val="none"/>
        </w:rPr>
      </w:pPr>
      <w:bookmarkStart w:id="1711" w:name="_Toc3252"/>
      <w:bookmarkStart w:id="1712" w:name="_Toc482188627"/>
      <w:bookmarkStart w:id="1713" w:name="_Toc14694"/>
      <w:bookmarkStart w:id="1714" w:name="_Toc10453"/>
      <w:bookmarkStart w:id="1715" w:name="_Toc15973"/>
      <w:bookmarkStart w:id="1716" w:name="_Toc492300916"/>
      <w:bookmarkStart w:id="1717" w:name="_Toc75857086"/>
      <w:bookmarkStart w:id="1718" w:name="_Toc10608"/>
      <w:r>
        <w:rPr>
          <w:rFonts w:ascii="宋体" w:hAnsi="宋体"/>
          <w:sz w:val="32"/>
          <w:szCs w:val="20"/>
          <w:highlight w:val="none"/>
        </w:rPr>
        <w:t>14. 违约</w:t>
      </w:r>
      <w:bookmarkEnd w:id="1711"/>
      <w:bookmarkEnd w:id="1712"/>
      <w:bookmarkEnd w:id="1713"/>
      <w:bookmarkEnd w:id="1714"/>
      <w:bookmarkEnd w:id="1715"/>
      <w:bookmarkEnd w:id="1716"/>
      <w:bookmarkEnd w:id="1717"/>
      <w:bookmarkEnd w:id="1718"/>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719" w:name="_Toc492300917"/>
      <w:bookmarkStart w:id="1720" w:name="_Toc482188628"/>
      <w:r>
        <w:rPr>
          <w:rFonts w:ascii="宋体" w:hAnsi="宋体"/>
          <w:color w:val="000000"/>
          <w:sz w:val="28"/>
          <w:szCs w:val="20"/>
          <w:highlight w:val="none"/>
        </w:rPr>
        <w:t xml:space="preserve">14.1 </w:t>
      </w:r>
      <w:r>
        <w:rPr>
          <w:rFonts w:hint="eastAsia" w:ascii="宋体" w:hAnsi="宋体"/>
          <w:color w:val="000000"/>
          <w:sz w:val="28"/>
          <w:szCs w:val="20"/>
          <w:highlight w:val="none"/>
        </w:rPr>
        <w:t>勘察人违约</w:t>
      </w:r>
      <w:bookmarkEnd w:id="1719"/>
      <w:bookmarkEnd w:id="1720"/>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14.1.1</w:t>
      </w:r>
      <w:r>
        <w:rPr>
          <w:rFonts w:ascii="宋体" w:hAnsi="宋体"/>
          <w:szCs w:val="21"/>
          <w:highlight w:val="none"/>
        </w:rPr>
        <w:t>合同履行中发生下列情况之一的，属勘察人违约：</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w:t>
      </w:r>
      <w:bookmarkStart w:id="1721" w:name="_Toc247514185"/>
      <w:bookmarkStart w:id="1722" w:name="_Toc247527786"/>
      <w:bookmarkStart w:id="1723" w:name="_Toc300835187"/>
      <w:r>
        <w:rPr>
          <w:rFonts w:ascii="宋体" w:hAnsi="宋体"/>
          <w:szCs w:val="22"/>
          <w:highlight w:val="none"/>
        </w:rPr>
        <w:t>勘察</w:t>
      </w:r>
      <w:bookmarkEnd w:id="1721"/>
      <w:bookmarkEnd w:id="1722"/>
      <w:bookmarkEnd w:id="1723"/>
      <w:r>
        <w:rPr>
          <w:rFonts w:ascii="宋体" w:hAnsi="宋体"/>
          <w:szCs w:val="22"/>
          <w:highlight w:val="none"/>
        </w:rPr>
        <w:t>文件不符合法律以及合同约定；</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（2）勘察人转包、违法分包或者未经发包人同意擅自分包；</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（3）勘察人未按合同计划完成勘察，从而造成工程损失；</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（4）勘察人无法履行或停止履行合同；</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（5）勘察人</w:t>
      </w:r>
      <w:r>
        <w:rPr>
          <w:rFonts w:ascii="宋体" w:hAnsi="宋体"/>
          <w:szCs w:val="21"/>
          <w:highlight w:val="none"/>
        </w:rPr>
        <w:t>不履行合同约定的其他义务。</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14.1.2</w:t>
      </w:r>
      <w:r>
        <w:rPr>
          <w:rFonts w:ascii="宋体" w:hAnsi="宋体"/>
          <w:szCs w:val="21"/>
          <w:highlight w:val="none"/>
        </w:rPr>
        <w:t xml:space="preserve"> </w:t>
      </w:r>
      <w:r>
        <w:rPr>
          <w:rFonts w:ascii="宋体" w:hAnsi="宋体"/>
          <w:szCs w:val="22"/>
          <w:highlight w:val="none"/>
        </w:rPr>
        <w:t>勘察人发生违约情况时，发包人可向勘察人发出整改通知，要求其在限定期限内纠正；逾期仍不纠正的，</w:t>
      </w:r>
      <w:r>
        <w:rPr>
          <w:rFonts w:ascii="宋体" w:hAnsi="宋体"/>
          <w:szCs w:val="21"/>
          <w:highlight w:val="none"/>
        </w:rPr>
        <w:t>发包人有权解除合同并向勘察人发出解除合同通知。</w:t>
      </w:r>
      <w:r>
        <w:rPr>
          <w:rFonts w:ascii="宋体" w:hAnsi="宋体"/>
          <w:szCs w:val="22"/>
          <w:highlight w:val="none"/>
        </w:rPr>
        <w:t>勘察人应当承担由于违约所造成的费用增加、周期延误和发包人损失等。</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724" w:name="_Toc482188629"/>
      <w:bookmarkStart w:id="1725" w:name="_Toc492300918"/>
      <w:r>
        <w:rPr>
          <w:rFonts w:ascii="宋体" w:hAnsi="宋体"/>
          <w:color w:val="000000"/>
          <w:sz w:val="28"/>
          <w:szCs w:val="20"/>
          <w:highlight w:val="none"/>
        </w:rPr>
        <w:t xml:space="preserve">14.2 </w:t>
      </w:r>
      <w:r>
        <w:rPr>
          <w:rFonts w:hint="eastAsia" w:ascii="宋体" w:hAnsi="宋体"/>
          <w:color w:val="000000"/>
          <w:sz w:val="28"/>
          <w:szCs w:val="20"/>
          <w:highlight w:val="none"/>
        </w:rPr>
        <w:t>发包人违约</w:t>
      </w:r>
      <w:bookmarkEnd w:id="1724"/>
      <w:bookmarkEnd w:id="1725"/>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14.2.1</w:t>
      </w:r>
      <w:r>
        <w:rPr>
          <w:rFonts w:ascii="宋体" w:hAnsi="宋体"/>
          <w:szCs w:val="21"/>
          <w:highlight w:val="none"/>
        </w:rPr>
        <w:t>合同履行中发生下列情况之一的，属发包人违约：</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（1）发</w:t>
      </w:r>
      <w:bookmarkStart w:id="1726" w:name="_Toc247514186"/>
      <w:bookmarkStart w:id="1727" w:name="_Toc247527787"/>
      <w:bookmarkStart w:id="1728" w:name="_Toc300835188"/>
      <w:r>
        <w:rPr>
          <w:rFonts w:ascii="宋体" w:hAnsi="宋体"/>
          <w:szCs w:val="22"/>
          <w:highlight w:val="none"/>
        </w:rPr>
        <w:t>包人未按合同约定支</w:t>
      </w:r>
      <w:bookmarkEnd w:id="1726"/>
      <w:bookmarkEnd w:id="1727"/>
      <w:bookmarkEnd w:id="1728"/>
      <w:r>
        <w:rPr>
          <w:rFonts w:ascii="宋体" w:hAnsi="宋体"/>
          <w:szCs w:val="22"/>
          <w:highlight w:val="none"/>
        </w:rPr>
        <w:t>付勘察费用；</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（2）发包人原因造成勘察停止；</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（3）发包人无法履行或停止履行合同；</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（4）发包人不履</w:t>
      </w:r>
      <w:r>
        <w:rPr>
          <w:rFonts w:ascii="宋体" w:hAnsi="宋体"/>
          <w:szCs w:val="21"/>
          <w:highlight w:val="none"/>
        </w:rPr>
        <w:t>行合同约定的其他义务。</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14.2.2发包人发生违约情况时，勘察人可向发包人发出暂停勘察通知，要求其在限定期限内纠正；逾期仍不纠正的，</w:t>
      </w:r>
      <w:r>
        <w:rPr>
          <w:rFonts w:ascii="宋体" w:hAnsi="宋体"/>
          <w:szCs w:val="21"/>
          <w:highlight w:val="none"/>
        </w:rPr>
        <w:t>勘察人有权解除合同并向发包人发出解除合同通知。</w:t>
      </w:r>
      <w:r>
        <w:rPr>
          <w:rFonts w:ascii="宋体" w:hAnsi="宋体"/>
          <w:szCs w:val="22"/>
          <w:highlight w:val="none"/>
        </w:rPr>
        <w:t>发包人应当承担由于违约所造成的费用增加、周期延误和勘察人损失等。</w:t>
      </w:r>
    </w:p>
    <w:p>
      <w:pPr>
        <w:keepNext/>
        <w:keepLines/>
        <w:tabs>
          <w:tab w:val="left" w:pos="8931"/>
        </w:tabs>
        <w:spacing w:before="260" w:after="260"/>
        <w:ind w:firstLine="137" w:firstLineChars="49"/>
        <w:outlineLvl w:val="3"/>
        <w:rPr>
          <w:rFonts w:ascii="宋体" w:hAnsi="宋体"/>
          <w:color w:val="000000"/>
          <w:sz w:val="28"/>
          <w:szCs w:val="20"/>
          <w:highlight w:val="none"/>
        </w:rPr>
      </w:pPr>
      <w:bookmarkStart w:id="1729" w:name="_Toc492300919"/>
      <w:bookmarkStart w:id="1730" w:name="_Toc482188630"/>
      <w:r>
        <w:rPr>
          <w:rFonts w:ascii="宋体" w:hAnsi="宋体"/>
          <w:color w:val="000000"/>
          <w:sz w:val="28"/>
          <w:szCs w:val="20"/>
          <w:highlight w:val="none"/>
        </w:rPr>
        <w:t xml:space="preserve">14.3 </w:t>
      </w:r>
      <w:r>
        <w:rPr>
          <w:rFonts w:hint="eastAsia" w:ascii="宋体" w:hAnsi="宋体"/>
          <w:color w:val="000000"/>
          <w:sz w:val="28"/>
          <w:szCs w:val="20"/>
          <w:highlight w:val="none"/>
        </w:rPr>
        <w:t>第三人造成的违约</w:t>
      </w:r>
      <w:bookmarkEnd w:id="1729"/>
      <w:bookmarkEnd w:id="1730"/>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在履行合同过程中，一方当事人因第三人的原因造成违约的，应当向对方当事人承担违约责任。一</w:t>
      </w:r>
      <w:bookmarkStart w:id="1731" w:name="_Toc247514187"/>
      <w:bookmarkStart w:id="1732" w:name="_Toc300835189"/>
      <w:bookmarkStart w:id="1733" w:name="_Toc247527788"/>
      <w:r>
        <w:rPr>
          <w:rFonts w:ascii="宋体" w:hAnsi="宋体"/>
          <w:szCs w:val="21"/>
          <w:highlight w:val="none"/>
        </w:rPr>
        <w:t>方当事人和第三人之间的纠纷</w:t>
      </w:r>
      <w:bookmarkEnd w:id="1731"/>
      <w:bookmarkEnd w:id="1732"/>
      <w:bookmarkEnd w:id="1733"/>
      <w:r>
        <w:rPr>
          <w:rFonts w:ascii="宋体" w:hAnsi="宋体"/>
          <w:szCs w:val="21"/>
          <w:highlight w:val="none"/>
        </w:rPr>
        <w:t>，依照法律规定或者按照约定解决。</w:t>
      </w:r>
    </w:p>
    <w:p>
      <w:pPr>
        <w:keepNext/>
        <w:keepLines/>
        <w:tabs>
          <w:tab w:val="left" w:pos="8931"/>
        </w:tabs>
        <w:spacing w:before="260" w:after="260" w:line="413" w:lineRule="auto"/>
        <w:ind w:firstLine="108"/>
        <w:outlineLvl w:val="2"/>
        <w:rPr>
          <w:rFonts w:ascii="宋体" w:hAnsi="宋体"/>
          <w:sz w:val="32"/>
          <w:szCs w:val="20"/>
          <w:highlight w:val="none"/>
        </w:rPr>
      </w:pPr>
      <w:bookmarkStart w:id="1734" w:name="_Toc6682"/>
      <w:bookmarkStart w:id="1735" w:name="_Toc482188631"/>
      <w:bookmarkStart w:id="1736" w:name="_Toc492300920"/>
      <w:bookmarkStart w:id="1737" w:name="_Toc12957"/>
      <w:bookmarkStart w:id="1738" w:name="_Toc8476"/>
      <w:bookmarkStart w:id="1739" w:name="_Toc75857087"/>
      <w:bookmarkStart w:id="1740" w:name="_Toc31140"/>
      <w:bookmarkStart w:id="1741" w:name="_Toc3141"/>
      <w:r>
        <w:rPr>
          <w:rFonts w:ascii="宋体" w:hAnsi="宋体"/>
          <w:sz w:val="32"/>
          <w:szCs w:val="20"/>
          <w:highlight w:val="none"/>
        </w:rPr>
        <w:t>15. 争议的解决</w:t>
      </w:r>
      <w:bookmarkEnd w:id="1734"/>
      <w:bookmarkEnd w:id="1735"/>
      <w:bookmarkEnd w:id="1736"/>
      <w:bookmarkEnd w:id="1737"/>
      <w:bookmarkEnd w:id="1738"/>
      <w:bookmarkEnd w:id="1739"/>
      <w:bookmarkEnd w:id="1740"/>
      <w:bookmarkEnd w:id="1741"/>
    </w:p>
    <w:p>
      <w:pPr>
        <w:tabs>
          <w:tab w:val="left" w:pos="8931"/>
        </w:tabs>
        <w:spacing w:line="360" w:lineRule="auto"/>
        <w:ind w:firstLine="420" w:firstLineChars="200"/>
        <w:rPr>
          <w:rFonts w:ascii="宋体" w:hAnsi="宋体"/>
          <w:szCs w:val="21"/>
          <w:highlight w:val="none"/>
        </w:rPr>
      </w:pPr>
      <w:r>
        <w:rPr>
          <w:rFonts w:ascii="宋体" w:hAnsi="宋体"/>
          <w:szCs w:val="21"/>
          <w:highlight w:val="none"/>
        </w:rPr>
        <w:t>发包人和勘察人在履行合同中发生争议的，可以友好协商解决</w:t>
      </w:r>
      <w:bookmarkStart w:id="1742" w:name="_Toc247527794"/>
      <w:bookmarkStart w:id="1743" w:name="_Toc184635121"/>
      <w:bookmarkStart w:id="1744" w:name="_Toc300835195"/>
      <w:bookmarkStart w:id="1745" w:name="_Toc247514193"/>
      <w:r>
        <w:rPr>
          <w:rFonts w:ascii="宋体" w:hAnsi="宋体"/>
          <w:szCs w:val="21"/>
          <w:highlight w:val="none"/>
        </w:rPr>
        <w:t>。合同当事</w:t>
      </w:r>
      <w:bookmarkEnd w:id="1742"/>
      <w:bookmarkEnd w:id="1743"/>
      <w:bookmarkEnd w:id="1744"/>
      <w:bookmarkEnd w:id="1745"/>
      <w:r>
        <w:rPr>
          <w:rFonts w:ascii="宋体" w:hAnsi="宋体"/>
          <w:szCs w:val="21"/>
          <w:highlight w:val="none"/>
        </w:rPr>
        <w:t>人</w:t>
      </w:r>
      <w:bookmarkStart w:id="1746" w:name="_Toc247527795"/>
      <w:bookmarkStart w:id="1747" w:name="_Toc300835196"/>
      <w:bookmarkStart w:id="1748" w:name="_Toc247514194"/>
      <w:r>
        <w:rPr>
          <w:rFonts w:ascii="宋体" w:hAnsi="宋体"/>
          <w:szCs w:val="21"/>
          <w:highlight w:val="none"/>
        </w:rPr>
        <w:t>友好协商解决不成</w:t>
      </w:r>
      <w:bookmarkEnd w:id="1746"/>
      <w:bookmarkEnd w:id="1747"/>
      <w:bookmarkEnd w:id="1748"/>
      <w:r>
        <w:rPr>
          <w:rFonts w:ascii="宋体" w:hAnsi="宋体"/>
          <w:szCs w:val="21"/>
          <w:highlight w:val="none"/>
        </w:rPr>
        <w:t>的，可在专用合同条款中约定下列一种方式解决：</w:t>
      </w:r>
    </w:p>
    <w:p>
      <w:pPr>
        <w:tabs>
          <w:tab w:val="left" w:pos="8931"/>
        </w:tabs>
        <w:spacing w:line="360" w:lineRule="auto"/>
        <w:ind w:firstLine="420" w:firstLineChars="200"/>
        <w:rPr>
          <w:rFonts w:ascii="宋体" w:hAnsi="宋体"/>
          <w:szCs w:val="22"/>
          <w:highlight w:val="none"/>
        </w:rPr>
      </w:pPr>
      <w:r>
        <w:rPr>
          <w:rFonts w:ascii="宋体" w:hAnsi="宋体"/>
          <w:szCs w:val="22"/>
          <w:highlight w:val="none"/>
        </w:rPr>
        <w:t>（1）向约定的仲裁委员会申请仲裁；</w:t>
      </w:r>
    </w:p>
    <w:p>
      <w:pPr>
        <w:tabs>
          <w:tab w:val="left" w:pos="8931"/>
        </w:tabs>
        <w:spacing w:line="360" w:lineRule="auto"/>
        <w:ind w:firstLine="420" w:firstLineChars="200"/>
        <w:rPr>
          <w:rFonts w:ascii="宋体" w:hAnsi="宋体"/>
          <w:szCs w:val="21"/>
          <w:highlight w:val="none"/>
        </w:rPr>
      </w:pPr>
      <w:r>
        <w:rPr>
          <w:rFonts w:ascii="宋体" w:hAnsi="宋体"/>
          <w:szCs w:val="22"/>
          <w:highlight w:val="none"/>
        </w:rPr>
        <w:t>（2）向有管</w:t>
      </w:r>
      <w:r>
        <w:rPr>
          <w:rFonts w:ascii="宋体" w:hAnsi="宋体"/>
          <w:szCs w:val="21"/>
          <w:highlight w:val="none"/>
        </w:rPr>
        <w:t>辖权的人民法院提起诉讼。</w:t>
      </w:r>
    </w:p>
    <w:p>
      <w:pPr>
        <w:keepNext/>
        <w:keepLines/>
        <w:widowControl/>
        <w:tabs>
          <w:tab w:val="left" w:pos="8931"/>
        </w:tabs>
        <w:spacing w:before="340" w:after="330" w:line="360" w:lineRule="auto"/>
        <w:ind w:right="120" w:rightChars="57"/>
        <w:jc w:val="center"/>
        <w:outlineLvl w:val="1"/>
        <w:rPr>
          <w:rFonts w:ascii="宋体" w:hAnsi="宋体"/>
          <w:b/>
          <w:bCs/>
          <w:kern w:val="44"/>
          <w:sz w:val="44"/>
          <w:szCs w:val="44"/>
          <w:highlight w:val="none"/>
        </w:rPr>
      </w:pPr>
      <w:r>
        <w:rPr>
          <w:rFonts w:ascii="宋体" w:hAnsi="宋体"/>
          <w:szCs w:val="22"/>
          <w:highlight w:val="none"/>
        </w:rPr>
        <w:br w:type="page"/>
      </w:r>
      <w:bookmarkStart w:id="1749" w:name="_Toc23920"/>
      <w:bookmarkStart w:id="1750" w:name="_Toc492300921"/>
      <w:bookmarkStart w:id="1751" w:name="_Toc6937"/>
      <w:bookmarkStart w:id="1752" w:name="_Toc23942"/>
      <w:bookmarkStart w:id="1753" w:name="_Toc26853"/>
      <w:bookmarkStart w:id="1754" w:name="_Toc75857088"/>
      <w:bookmarkStart w:id="1755" w:name="_Toc27471"/>
      <w:bookmarkStart w:id="1756" w:name="_Toc152042546"/>
      <w:bookmarkStart w:id="1757" w:name="_Toc152045767"/>
      <w:bookmarkStart w:id="1758" w:name="_Toc179632785"/>
      <w:bookmarkStart w:id="1759" w:name="_Toc144974826"/>
      <w:r>
        <w:rPr>
          <w:rFonts w:ascii="宋体" w:hAnsi="宋体"/>
          <w:b/>
          <w:bCs/>
          <w:kern w:val="44"/>
          <w:sz w:val="44"/>
          <w:szCs w:val="44"/>
          <w:highlight w:val="none"/>
        </w:rPr>
        <w:t>第</w:t>
      </w:r>
      <w:r>
        <w:rPr>
          <w:rFonts w:hint="eastAsia" w:ascii="宋体" w:hAnsi="宋体"/>
          <w:b/>
          <w:bCs/>
          <w:kern w:val="44"/>
          <w:sz w:val="44"/>
          <w:szCs w:val="44"/>
          <w:highlight w:val="none"/>
        </w:rPr>
        <w:t>三</w:t>
      </w:r>
      <w:r>
        <w:rPr>
          <w:rFonts w:ascii="宋体" w:hAnsi="宋体"/>
          <w:b/>
          <w:bCs/>
          <w:kern w:val="44"/>
          <w:sz w:val="44"/>
          <w:szCs w:val="44"/>
          <w:highlight w:val="none"/>
        </w:rPr>
        <w:t>节</w:t>
      </w:r>
      <w:r>
        <w:rPr>
          <w:rFonts w:hint="eastAsia" w:ascii="宋体" w:hAnsi="宋体"/>
          <w:b/>
          <w:bCs/>
          <w:kern w:val="44"/>
          <w:sz w:val="44"/>
          <w:szCs w:val="44"/>
          <w:highlight w:val="none"/>
        </w:rPr>
        <w:t xml:space="preserve"> </w:t>
      </w:r>
      <w:r>
        <w:rPr>
          <w:rFonts w:ascii="宋体" w:hAnsi="宋体"/>
          <w:b/>
          <w:bCs/>
          <w:kern w:val="44"/>
          <w:sz w:val="44"/>
          <w:szCs w:val="44"/>
          <w:highlight w:val="none"/>
        </w:rPr>
        <w:t>专用合同条款</w:t>
      </w:r>
      <w:bookmarkEnd w:id="1749"/>
      <w:bookmarkEnd w:id="1750"/>
      <w:bookmarkEnd w:id="1751"/>
      <w:bookmarkEnd w:id="1752"/>
      <w:bookmarkEnd w:id="1753"/>
      <w:bookmarkEnd w:id="1754"/>
      <w:bookmarkEnd w:id="1755"/>
    </w:p>
    <w:p>
      <w:pPr>
        <w:keepNext/>
        <w:keepLines/>
        <w:tabs>
          <w:tab w:val="left" w:pos="8931"/>
        </w:tabs>
        <w:spacing w:before="120" w:after="120" w:line="413" w:lineRule="auto"/>
        <w:outlineLvl w:val="2"/>
        <w:rPr>
          <w:rFonts w:ascii="宋体" w:hAnsi="宋体"/>
          <w:bCs/>
          <w:szCs w:val="21"/>
          <w:highlight w:val="none"/>
        </w:rPr>
      </w:pPr>
      <w:bookmarkStart w:id="1760" w:name="_Toc29298"/>
      <w:bookmarkEnd w:id="1760"/>
      <w:bookmarkStart w:id="1761" w:name="_Toc369531675"/>
      <w:bookmarkEnd w:id="1761"/>
      <w:bookmarkStart w:id="1762" w:name="_Toc296602565"/>
      <w:bookmarkEnd w:id="1762"/>
      <w:bookmarkStart w:id="1763" w:name="_Toc246996319"/>
      <w:bookmarkEnd w:id="1763"/>
      <w:bookmarkStart w:id="1764" w:name="_Toc9766"/>
      <w:bookmarkEnd w:id="1764"/>
      <w:bookmarkStart w:id="1765" w:name="_Toc369531676"/>
      <w:bookmarkEnd w:id="1765"/>
      <w:bookmarkStart w:id="1766" w:name="_Toc246997062"/>
      <w:bookmarkEnd w:id="1766"/>
      <w:bookmarkStart w:id="1767" w:name="_Toc247085834"/>
      <w:bookmarkEnd w:id="1767"/>
      <w:bookmarkStart w:id="1768" w:name="_Toc184635117"/>
      <w:bookmarkEnd w:id="1768"/>
      <w:bookmarkStart w:id="1769" w:name="_Toc14931"/>
      <w:bookmarkStart w:id="1770" w:name="_Toc31379"/>
      <w:bookmarkStart w:id="1771" w:name="_Toc536463090"/>
      <w:bookmarkStart w:id="1772" w:name="_Toc3550"/>
      <w:bookmarkStart w:id="1773" w:name="_Toc75857089"/>
      <w:bookmarkStart w:id="1774" w:name="_Toc209"/>
      <w:bookmarkStart w:id="1775" w:name="_Toc9209"/>
      <w:r>
        <w:rPr>
          <w:rFonts w:ascii="宋体" w:hAnsi="宋体"/>
          <w:sz w:val="32"/>
          <w:szCs w:val="20"/>
          <w:highlight w:val="none"/>
        </w:rPr>
        <w:t>1. 一般约定</w:t>
      </w:r>
      <w:bookmarkEnd w:id="1769"/>
      <w:bookmarkEnd w:id="1770"/>
      <w:bookmarkEnd w:id="1771"/>
      <w:bookmarkEnd w:id="1772"/>
      <w:bookmarkEnd w:id="1773"/>
      <w:bookmarkEnd w:id="1774"/>
      <w:bookmarkEnd w:id="1775"/>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1.1词语定义</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1.1.3.1 工程名称：</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 xml:space="preserve">1.1.3.2 </w:t>
      </w:r>
      <w:r>
        <w:rPr>
          <w:rFonts w:hint="eastAsia" w:ascii="宋体" w:hAnsi="宋体"/>
          <w:kern w:val="0"/>
          <w:szCs w:val="21"/>
          <w:highlight w:val="none"/>
        </w:rPr>
        <w:t>勘察</w:t>
      </w:r>
      <w:r>
        <w:rPr>
          <w:rFonts w:ascii="宋体" w:hAnsi="宋体"/>
          <w:kern w:val="0"/>
          <w:szCs w:val="21"/>
          <w:highlight w:val="none"/>
        </w:rPr>
        <w:t>服务：</w:t>
      </w:r>
      <w:r>
        <w:rPr>
          <w:rFonts w:ascii="宋体" w:hAnsi="宋体"/>
          <w:kern w:val="0"/>
          <w:szCs w:val="21"/>
          <w:highlight w:val="none"/>
          <w:u w:val="single"/>
        </w:rPr>
        <w:t>（包含</w:t>
      </w:r>
      <w:r>
        <w:rPr>
          <w:rFonts w:hint="eastAsia" w:ascii="宋体" w:hAnsi="宋体"/>
          <w:kern w:val="0"/>
          <w:szCs w:val="21"/>
          <w:highlight w:val="none"/>
          <w:u w:val="single"/>
        </w:rPr>
        <w:t>勘察</w:t>
      </w:r>
      <w:r>
        <w:rPr>
          <w:rFonts w:ascii="宋体" w:hAnsi="宋体"/>
          <w:kern w:val="0"/>
          <w:szCs w:val="21"/>
          <w:highlight w:val="none"/>
          <w:u w:val="single"/>
        </w:rPr>
        <w:t>内容和</w:t>
      </w:r>
      <w:r>
        <w:rPr>
          <w:rFonts w:hint="eastAsia" w:ascii="宋体" w:hAnsi="宋体"/>
          <w:kern w:val="0"/>
          <w:szCs w:val="21"/>
          <w:highlight w:val="none"/>
          <w:u w:val="single"/>
        </w:rPr>
        <w:t>勘察</w:t>
      </w:r>
      <w:r>
        <w:rPr>
          <w:rFonts w:ascii="宋体" w:hAnsi="宋体"/>
          <w:kern w:val="0"/>
          <w:szCs w:val="21"/>
          <w:highlight w:val="none"/>
          <w:u w:val="single"/>
        </w:rPr>
        <w:t>阶段，按实际委托范围填写）</w:t>
      </w:r>
      <w:r>
        <w:rPr>
          <w:rFonts w:ascii="宋体" w:hAnsi="宋体"/>
          <w:kern w:val="0"/>
          <w:szCs w:val="21"/>
          <w:highlight w:val="none"/>
          <w:u w:val="single"/>
        </w:rPr>
        <w:tab/>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1.1.4.5 基准日：（</w:t>
      </w:r>
      <w:r>
        <w:rPr>
          <w:rFonts w:ascii="宋体" w:hAnsi="宋体"/>
          <w:kern w:val="0"/>
          <w:szCs w:val="21"/>
          <w:highlight w:val="none"/>
          <w:u w:val="single"/>
        </w:rPr>
        <w:t>招标发包的</w:t>
      </w:r>
      <w:r>
        <w:rPr>
          <w:rFonts w:hint="eastAsia" w:ascii="宋体" w:hAnsi="宋体"/>
          <w:kern w:val="0"/>
          <w:szCs w:val="21"/>
          <w:highlight w:val="none"/>
          <w:u w:val="single"/>
        </w:rPr>
        <w:t>勘察</w:t>
      </w:r>
      <w:r>
        <w:rPr>
          <w:rFonts w:ascii="宋体" w:hAnsi="宋体"/>
          <w:kern w:val="0"/>
          <w:szCs w:val="21"/>
          <w:highlight w:val="none"/>
          <w:u w:val="single"/>
        </w:rPr>
        <w:t>以投标截止日之前28天的日期为基准日期/直接发包的</w:t>
      </w:r>
      <w:r>
        <w:rPr>
          <w:rFonts w:hint="eastAsia" w:ascii="宋体" w:hAnsi="宋体"/>
          <w:kern w:val="0"/>
          <w:szCs w:val="21"/>
          <w:highlight w:val="none"/>
          <w:u w:val="single"/>
        </w:rPr>
        <w:t>勘察</w:t>
      </w:r>
      <w:r>
        <w:rPr>
          <w:rFonts w:ascii="宋体" w:hAnsi="宋体"/>
          <w:kern w:val="0"/>
          <w:szCs w:val="21"/>
          <w:highlight w:val="none"/>
          <w:u w:val="single"/>
        </w:rPr>
        <w:t>以合同签订日之前28天的日期为基准日期。）</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1.3适用法律</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u w:val="single"/>
        </w:rPr>
        <w:tab/>
      </w:r>
      <w:r>
        <w:rPr>
          <w:rFonts w:ascii="宋体" w:hAnsi="宋体"/>
          <w:kern w:val="0"/>
          <w:szCs w:val="21"/>
          <w:highlight w:val="none"/>
        </w:rPr>
        <w:t>。</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6</w:t>
      </w:r>
      <w:r>
        <w:rPr>
          <w:rFonts w:ascii="宋体" w:hAnsi="宋体"/>
          <w:color w:val="000000"/>
          <w:szCs w:val="21"/>
          <w:highlight w:val="none"/>
        </w:rPr>
        <w:t>文件的提供</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w:t>
      </w:r>
      <w:r>
        <w:rPr>
          <w:rFonts w:hint="eastAsia" w:ascii="宋体" w:hAnsi="宋体"/>
          <w:kern w:val="0"/>
          <w:szCs w:val="21"/>
          <w:highlight w:val="none"/>
        </w:rPr>
        <w:t>6</w:t>
      </w:r>
      <w:r>
        <w:rPr>
          <w:rFonts w:ascii="宋体" w:hAnsi="宋体"/>
          <w:kern w:val="0"/>
          <w:szCs w:val="21"/>
          <w:highlight w:val="none"/>
        </w:rPr>
        <w:t>.2 发包人提供的文件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发包人提供的文件名称、份数、提交时间见下表：</w:t>
      </w:r>
    </w:p>
    <w:tbl>
      <w:tblPr>
        <w:tblStyle w:val="55"/>
        <w:tblW w:w="96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3455"/>
        <w:gridCol w:w="992"/>
        <w:gridCol w:w="3046"/>
        <w:gridCol w:w="1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68"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序号</w:t>
            </w:r>
          </w:p>
        </w:tc>
        <w:tc>
          <w:tcPr>
            <w:tcW w:w="3455"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发包人提供的文件名称</w:t>
            </w:r>
          </w:p>
        </w:tc>
        <w:tc>
          <w:tcPr>
            <w:tcW w:w="992"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份数</w:t>
            </w:r>
          </w:p>
        </w:tc>
        <w:tc>
          <w:tcPr>
            <w:tcW w:w="3046"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提交时间</w:t>
            </w:r>
          </w:p>
        </w:tc>
        <w:tc>
          <w:tcPr>
            <w:tcW w:w="1095"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68"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1</w:t>
            </w:r>
          </w:p>
        </w:tc>
        <w:tc>
          <w:tcPr>
            <w:tcW w:w="3455"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u w:val="single"/>
              </w:rPr>
              <w:t xml:space="preserve">规划设计条件 </w:t>
            </w:r>
          </w:p>
        </w:tc>
        <w:tc>
          <w:tcPr>
            <w:tcW w:w="992"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 xml:space="preserve"> </w:t>
            </w:r>
          </w:p>
        </w:tc>
        <w:tc>
          <w:tcPr>
            <w:tcW w:w="3046"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p>
        </w:tc>
        <w:tc>
          <w:tcPr>
            <w:tcW w:w="1095"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68"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2</w:t>
            </w:r>
          </w:p>
        </w:tc>
        <w:tc>
          <w:tcPr>
            <w:tcW w:w="3455"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hint="eastAsia" w:ascii="宋体" w:hAnsi="宋体"/>
                <w:kern w:val="0"/>
                <w:szCs w:val="21"/>
                <w:highlight w:val="none"/>
                <w:u w:val="single"/>
                <w:lang w:val="en-US" w:eastAsia="zh-CN"/>
              </w:rPr>
              <w:t>发包人要求</w:t>
            </w:r>
          </w:p>
        </w:tc>
        <w:tc>
          <w:tcPr>
            <w:tcW w:w="992"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 xml:space="preserve"> </w:t>
            </w:r>
          </w:p>
        </w:tc>
        <w:tc>
          <w:tcPr>
            <w:tcW w:w="3046"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p>
        </w:tc>
        <w:tc>
          <w:tcPr>
            <w:tcW w:w="1095"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1068" w:type="dxa"/>
            <w:vAlign w:val="center"/>
          </w:tcPr>
          <w:p>
            <w:pPr>
              <w:widowControl/>
              <w:tabs>
                <w:tab w:val="left" w:pos="9072"/>
                <w:tab w:val="left" w:pos="9781"/>
              </w:tabs>
              <w:spacing w:line="360" w:lineRule="auto"/>
              <w:ind w:right="120" w:rightChars="57"/>
              <w:jc w:val="center"/>
              <w:rPr>
                <w:rFonts w:hint="eastAsia" w:ascii="宋体" w:hAnsi="宋体" w:eastAsia="宋体"/>
                <w:kern w:val="0"/>
                <w:szCs w:val="21"/>
                <w:highlight w:val="none"/>
                <w:lang w:eastAsia="zh-CN"/>
              </w:rPr>
            </w:pPr>
            <w:r>
              <w:rPr>
                <w:rFonts w:hint="eastAsia" w:ascii="宋体" w:hAnsi="宋体"/>
                <w:kern w:val="0"/>
                <w:szCs w:val="21"/>
                <w:highlight w:val="none"/>
                <w:lang w:val="en-US" w:eastAsia="zh-CN"/>
              </w:rPr>
              <w:t>3</w:t>
            </w:r>
          </w:p>
        </w:tc>
        <w:tc>
          <w:tcPr>
            <w:tcW w:w="3455"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r>
              <w:rPr>
                <w:rFonts w:ascii="宋体" w:hAnsi="宋体"/>
                <w:kern w:val="0"/>
                <w:szCs w:val="21"/>
                <w:highlight w:val="none"/>
              </w:rPr>
              <w:t>…</w:t>
            </w:r>
          </w:p>
        </w:tc>
        <w:tc>
          <w:tcPr>
            <w:tcW w:w="992"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3046"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1095"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1068" w:type="dxa"/>
            <w:vAlign w:val="center"/>
          </w:tcPr>
          <w:p>
            <w:pPr>
              <w:widowControl/>
              <w:tabs>
                <w:tab w:val="left" w:pos="9072"/>
                <w:tab w:val="left" w:pos="9781"/>
              </w:tabs>
              <w:spacing w:line="360" w:lineRule="auto"/>
              <w:ind w:right="120" w:rightChars="57"/>
              <w:jc w:val="center"/>
              <w:rPr>
                <w:rFonts w:hint="eastAsia" w:ascii="宋体" w:hAnsi="宋体" w:eastAsia="宋体"/>
                <w:kern w:val="0"/>
                <w:szCs w:val="21"/>
                <w:highlight w:val="none"/>
                <w:lang w:eastAsia="zh-CN"/>
              </w:rPr>
            </w:pPr>
            <w:r>
              <w:rPr>
                <w:rFonts w:hint="eastAsia" w:ascii="宋体" w:hAnsi="宋体"/>
                <w:kern w:val="0"/>
                <w:szCs w:val="21"/>
                <w:highlight w:val="none"/>
                <w:lang w:val="en-US" w:eastAsia="zh-CN"/>
              </w:rPr>
              <w:t>4</w:t>
            </w:r>
          </w:p>
        </w:tc>
        <w:tc>
          <w:tcPr>
            <w:tcW w:w="3455"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r>
              <w:rPr>
                <w:rFonts w:ascii="宋体" w:hAnsi="宋体"/>
                <w:kern w:val="0"/>
                <w:szCs w:val="21"/>
                <w:highlight w:val="none"/>
              </w:rPr>
              <w:t>…</w:t>
            </w:r>
          </w:p>
        </w:tc>
        <w:tc>
          <w:tcPr>
            <w:tcW w:w="992"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3046"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1095"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1068" w:type="dxa"/>
            <w:vAlign w:val="center"/>
          </w:tcPr>
          <w:p>
            <w:pPr>
              <w:widowControl/>
              <w:tabs>
                <w:tab w:val="left" w:pos="9072"/>
                <w:tab w:val="left" w:pos="9781"/>
              </w:tabs>
              <w:spacing w:line="360" w:lineRule="auto"/>
              <w:ind w:right="120" w:rightChars="57"/>
              <w:jc w:val="center"/>
              <w:rPr>
                <w:rFonts w:hint="eastAsia" w:ascii="宋体" w:hAnsi="宋体" w:eastAsia="宋体"/>
                <w:kern w:val="0"/>
                <w:szCs w:val="21"/>
                <w:highlight w:val="none"/>
                <w:lang w:eastAsia="zh-CN"/>
              </w:rPr>
            </w:pPr>
            <w:r>
              <w:rPr>
                <w:rFonts w:hint="eastAsia" w:ascii="宋体" w:hAnsi="宋体"/>
                <w:kern w:val="0"/>
                <w:szCs w:val="21"/>
                <w:highlight w:val="none"/>
                <w:lang w:val="en-US" w:eastAsia="zh-CN"/>
              </w:rPr>
              <w:t>5</w:t>
            </w:r>
          </w:p>
        </w:tc>
        <w:tc>
          <w:tcPr>
            <w:tcW w:w="3455"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r>
              <w:rPr>
                <w:rFonts w:ascii="宋体" w:hAnsi="宋体"/>
                <w:kern w:val="0"/>
                <w:szCs w:val="21"/>
                <w:highlight w:val="none"/>
              </w:rPr>
              <w:t>…</w:t>
            </w:r>
          </w:p>
        </w:tc>
        <w:tc>
          <w:tcPr>
            <w:tcW w:w="992"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3046"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1095"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68" w:type="dxa"/>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说明</w:t>
            </w:r>
          </w:p>
        </w:tc>
        <w:tc>
          <w:tcPr>
            <w:tcW w:w="8588" w:type="dxa"/>
            <w:gridSpan w:val="4"/>
          </w:tcPr>
          <w:p>
            <w:pPr>
              <w:widowControl/>
              <w:tabs>
                <w:tab w:val="left" w:pos="9072"/>
                <w:tab w:val="left" w:pos="9781"/>
              </w:tabs>
              <w:spacing w:line="360" w:lineRule="auto"/>
              <w:ind w:right="120" w:rightChars="57"/>
              <w:jc w:val="left"/>
              <w:rPr>
                <w:rFonts w:ascii="宋体" w:hAnsi="宋体"/>
                <w:kern w:val="0"/>
                <w:szCs w:val="21"/>
                <w:highlight w:val="none"/>
              </w:rPr>
            </w:pPr>
          </w:p>
        </w:tc>
      </w:tr>
    </w:tbl>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7</w:t>
      </w:r>
      <w:r>
        <w:rPr>
          <w:rFonts w:ascii="宋体" w:hAnsi="宋体"/>
          <w:color w:val="000000"/>
          <w:szCs w:val="21"/>
          <w:highlight w:val="none"/>
        </w:rPr>
        <w:t xml:space="preserve"> 联络</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ascii="宋体" w:hAnsi="宋体"/>
          <w:kern w:val="0"/>
          <w:szCs w:val="21"/>
          <w:highlight w:val="none"/>
        </w:rPr>
        <w:t>1.</w:t>
      </w:r>
      <w:r>
        <w:rPr>
          <w:rFonts w:hint="eastAsia" w:ascii="宋体" w:hAnsi="宋体"/>
          <w:kern w:val="0"/>
          <w:szCs w:val="21"/>
          <w:highlight w:val="none"/>
        </w:rPr>
        <w:t>7</w:t>
      </w:r>
      <w:r>
        <w:rPr>
          <w:rFonts w:ascii="宋体" w:hAnsi="宋体"/>
          <w:kern w:val="0"/>
          <w:szCs w:val="21"/>
          <w:highlight w:val="none"/>
        </w:rPr>
        <w:t>.2发包人指定的接收人：</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送达地点：</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电子邮箱：</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电话：</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1050" w:firstLineChars="500"/>
        <w:jc w:val="left"/>
        <w:rPr>
          <w:rFonts w:ascii="宋体" w:hAnsi="宋体"/>
          <w:kern w:val="0"/>
          <w:szCs w:val="21"/>
          <w:highlight w:val="none"/>
        </w:rPr>
      </w:pPr>
      <w:r>
        <w:rPr>
          <w:rFonts w:hint="eastAsia" w:ascii="宋体" w:hAnsi="宋体"/>
          <w:kern w:val="0"/>
          <w:szCs w:val="21"/>
          <w:highlight w:val="none"/>
        </w:rPr>
        <w:t>勘察</w:t>
      </w:r>
      <w:r>
        <w:rPr>
          <w:rFonts w:ascii="宋体" w:hAnsi="宋体"/>
          <w:kern w:val="0"/>
          <w:szCs w:val="21"/>
          <w:highlight w:val="none"/>
        </w:rPr>
        <w:t>人指定的接收人：</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送达地点：</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电子邮箱：</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电话：</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 xml:space="preserve">。  </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8</w:t>
      </w:r>
      <w:r>
        <w:rPr>
          <w:rFonts w:ascii="宋体" w:hAnsi="宋体"/>
          <w:color w:val="000000"/>
          <w:szCs w:val="21"/>
          <w:highlight w:val="none"/>
        </w:rPr>
        <w:t xml:space="preserve"> 转让</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勘察</w:t>
      </w:r>
      <w:r>
        <w:rPr>
          <w:rFonts w:ascii="宋体" w:hAnsi="宋体"/>
          <w:kern w:val="0"/>
          <w:szCs w:val="21"/>
          <w:highlight w:val="none"/>
        </w:rPr>
        <w:t>人不得将合同义务转让给第三人。</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1.1</w:t>
      </w:r>
      <w:r>
        <w:rPr>
          <w:rFonts w:hint="eastAsia" w:ascii="宋体" w:hAnsi="宋体"/>
          <w:color w:val="000000"/>
          <w:szCs w:val="21"/>
          <w:highlight w:val="none"/>
        </w:rPr>
        <w:t>0</w:t>
      </w:r>
      <w:r>
        <w:rPr>
          <w:rFonts w:ascii="宋体" w:hAnsi="宋体"/>
          <w:color w:val="000000"/>
          <w:szCs w:val="21"/>
          <w:highlight w:val="none"/>
        </w:rPr>
        <w:t>知识产权</w:t>
      </w:r>
    </w:p>
    <w:p>
      <w:pPr>
        <w:widowControl/>
        <w:spacing w:line="360" w:lineRule="auto"/>
        <w:ind w:firstLine="420" w:firstLineChars="200"/>
        <w:jc w:val="left"/>
        <w:rPr>
          <w:rFonts w:ascii="宋体" w:hAnsi="宋体"/>
          <w:color w:val="000000"/>
          <w:kern w:val="0"/>
          <w:szCs w:val="21"/>
          <w:highlight w:val="none"/>
          <w:u w:val="single"/>
        </w:rPr>
      </w:pPr>
      <w:r>
        <w:rPr>
          <w:rFonts w:ascii="宋体" w:hAnsi="宋体"/>
          <w:color w:val="000000"/>
          <w:kern w:val="0"/>
          <w:szCs w:val="21"/>
          <w:highlight w:val="none"/>
          <w:u w:val="single"/>
        </w:rPr>
        <w:t>1.1</w:t>
      </w:r>
      <w:r>
        <w:rPr>
          <w:rFonts w:hint="eastAsia" w:ascii="宋体" w:hAnsi="宋体"/>
          <w:color w:val="000000"/>
          <w:kern w:val="0"/>
          <w:szCs w:val="21"/>
          <w:highlight w:val="none"/>
          <w:u w:val="single"/>
        </w:rPr>
        <w:t>0</w:t>
      </w:r>
      <w:r>
        <w:rPr>
          <w:rFonts w:ascii="宋体" w:hAnsi="宋体"/>
          <w:color w:val="000000"/>
          <w:kern w:val="0"/>
          <w:szCs w:val="21"/>
          <w:highlight w:val="none"/>
          <w:u w:val="single"/>
        </w:rPr>
        <w:t>.1关于发包人提供给</w:t>
      </w:r>
      <w:r>
        <w:rPr>
          <w:rFonts w:hint="eastAsia" w:ascii="宋体" w:hAnsi="宋体"/>
          <w:kern w:val="0"/>
          <w:szCs w:val="21"/>
          <w:highlight w:val="none"/>
          <w:u w:val="single"/>
        </w:rPr>
        <w:t>勘察</w:t>
      </w:r>
      <w:r>
        <w:rPr>
          <w:rFonts w:ascii="宋体" w:hAnsi="宋体"/>
          <w:kern w:val="0"/>
          <w:szCs w:val="21"/>
          <w:highlight w:val="none"/>
          <w:u w:val="single"/>
        </w:rPr>
        <w:t>人</w:t>
      </w:r>
      <w:r>
        <w:rPr>
          <w:rFonts w:ascii="宋体" w:hAnsi="宋体"/>
          <w:color w:val="000000"/>
          <w:kern w:val="0"/>
          <w:szCs w:val="21"/>
          <w:highlight w:val="none"/>
          <w:u w:val="single"/>
        </w:rPr>
        <w:t xml:space="preserve">的图纸、发包人为实施工程自行编制或委托编制的技术规格以及反映发包人关于合同要求或其他类似性质的文件的著作权的归属：   </w:t>
      </w:r>
      <w:r>
        <w:rPr>
          <w:rFonts w:hint="eastAsia" w:ascii="宋体" w:hAnsi="宋体"/>
          <w:color w:val="000000"/>
          <w:kern w:val="0"/>
          <w:szCs w:val="21"/>
          <w:highlight w:val="none"/>
          <w:u w:val="single"/>
        </w:rPr>
        <w:t xml:space="preserve">  </w:t>
      </w:r>
      <w:r>
        <w:rPr>
          <w:rFonts w:ascii="宋体" w:hAnsi="宋体"/>
          <w:color w:val="000000"/>
          <w:kern w:val="0"/>
          <w:szCs w:val="21"/>
          <w:highlight w:val="none"/>
          <w:u w:val="single"/>
        </w:rPr>
        <w:t xml:space="preserve"> </w:t>
      </w:r>
      <w:r>
        <w:rPr>
          <w:rFonts w:hint="eastAsia" w:ascii="宋体" w:hAnsi="宋体"/>
          <w:color w:val="000000"/>
          <w:kern w:val="0"/>
          <w:szCs w:val="21"/>
          <w:highlight w:val="none"/>
          <w:u w:val="single"/>
        </w:rPr>
        <w:t xml:space="preserve">  </w:t>
      </w:r>
      <w:r>
        <w:rPr>
          <w:rFonts w:ascii="宋体" w:hAnsi="宋体"/>
          <w:color w:val="000000"/>
          <w:kern w:val="0"/>
          <w:szCs w:val="21"/>
          <w:highlight w:val="none"/>
          <w:u w:val="single"/>
        </w:rPr>
        <w:t xml:space="preserve">                   </w:t>
      </w:r>
    </w:p>
    <w:p>
      <w:pPr>
        <w:widowControl/>
        <w:spacing w:line="360" w:lineRule="auto"/>
        <w:jc w:val="left"/>
        <w:rPr>
          <w:rFonts w:ascii="宋体" w:hAnsi="宋体"/>
          <w:color w:val="000000"/>
          <w:kern w:val="0"/>
          <w:szCs w:val="21"/>
          <w:highlight w:val="none"/>
          <w:u w:val="single"/>
        </w:rPr>
      </w:pPr>
      <w:r>
        <w:rPr>
          <w:rFonts w:ascii="宋体" w:hAnsi="宋体"/>
          <w:color w:val="000000"/>
          <w:kern w:val="0"/>
          <w:szCs w:val="21"/>
          <w:highlight w:val="none"/>
          <w:u w:val="single"/>
        </w:rPr>
        <w:t>                               。</w:t>
      </w:r>
    </w:p>
    <w:p>
      <w:pPr>
        <w:widowControl/>
        <w:spacing w:line="360" w:lineRule="auto"/>
        <w:ind w:left="596" w:leftChars="284"/>
        <w:jc w:val="left"/>
        <w:rPr>
          <w:rFonts w:ascii="宋体" w:hAnsi="宋体"/>
          <w:color w:val="000000"/>
          <w:kern w:val="0"/>
          <w:szCs w:val="21"/>
          <w:highlight w:val="none"/>
          <w:u w:val="single"/>
        </w:rPr>
      </w:pPr>
      <w:r>
        <w:rPr>
          <w:rFonts w:ascii="宋体" w:hAnsi="宋体"/>
          <w:color w:val="000000"/>
          <w:kern w:val="0"/>
          <w:szCs w:val="21"/>
          <w:highlight w:val="none"/>
          <w:u w:val="single"/>
        </w:rPr>
        <w:t xml:space="preserve">关于发包人提供的上述文件的使用限制的要求：         </w:t>
      </w:r>
      <w:r>
        <w:rPr>
          <w:rFonts w:hint="eastAsia" w:ascii="宋体" w:hAnsi="宋体"/>
          <w:color w:val="000000"/>
          <w:kern w:val="0"/>
          <w:szCs w:val="21"/>
          <w:highlight w:val="none"/>
          <w:u w:val="single"/>
        </w:rPr>
        <w:t xml:space="preserve">                               </w:t>
      </w:r>
      <w:r>
        <w:rPr>
          <w:rFonts w:ascii="宋体" w:hAnsi="宋体"/>
          <w:color w:val="000000"/>
          <w:kern w:val="0"/>
          <w:szCs w:val="21"/>
          <w:highlight w:val="none"/>
          <w:u w:val="single"/>
        </w:rPr>
        <w:t xml:space="preserve">    </w:t>
      </w:r>
    </w:p>
    <w:p>
      <w:pPr>
        <w:widowControl/>
        <w:spacing w:line="360" w:lineRule="auto"/>
        <w:jc w:val="left"/>
        <w:rPr>
          <w:rFonts w:ascii="宋体" w:hAnsi="宋体"/>
          <w:color w:val="000000"/>
          <w:kern w:val="0"/>
          <w:szCs w:val="21"/>
          <w:highlight w:val="none"/>
          <w:u w:val="single"/>
        </w:rPr>
      </w:pPr>
      <w:r>
        <w:rPr>
          <w:rFonts w:ascii="宋体" w:hAnsi="宋体"/>
          <w:color w:val="000000"/>
          <w:kern w:val="0"/>
          <w:szCs w:val="21"/>
          <w:highlight w:val="none"/>
          <w:u w:val="single"/>
        </w:rPr>
        <w:t>                                          。</w:t>
      </w:r>
    </w:p>
    <w:p>
      <w:pPr>
        <w:widowControl/>
        <w:spacing w:line="360" w:lineRule="auto"/>
        <w:ind w:left="596" w:leftChars="284"/>
        <w:jc w:val="left"/>
        <w:rPr>
          <w:rFonts w:ascii="宋体" w:hAnsi="宋体"/>
          <w:color w:val="000000"/>
          <w:kern w:val="0"/>
          <w:szCs w:val="21"/>
          <w:highlight w:val="none"/>
          <w:u w:val="single"/>
        </w:rPr>
      </w:pPr>
      <w:r>
        <w:rPr>
          <w:rFonts w:ascii="宋体" w:hAnsi="宋体"/>
          <w:color w:val="000000"/>
          <w:kern w:val="0"/>
          <w:szCs w:val="21"/>
          <w:highlight w:val="none"/>
          <w:u w:val="single"/>
        </w:rPr>
        <w:t>1.1</w:t>
      </w:r>
      <w:r>
        <w:rPr>
          <w:rFonts w:hint="eastAsia" w:ascii="宋体" w:hAnsi="宋体"/>
          <w:color w:val="000000"/>
          <w:kern w:val="0"/>
          <w:szCs w:val="21"/>
          <w:highlight w:val="none"/>
          <w:u w:val="single"/>
        </w:rPr>
        <w:t>0</w:t>
      </w:r>
      <w:r>
        <w:rPr>
          <w:rFonts w:ascii="宋体" w:hAnsi="宋体"/>
          <w:color w:val="000000"/>
          <w:kern w:val="0"/>
          <w:szCs w:val="21"/>
          <w:highlight w:val="none"/>
          <w:u w:val="single"/>
        </w:rPr>
        <w:t>.2关于</w:t>
      </w:r>
      <w:r>
        <w:rPr>
          <w:rFonts w:hint="eastAsia" w:ascii="宋体" w:hAnsi="宋体"/>
          <w:kern w:val="0"/>
          <w:szCs w:val="21"/>
          <w:highlight w:val="none"/>
          <w:u w:val="single"/>
        </w:rPr>
        <w:t>勘察</w:t>
      </w:r>
      <w:r>
        <w:rPr>
          <w:rFonts w:ascii="宋体" w:hAnsi="宋体"/>
          <w:kern w:val="0"/>
          <w:szCs w:val="21"/>
          <w:highlight w:val="none"/>
          <w:u w:val="single"/>
        </w:rPr>
        <w:t>人</w:t>
      </w:r>
      <w:r>
        <w:rPr>
          <w:rFonts w:ascii="宋体" w:hAnsi="宋体"/>
          <w:color w:val="000000"/>
          <w:kern w:val="0"/>
          <w:szCs w:val="21"/>
          <w:highlight w:val="none"/>
          <w:u w:val="single"/>
        </w:rPr>
        <w:t xml:space="preserve">为实施工程所编制文件的著作权的归属：  </w:t>
      </w:r>
      <w:r>
        <w:rPr>
          <w:rFonts w:hint="eastAsia" w:ascii="宋体" w:hAnsi="宋体"/>
          <w:color w:val="000000"/>
          <w:kern w:val="0"/>
          <w:szCs w:val="21"/>
          <w:highlight w:val="none"/>
          <w:u w:val="single"/>
        </w:rPr>
        <w:t xml:space="preserve">                             </w:t>
      </w:r>
      <w:r>
        <w:rPr>
          <w:rFonts w:ascii="宋体" w:hAnsi="宋体"/>
          <w:color w:val="000000"/>
          <w:kern w:val="0"/>
          <w:szCs w:val="21"/>
          <w:highlight w:val="none"/>
          <w:u w:val="single"/>
        </w:rPr>
        <w:t xml:space="preserve">   </w:t>
      </w:r>
    </w:p>
    <w:p>
      <w:pPr>
        <w:widowControl/>
        <w:spacing w:line="360" w:lineRule="auto"/>
        <w:jc w:val="left"/>
        <w:rPr>
          <w:rFonts w:ascii="宋体" w:hAnsi="宋体"/>
          <w:color w:val="000000"/>
          <w:kern w:val="0"/>
          <w:szCs w:val="21"/>
          <w:highlight w:val="none"/>
          <w:u w:val="single"/>
        </w:rPr>
      </w:pPr>
      <w:r>
        <w:rPr>
          <w:rFonts w:ascii="宋体" w:hAnsi="宋体"/>
          <w:color w:val="000000"/>
          <w:kern w:val="0"/>
          <w:szCs w:val="21"/>
          <w:highlight w:val="none"/>
          <w:u w:val="single"/>
        </w:rPr>
        <w:t>                                。</w:t>
      </w:r>
    </w:p>
    <w:p>
      <w:pPr>
        <w:widowControl/>
        <w:spacing w:line="360" w:lineRule="auto"/>
        <w:ind w:firstLine="420" w:firstLineChars="200"/>
        <w:jc w:val="left"/>
        <w:rPr>
          <w:rFonts w:ascii="宋体" w:hAnsi="宋体"/>
          <w:color w:val="000000"/>
          <w:kern w:val="0"/>
          <w:szCs w:val="21"/>
          <w:highlight w:val="none"/>
          <w:u w:val="single"/>
        </w:rPr>
      </w:pPr>
      <w:r>
        <w:rPr>
          <w:rFonts w:ascii="宋体" w:hAnsi="宋体"/>
          <w:color w:val="000000"/>
          <w:kern w:val="0"/>
          <w:szCs w:val="21"/>
          <w:highlight w:val="none"/>
          <w:u w:val="single"/>
        </w:rPr>
        <w:t>关于</w:t>
      </w:r>
      <w:r>
        <w:rPr>
          <w:rFonts w:hint="eastAsia" w:ascii="宋体" w:hAnsi="宋体"/>
          <w:kern w:val="0"/>
          <w:szCs w:val="21"/>
          <w:highlight w:val="none"/>
          <w:u w:val="single"/>
        </w:rPr>
        <w:t>勘察</w:t>
      </w:r>
      <w:r>
        <w:rPr>
          <w:rFonts w:ascii="宋体" w:hAnsi="宋体"/>
          <w:kern w:val="0"/>
          <w:szCs w:val="21"/>
          <w:highlight w:val="none"/>
          <w:u w:val="single"/>
        </w:rPr>
        <w:t>人</w:t>
      </w:r>
      <w:r>
        <w:rPr>
          <w:rFonts w:ascii="宋体" w:hAnsi="宋体"/>
          <w:color w:val="000000"/>
          <w:kern w:val="0"/>
          <w:szCs w:val="21"/>
          <w:highlight w:val="none"/>
          <w:u w:val="single"/>
        </w:rPr>
        <w:t>提供的上述文件的使用限制的要求：   </w:t>
      </w:r>
      <w:r>
        <w:rPr>
          <w:rFonts w:hint="eastAsia" w:ascii="宋体" w:hAnsi="宋体"/>
          <w:color w:val="000000"/>
          <w:kern w:val="0"/>
          <w:szCs w:val="21"/>
          <w:highlight w:val="none"/>
          <w:u w:val="single"/>
        </w:rPr>
        <w:t xml:space="preserve">                                </w:t>
      </w:r>
      <w:r>
        <w:rPr>
          <w:rFonts w:ascii="宋体" w:hAnsi="宋体"/>
          <w:color w:val="000000"/>
          <w:kern w:val="0"/>
          <w:szCs w:val="21"/>
          <w:highlight w:val="none"/>
          <w:u w:val="single"/>
        </w:rPr>
        <w:t></w:t>
      </w:r>
    </w:p>
    <w:p>
      <w:pPr>
        <w:widowControl/>
        <w:spacing w:line="360" w:lineRule="auto"/>
        <w:jc w:val="left"/>
        <w:rPr>
          <w:rFonts w:ascii="宋体" w:hAnsi="宋体"/>
          <w:color w:val="000000"/>
          <w:kern w:val="0"/>
          <w:szCs w:val="21"/>
          <w:highlight w:val="none"/>
          <w:u w:val="single"/>
        </w:rPr>
      </w:pPr>
      <w:r>
        <w:rPr>
          <w:rFonts w:ascii="宋体" w:hAnsi="宋体"/>
          <w:color w:val="000000"/>
          <w:kern w:val="0"/>
          <w:szCs w:val="21"/>
          <w:highlight w:val="none"/>
          <w:u w:val="single"/>
        </w:rPr>
        <w:t>                                     。</w:t>
      </w:r>
    </w:p>
    <w:p>
      <w:pPr>
        <w:widowControl/>
        <w:spacing w:line="360" w:lineRule="auto"/>
        <w:ind w:firstLine="600"/>
        <w:jc w:val="left"/>
        <w:rPr>
          <w:rFonts w:ascii="宋体" w:hAnsi="宋体"/>
          <w:color w:val="000000"/>
          <w:kern w:val="0"/>
          <w:szCs w:val="21"/>
          <w:highlight w:val="none"/>
          <w:u w:val="single"/>
        </w:rPr>
      </w:pPr>
      <w:r>
        <w:rPr>
          <w:rFonts w:ascii="宋体" w:hAnsi="宋体"/>
          <w:color w:val="000000"/>
          <w:kern w:val="0"/>
          <w:szCs w:val="21"/>
          <w:highlight w:val="none"/>
          <w:u w:val="single"/>
        </w:rPr>
        <w:t>1.1</w:t>
      </w:r>
      <w:r>
        <w:rPr>
          <w:rFonts w:hint="eastAsia" w:ascii="宋体" w:hAnsi="宋体"/>
          <w:color w:val="000000"/>
          <w:kern w:val="0"/>
          <w:szCs w:val="21"/>
          <w:highlight w:val="none"/>
          <w:u w:val="single"/>
        </w:rPr>
        <w:t>0</w:t>
      </w:r>
      <w:r>
        <w:rPr>
          <w:rFonts w:ascii="宋体" w:hAnsi="宋体"/>
          <w:color w:val="000000"/>
          <w:kern w:val="0"/>
          <w:szCs w:val="21"/>
          <w:highlight w:val="none"/>
          <w:u w:val="single"/>
        </w:rPr>
        <w:t>.</w:t>
      </w:r>
      <w:r>
        <w:rPr>
          <w:rFonts w:hint="eastAsia" w:ascii="宋体" w:hAnsi="宋体"/>
          <w:color w:val="000000"/>
          <w:kern w:val="0"/>
          <w:szCs w:val="21"/>
          <w:highlight w:val="none"/>
          <w:u w:val="single"/>
        </w:rPr>
        <w:t>3</w:t>
      </w:r>
      <w:r>
        <w:rPr>
          <w:rFonts w:hint="eastAsia" w:ascii="宋体" w:hAnsi="宋体"/>
          <w:kern w:val="0"/>
          <w:szCs w:val="21"/>
          <w:highlight w:val="none"/>
          <w:u w:val="single"/>
        </w:rPr>
        <w:t>勘察</w:t>
      </w:r>
      <w:r>
        <w:rPr>
          <w:rFonts w:ascii="宋体" w:hAnsi="宋体"/>
          <w:kern w:val="0"/>
          <w:szCs w:val="21"/>
          <w:highlight w:val="none"/>
          <w:u w:val="single"/>
        </w:rPr>
        <w:t>人</w:t>
      </w:r>
      <w:r>
        <w:rPr>
          <w:rFonts w:ascii="宋体" w:hAnsi="宋体"/>
          <w:color w:val="000000"/>
          <w:kern w:val="0"/>
          <w:szCs w:val="21"/>
          <w:highlight w:val="none"/>
          <w:u w:val="single"/>
        </w:rPr>
        <w:t>在</w:t>
      </w:r>
      <w:r>
        <w:rPr>
          <w:rFonts w:hint="eastAsia" w:ascii="宋体" w:hAnsi="宋体"/>
          <w:color w:val="000000"/>
          <w:kern w:val="0"/>
          <w:szCs w:val="21"/>
          <w:highlight w:val="none"/>
          <w:u w:val="single"/>
        </w:rPr>
        <w:t>勘察</w:t>
      </w:r>
      <w:r>
        <w:rPr>
          <w:rFonts w:ascii="宋体" w:hAnsi="宋体"/>
          <w:color w:val="000000"/>
          <w:kern w:val="0"/>
          <w:szCs w:val="21"/>
          <w:highlight w:val="none"/>
          <w:u w:val="single"/>
        </w:rPr>
        <w:t xml:space="preserve">过程中所采用的专利、专有技术的使用费的承担方式：     </w:t>
      </w:r>
      <w:r>
        <w:rPr>
          <w:rFonts w:hint="eastAsia" w:ascii="宋体" w:hAnsi="宋体"/>
          <w:color w:val="000000"/>
          <w:kern w:val="0"/>
          <w:szCs w:val="21"/>
          <w:highlight w:val="none"/>
          <w:u w:val="single"/>
        </w:rPr>
        <w:t xml:space="preserve">  </w:t>
      </w:r>
      <w:r>
        <w:rPr>
          <w:rFonts w:ascii="宋体" w:hAnsi="宋体"/>
          <w:color w:val="000000"/>
          <w:kern w:val="0"/>
          <w:szCs w:val="21"/>
          <w:highlight w:val="none"/>
          <w:u w:val="single"/>
        </w:rPr>
        <w:t xml:space="preserve">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ascii="宋体" w:hAnsi="宋体"/>
          <w:color w:val="000000"/>
          <w:kern w:val="0"/>
          <w:szCs w:val="21"/>
          <w:highlight w:val="none"/>
          <w:u w:val="single"/>
        </w:rPr>
        <w:t>                          。</w:t>
      </w:r>
    </w:p>
    <w:p>
      <w:pPr>
        <w:keepNext/>
        <w:keepLines/>
        <w:tabs>
          <w:tab w:val="left" w:pos="8931"/>
        </w:tabs>
        <w:spacing w:before="260" w:after="260"/>
        <w:ind w:firstLine="102" w:firstLineChars="49"/>
        <w:outlineLvl w:val="3"/>
        <w:rPr>
          <w:rFonts w:ascii="宋体" w:hAnsi="宋体"/>
          <w:bCs/>
          <w:szCs w:val="21"/>
          <w:highlight w:val="none"/>
        </w:rPr>
      </w:pPr>
      <w:r>
        <w:rPr>
          <w:rFonts w:ascii="宋体" w:hAnsi="宋体"/>
          <w:color w:val="000000"/>
          <w:szCs w:val="21"/>
          <w:highlight w:val="none"/>
        </w:rPr>
        <w:t>1.1</w:t>
      </w:r>
      <w:r>
        <w:rPr>
          <w:rFonts w:hint="eastAsia" w:ascii="宋体" w:hAnsi="宋体"/>
          <w:color w:val="000000"/>
          <w:szCs w:val="21"/>
          <w:highlight w:val="none"/>
        </w:rPr>
        <w:t>1</w:t>
      </w:r>
      <w:r>
        <w:rPr>
          <w:rFonts w:ascii="宋体" w:hAnsi="宋体"/>
          <w:color w:val="000000"/>
          <w:szCs w:val="21"/>
          <w:highlight w:val="none"/>
        </w:rPr>
        <w:t>文件及信息的保密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保密期限：</w:t>
      </w:r>
      <w:r>
        <w:rPr>
          <w:rFonts w:ascii="宋体" w:hAnsi="宋体"/>
          <w:kern w:val="0"/>
          <w:szCs w:val="21"/>
          <w:highlight w:val="none"/>
          <w:u w:val="single"/>
        </w:rPr>
        <w:t xml:space="preserve">     </w:t>
      </w:r>
      <w:r>
        <w:rPr>
          <w:rFonts w:ascii="宋体" w:hAnsi="宋体"/>
          <w:kern w:val="0"/>
          <w:szCs w:val="21"/>
          <w:highlight w:val="none"/>
        </w:rPr>
        <w:t>年，保密费已包含在合同价格中。</w:t>
      </w:r>
    </w:p>
    <w:p>
      <w:pPr>
        <w:keepNext/>
        <w:keepLines/>
        <w:tabs>
          <w:tab w:val="left" w:pos="8931"/>
        </w:tabs>
        <w:spacing w:before="120" w:after="120" w:line="413" w:lineRule="auto"/>
        <w:ind w:firstLine="108"/>
        <w:outlineLvl w:val="2"/>
        <w:rPr>
          <w:rFonts w:ascii="宋体" w:hAnsi="宋体"/>
          <w:sz w:val="32"/>
          <w:szCs w:val="20"/>
          <w:highlight w:val="none"/>
        </w:rPr>
      </w:pPr>
      <w:bookmarkStart w:id="1776" w:name="_Toc10251"/>
      <w:bookmarkStart w:id="1777" w:name="_Toc14382"/>
      <w:bookmarkStart w:id="1778" w:name="_Toc536463091"/>
      <w:bookmarkStart w:id="1779" w:name="_Toc12526"/>
      <w:bookmarkStart w:id="1780" w:name="_Toc23083"/>
      <w:bookmarkStart w:id="1781" w:name="_Toc17970"/>
      <w:bookmarkStart w:id="1782" w:name="_Toc75857090"/>
      <w:r>
        <w:rPr>
          <w:rFonts w:ascii="宋体" w:hAnsi="宋体"/>
          <w:sz w:val="32"/>
          <w:szCs w:val="20"/>
          <w:highlight w:val="none"/>
        </w:rPr>
        <w:t>2. 发包人义务</w:t>
      </w:r>
      <w:bookmarkEnd w:id="1776"/>
      <w:bookmarkEnd w:id="1777"/>
      <w:bookmarkEnd w:id="1778"/>
      <w:bookmarkEnd w:id="1779"/>
      <w:bookmarkEnd w:id="1780"/>
      <w:bookmarkEnd w:id="1781"/>
      <w:bookmarkEnd w:id="1782"/>
    </w:p>
    <w:p>
      <w:pPr>
        <w:keepNext/>
        <w:keepLines/>
        <w:tabs>
          <w:tab w:val="left" w:pos="8931"/>
        </w:tabs>
        <w:spacing w:before="260" w:after="260"/>
        <w:ind w:firstLine="102" w:firstLineChars="49"/>
        <w:outlineLvl w:val="3"/>
        <w:rPr>
          <w:rFonts w:ascii="宋体" w:hAnsi="宋体"/>
          <w:strike w:val="0"/>
          <w:color w:val="000000"/>
          <w:szCs w:val="21"/>
          <w:highlight w:val="none"/>
          <w:u w:val="none"/>
        </w:rPr>
      </w:pPr>
      <w:r>
        <w:rPr>
          <w:rFonts w:ascii="宋体" w:hAnsi="宋体"/>
          <w:strike w:val="0"/>
          <w:color w:val="000000"/>
          <w:szCs w:val="21"/>
          <w:highlight w:val="none"/>
          <w:u w:val="none"/>
        </w:rPr>
        <w:t>2.3办理证件和批件</w:t>
      </w:r>
    </w:p>
    <w:p>
      <w:pPr>
        <w:widowControl/>
        <w:tabs>
          <w:tab w:val="left" w:pos="9072"/>
          <w:tab w:val="left" w:pos="9781"/>
        </w:tabs>
        <w:adjustRightInd w:val="0"/>
        <w:snapToGrid w:val="0"/>
        <w:spacing w:line="360" w:lineRule="auto"/>
        <w:ind w:right="120" w:rightChars="57" w:firstLine="420" w:firstLineChars="200"/>
        <w:jc w:val="left"/>
        <w:rPr>
          <w:rFonts w:ascii="宋体" w:hAnsi="宋体"/>
          <w:strike w:val="0"/>
          <w:kern w:val="0"/>
          <w:szCs w:val="21"/>
          <w:highlight w:val="none"/>
          <w:u w:val="single"/>
        </w:rPr>
      </w:pPr>
      <w:r>
        <w:rPr>
          <w:rFonts w:ascii="宋体" w:hAnsi="宋体"/>
          <w:strike w:val="0"/>
          <w:kern w:val="0"/>
          <w:szCs w:val="21"/>
          <w:highlight w:val="none"/>
          <w:u w:val="single"/>
        </w:rPr>
        <w:t>发包人应遵守法律规定和（或）合同约定，负责</w:t>
      </w:r>
      <w:r>
        <w:rPr>
          <w:rFonts w:hint="eastAsia" w:ascii="宋体" w:hAnsi="宋体"/>
          <w:strike w:val="0"/>
          <w:kern w:val="0"/>
          <w:szCs w:val="21"/>
          <w:highlight w:val="none"/>
          <w:u w:val="single"/>
        </w:rPr>
        <w:t>按时</w:t>
      </w:r>
      <w:r>
        <w:rPr>
          <w:rFonts w:ascii="宋体" w:hAnsi="宋体"/>
          <w:strike w:val="0"/>
          <w:kern w:val="0"/>
          <w:szCs w:val="21"/>
          <w:highlight w:val="none"/>
          <w:u w:val="single"/>
        </w:rPr>
        <w:t xml:space="preserve">办理包括但不限于   </w:t>
      </w:r>
      <w:r>
        <w:rPr>
          <w:rFonts w:hint="eastAsia" w:ascii="宋体" w:hAnsi="宋体"/>
          <w:strike w:val="0"/>
          <w:kern w:val="0"/>
          <w:szCs w:val="21"/>
          <w:highlight w:val="none"/>
          <w:u w:val="single"/>
        </w:rPr>
        <w:t xml:space="preserve">             </w:t>
      </w:r>
      <w:r>
        <w:rPr>
          <w:rFonts w:ascii="宋体" w:hAnsi="宋体"/>
          <w:strike w:val="0"/>
          <w:kern w:val="0"/>
          <w:szCs w:val="21"/>
          <w:highlight w:val="none"/>
          <w:u w:val="single"/>
        </w:rPr>
        <w:t>等</w:t>
      </w:r>
      <w:r>
        <w:rPr>
          <w:rFonts w:hint="eastAsia" w:ascii="宋体" w:hAnsi="宋体"/>
          <w:strike w:val="0"/>
          <w:kern w:val="0"/>
          <w:szCs w:val="21"/>
          <w:highlight w:val="none"/>
          <w:u w:val="single"/>
        </w:rPr>
        <w:t>各类审批、核准或备案手续，勘察人应给予必要的协助。</w:t>
      </w:r>
    </w:p>
    <w:p>
      <w:pPr>
        <w:widowControl/>
        <w:tabs>
          <w:tab w:val="left" w:pos="9072"/>
          <w:tab w:val="left" w:pos="9781"/>
        </w:tabs>
        <w:adjustRightInd w:val="0"/>
        <w:snapToGrid w:val="0"/>
        <w:spacing w:line="360" w:lineRule="auto"/>
        <w:ind w:right="120" w:rightChars="57" w:firstLine="420" w:firstLineChars="200"/>
        <w:jc w:val="left"/>
        <w:rPr>
          <w:rFonts w:ascii="宋体" w:hAnsi="宋体"/>
          <w:strike w:val="0"/>
          <w:kern w:val="0"/>
          <w:szCs w:val="21"/>
          <w:highlight w:val="none"/>
          <w:u w:val="single"/>
        </w:rPr>
      </w:pPr>
      <w:r>
        <w:rPr>
          <w:rFonts w:hint="eastAsia" w:ascii="宋体" w:hAnsi="宋体"/>
          <w:strike w:val="0"/>
          <w:kern w:val="0"/>
          <w:szCs w:val="21"/>
          <w:highlight w:val="none"/>
          <w:u w:val="single"/>
        </w:rPr>
        <w:t>勘察人</w:t>
      </w:r>
      <w:r>
        <w:rPr>
          <w:rFonts w:ascii="宋体" w:hAnsi="宋体"/>
          <w:strike w:val="0"/>
          <w:kern w:val="0"/>
          <w:szCs w:val="21"/>
          <w:highlight w:val="none"/>
          <w:u w:val="single"/>
        </w:rPr>
        <w:t>应遵守法律规定和（或）合同约定，负责</w:t>
      </w:r>
      <w:r>
        <w:rPr>
          <w:rFonts w:hint="eastAsia" w:ascii="宋体" w:hAnsi="宋体"/>
          <w:strike w:val="0"/>
          <w:kern w:val="0"/>
          <w:szCs w:val="21"/>
          <w:highlight w:val="none"/>
          <w:u w:val="single"/>
        </w:rPr>
        <w:t>按时</w:t>
      </w:r>
      <w:r>
        <w:rPr>
          <w:rFonts w:ascii="宋体" w:hAnsi="宋体"/>
          <w:strike w:val="0"/>
          <w:kern w:val="0"/>
          <w:szCs w:val="21"/>
          <w:highlight w:val="none"/>
          <w:u w:val="single"/>
        </w:rPr>
        <w:t xml:space="preserve">办理包括但不限于   </w:t>
      </w:r>
      <w:r>
        <w:rPr>
          <w:rFonts w:hint="eastAsia" w:ascii="宋体" w:hAnsi="宋体"/>
          <w:strike w:val="0"/>
          <w:kern w:val="0"/>
          <w:szCs w:val="21"/>
          <w:highlight w:val="none"/>
          <w:u w:val="single"/>
        </w:rPr>
        <w:t xml:space="preserve">             </w:t>
      </w:r>
      <w:r>
        <w:rPr>
          <w:rFonts w:ascii="宋体" w:hAnsi="宋体"/>
          <w:strike w:val="0"/>
          <w:kern w:val="0"/>
          <w:szCs w:val="21"/>
          <w:highlight w:val="none"/>
          <w:u w:val="single"/>
        </w:rPr>
        <w:t>等</w:t>
      </w:r>
      <w:r>
        <w:rPr>
          <w:rFonts w:hint="eastAsia" w:ascii="宋体" w:hAnsi="宋体"/>
          <w:strike w:val="0"/>
          <w:kern w:val="0"/>
          <w:szCs w:val="21"/>
          <w:highlight w:val="none"/>
          <w:u w:val="single"/>
        </w:rPr>
        <w:t>勘察所需的证件和批件，发包人应给予必要的协助。</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2.6 其他义务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2.6.</w:t>
      </w:r>
      <w:r>
        <w:rPr>
          <w:rFonts w:hint="eastAsia" w:ascii="宋体" w:hAnsi="宋体"/>
          <w:kern w:val="0"/>
          <w:szCs w:val="21"/>
          <w:highlight w:val="none"/>
          <w:lang w:val="en-US" w:eastAsia="zh-CN"/>
        </w:rPr>
        <w:t>1</w:t>
      </w:r>
      <w:r>
        <w:rPr>
          <w:rFonts w:ascii="宋体" w:hAnsi="宋体"/>
          <w:kern w:val="0"/>
          <w:szCs w:val="21"/>
          <w:highlight w:val="none"/>
        </w:rPr>
        <w:t>发包人不应对</w:t>
      </w:r>
      <w:r>
        <w:rPr>
          <w:rFonts w:hint="eastAsia" w:ascii="宋体" w:hAnsi="宋体"/>
          <w:kern w:val="0"/>
          <w:szCs w:val="21"/>
          <w:highlight w:val="none"/>
        </w:rPr>
        <w:t>勘察人</w:t>
      </w:r>
      <w:r>
        <w:rPr>
          <w:rFonts w:ascii="宋体" w:hAnsi="宋体"/>
          <w:kern w:val="0"/>
          <w:szCs w:val="21"/>
          <w:highlight w:val="none"/>
        </w:rPr>
        <w:t>提出不符合工程安全生产法律、法规和工程建设强制性标准规定的要求。发包人不应随意压缩合同规定的</w:t>
      </w:r>
      <w:r>
        <w:rPr>
          <w:rFonts w:hint="eastAsia" w:ascii="宋体" w:hAnsi="宋体"/>
          <w:kern w:val="0"/>
          <w:szCs w:val="21"/>
          <w:highlight w:val="none"/>
        </w:rPr>
        <w:t>勘察</w:t>
      </w:r>
      <w:r>
        <w:rPr>
          <w:rFonts w:ascii="宋体" w:hAnsi="宋体"/>
          <w:kern w:val="0"/>
          <w:szCs w:val="21"/>
          <w:highlight w:val="none"/>
        </w:rPr>
        <w:t>周期。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2.6.</w:t>
      </w:r>
      <w:r>
        <w:rPr>
          <w:rFonts w:hint="eastAsia" w:ascii="宋体" w:hAnsi="宋体"/>
          <w:kern w:val="0"/>
          <w:szCs w:val="21"/>
          <w:highlight w:val="none"/>
          <w:lang w:val="en-US" w:eastAsia="zh-CN"/>
        </w:rPr>
        <w:t>2</w:t>
      </w:r>
      <w:r>
        <w:rPr>
          <w:rFonts w:ascii="宋体" w:hAnsi="宋体"/>
          <w:kern w:val="0"/>
          <w:szCs w:val="21"/>
          <w:highlight w:val="none"/>
        </w:rPr>
        <w:t>由于执行发包人的书面指令而造成的</w:t>
      </w:r>
      <w:r>
        <w:rPr>
          <w:rFonts w:hint="eastAsia" w:ascii="宋体" w:hAnsi="宋体"/>
          <w:kern w:val="0"/>
          <w:szCs w:val="21"/>
          <w:highlight w:val="none"/>
        </w:rPr>
        <w:t>勘察</w:t>
      </w:r>
      <w:r>
        <w:rPr>
          <w:rFonts w:ascii="宋体" w:hAnsi="宋体"/>
          <w:kern w:val="0"/>
          <w:szCs w:val="21"/>
          <w:highlight w:val="none"/>
        </w:rPr>
        <w:t>质量事故应由发包人承担责任。但不免除</w:t>
      </w:r>
      <w:r>
        <w:rPr>
          <w:rFonts w:hint="eastAsia" w:ascii="宋体" w:hAnsi="宋体"/>
          <w:kern w:val="0"/>
          <w:szCs w:val="21"/>
          <w:highlight w:val="none"/>
        </w:rPr>
        <w:t>勘察人</w:t>
      </w:r>
      <w:r>
        <w:rPr>
          <w:rFonts w:ascii="宋体" w:hAnsi="宋体"/>
          <w:kern w:val="0"/>
          <w:szCs w:val="21"/>
          <w:highlight w:val="none"/>
        </w:rPr>
        <w:t>根据《建设工程勘察设计管理条例》及相关规定应负的责任。</w:t>
      </w:r>
    </w:p>
    <w:p>
      <w:pPr>
        <w:widowControl/>
        <w:tabs>
          <w:tab w:val="left" w:pos="760"/>
          <w:tab w:val="left" w:pos="9072"/>
          <w:tab w:val="left" w:pos="9781"/>
        </w:tabs>
        <w:adjustRightInd w:val="0"/>
        <w:snapToGrid w:val="0"/>
        <w:spacing w:line="360" w:lineRule="auto"/>
        <w:ind w:right="120" w:rightChars="57" w:firstLine="382" w:firstLineChars="182"/>
        <w:jc w:val="left"/>
        <w:rPr>
          <w:rFonts w:hint="default"/>
          <w:highlight w:val="none"/>
          <w:u w:val="single"/>
        </w:rPr>
      </w:pPr>
      <w:r>
        <w:rPr>
          <w:rFonts w:hint="eastAsia" w:ascii="宋体" w:hAnsi="宋体"/>
          <w:kern w:val="0"/>
          <w:szCs w:val="21"/>
          <w:highlight w:val="none"/>
          <w:lang w:val="en-US" w:eastAsia="zh-CN"/>
        </w:rPr>
        <w:t xml:space="preserve">    </w:t>
      </w:r>
      <w:r>
        <w:rPr>
          <w:rFonts w:hint="eastAsia"/>
          <w:highlight w:val="none"/>
          <w:u w:val="single"/>
          <w:lang w:val="en-US" w:eastAsia="zh-CN"/>
        </w:rPr>
        <w:t xml:space="preserve">                             。</w:t>
      </w:r>
    </w:p>
    <w:p>
      <w:pPr>
        <w:pStyle w:val="2"/>
        <w:rPr>
          <w:rFonts w:hint="default" w:eastAsia="宋体"/>
          <w:highlight w:val="none"/>
          <w:lang w:val="en-US" w:eastAsia="zh-CN"/>
        </w:rPr>
      </w:pPr>
    </w:p>
    <w:p>
      <w:pPr>
        <w:keepNext/>
        <w:keepLines/>
        <w:tabs>
          <w:tab w:val="left" w:pos="8931"/>
        </w:tabs>
        <w:spacing w:before="120" w:after="120" w:line="413" w:lineRule="auto"/>
        <w:ind w:firstLine="108"/>
        <w:outlineLvl w:val="2"/>
        <w:rPr>
          <w:rFonts w:ascii="宋体" w:hAnsi="宋体"/>
          <w:sz w:val="32"/>
          <w:szCs w:val="20"/>
          <w:highlight w:val="none"/>
        </w:rPr>
      </w:pPr>
      <w:bookmarkStart w:id="1783" w:name="_Toc18023"/>
      <w:bookmarkStart w:id="1784" w:name="_Toc13742"/>
      <w:bookmarkStart w:id="1785" w:name="_Toc29446"/>
      <w:bookmarkStart w:id="1786" w:name="_Toc75857091"/>
      <w:bookmarkStart w:id="1787" w:name="_Toc536463092"/>
      <w:bookmarkStart w:id="1788" w:name="_Toc18351"/>
      <w:bookmarkStart w:id="1789" w:name="_Toc27148"/>
      <w:r>
        <w:rPr>
          <w:rFonts w:ascii="宋体" w:hAnsi="宋体"/>
          <w:sz w:val="32"/>
          <w:szCs w:val="20"/>
          <w:highlight w:val="none"/>
        </w:rPr>
        <w:t>3. 发包人管理</w:t>
      </w:r>
      <w:bookmarkEnd w:id="1783"/>
      <w:bookmarkEnd w:id="1784"/>
      <w:bookmarkEnd w:id="1785"/>
      <w:bookmarkEnd w:id="1786"/>
      <w:bookmarkEnd w:id="1787"/>
      <w:bookmarkEnd w:id="1788"/>
      <w:bookmarkEnd w:id="1789"/>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3.1 发包人代表</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姓    名：</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身份证号：</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职    务：</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联系电话：</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电子信箱：</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通信地址：</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3.1.1发包人对发包人代表的授权范围及授权期限如下：</w:t>
      </w:r>
      <w:r>
        <w:rPr>
          <w:rFonts w:ascii="宋体" w:hAnsi="宋体"/>
          <w:kern w:val="0"/>
          <w:szCs w:val="21"/>
          <w:highlight w:val="none"/>
          <w:u w:val="single"/>
        </w:rPr>
        <w:tab/>
      </w:r>
      <w:r>
        <w:rPr>
          <w:rFonts w:ascii="宋体" w:hAnsi="宋体"/>
          <w:kern w:val="0"/>
          <w:szCs w:val="21"/>
          <w:highlight w:val="none"/>
        </w:rPr>
        <w:t>。</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3.2 监理人（如有）</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总监理工程师：</w:t>
      </w:r>
      <w:r>
        <w:rPr>
          <w:rFonts w:ascii="宋体" w:hAnsi="宋体"/>
          <w:kern w:val="0"/>
          <w:szCs w:val="21"/>
          <w:highlight w:val="none"/>
          <w:u w:val="single"/>
        </w:rPr>
        <w:tab/>
      </w:r>
      <w:r>
        <w:rPr>
          <w:rFonts w:ascii="宋体" w:hAnsi="宋体"/>
          <w:kern w:val="0"/>
          <w:szCs w:val="21"/>
          <w:highlight w:val="none"/>
        </w:rPr>
        <w:t>；</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身份证号：</w:t>
      </w:r>
      <w:r>
        <w:rPr>
          <w:rFonts w:ascii="宋体" w:hAnsi="宋体"/>
          <w:kern w:val="0"/>
          <w:szCs w:val="21"/>
          <w:highlight w:val="none"/>
          <w:u w:val="single"/>
        </w:rPr>
        <w:tab/>
      </w:r>
      <w:r>
        <w:rPr>
          <w:rFonts w:ascii="宋体" w:hAnsi="宋体"/>
          <w:kern w:val="0"/>
          <w:szCs w:val="21"/>
          <w:highlight w:val="none"/>
        </w:rPr>
        <w:t>；</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执业资格及等级：</w:t>
      </w:r>
      <w:r>
        <w:rPr>
          <w:rFonts w:ascii="宋体" w:hAnsi="宋体"/>
          <w:kern w:val="0"/>
          <w:szCs w:val="21"/>
          <w:highlight w:val="none"/>
          <w:u w:val="single"/>
        </w:rPr>
        <w:tab/>
      </w:r>
      <w:r>
        <w:rPr>
          <w:rFonts w:ascii="宋体" w:hAnsi="宋体"/>
          <w:kern w:val="0"/>
          <w:szCs w:val="21"/>
          <w:highlight w:val="none"/>
        </w:rPr>
        <w:t>；</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注册证书号：</w:t>
      </w:r>
      <w:r>
        <w:rPr>
          <w:rFonts w:ascii="宋体" w:hAnsi="宋体"/>
          <w:kern w:val="0"/>
          <w:szCs w:val="21"/>
          <w:highlight w:val="none"/>
          <w:u w:val="single"/>
        </w:rPr>
        <w:tab/>
      </w:r>
      <w:r>
        <w:rPr>
          <w:rFonts w:ascii="宋体" w:hAnsi="宋体"/>
          <w:kern w:val="0"/>
          <w:szCs w:val="21"/>
          <w:highlight w:val="none"/>
        </w:rPr>
        <w:t>；</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联系电话：</w:t>
      </w:r>
      <w:r>
        <w:rPr>
          <w:rFonts w:ascii="宋体" w:hAnsi="宋体"/>
          <w:kern w:val="0"/>
          <w:szCs w:val="21"/>
          <w:highlight w:val="none"/>
          <w:u w:val="single"/>
        </w:rPr>
        <w:tab/>
      </w:r>
      <w:r>
        <w:rPr>
          <w:rFonts w:ascii="宋体" w:hAnsi="宋体"/>
          <w:kern w:val="0"/>
          <w:szCs w:val="21"/>
          <w:highlight w:val="none"/>
        </w:rPr>
        <w:t>；</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电子信箱：</w:t>
      </w:r>
      <w:r>
        <w:rPr>
          <w:rFonts w:ascii="宋体" w:hAnsi="宋体"/>
          <w:kern w:val="0"/>
          <w:szCs w:val="21"/>
          <w:highlight w:val="none"/>
          <w:u w:val="single"/>
        </w:rPr>
        <w:tab/>
      </w:r>
      <w:r>
        <w:rPr>
          <w:rFonts w:ascii="宋体" w:hAnsi="宋体"/>
          <w:kern w:val="0"/>
          <w:szCs w:val="21"/>
          <w:highlight w:val="none"/>
        </w:rPr>
        <w:t>；</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通信地址：</w:t>
      </w:r>
      <w:r>
        <w:rPr>
          <w:rFonts w:ascii="宋体" w:hAnsi="宋体"/>
          <w:kern w:val="0"/>
          <w:szCs w:val="21"/>
          <w:highlight w:val="none"/>
          <w:u w:val="single"/>
        </w:rPr>
        <w:tab/>
      </w:r>
      <w:r>
        <w:rPr>
          <w:rFonts w:ascii="宋体" w:hAnsi="宋体"/>
          <w:kern w:val="0"/>
          <w:szCs w:val="21"/>
          <w:highlight w:val="none"/>
        </w:rPr>
        <w:t>；</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监理范围：</w:t>
      </w:r>
      <w:r>
        <w:rPr>
          <w:rFonts w:ascii="宋体" w:hAnsi="宋体"/>
          <w:kern w:val="0"/>
          <w:szCs w:val="21"/>
          <w:highlight w:val="none"/>
          <w:u w:val="single"/>
        </w:rPr>
        <w:tab/>
      </w:r>
      <w:r>
        <w:rPr>
          <w:rFonts w:ascii="宋体" w:hAnsi="宋体"/>
          <w:kern w:val="0"/>
          <w:szCs w:val="21"/>
          <w:highlight w:val="none"/>
        </w:rPr>
        <w:t>；</w:t>
      </w:r>
    </w:p>
    <w:p>
      <w:pPr>
        <w:widowControl/>
        <w:tabs>
          <w:tab w:val="left" w:pos="8475"/>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职责权限：</w:t>
      </w:r>
      <w:r>
        <w:rPr>
          <w:rFonts w:ascii="宋体" w:hAnsi="宋体"/>
          <w:kern w:val="0"/>
          <w:szCs w:val="21"/>
          <w:highlight w:val="none"/>
          <w:u w:val="single"/>
        </w:rPr>
        <w:tab/>
      </w:r>
      <w:r>
        <w:rPr>
          <w:rFonts w:ascii="宋体" w:hAnsi="宋体"/>
          <w:kern w:val="0"/>
          <w:szCs w:val="21"/>
          <w:highlight w:val="none"/>
        </w:rPr>
        <w:t>。</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3.3 发包人的指示</w:t>
      </w:r>
    </w:p>
    <w:p>
      <w:pPr>
        <w:widowControl/>
        <w:tabs>
          <w:tab w:val="left" w:pos="9781"/>
        </w:tabs>
        <w:adjustRightInd w:val="0"/>
        <w:snapToGrid w:val="0"/>
        <w:spacing w:line="360" w:lineRule="auto"/>
        <w:ind w:firstLine="420" w:firstLineChars="200"/>
        <w:jc w:val="left"/>
        <w:rPr>
          <w:rFonts w:ascii="宋体" w:hAnsi="宋体"/>
          <w:kern w:val="0"/>
          <w:szCs w:val="21"/>
          <w:highlight w:val="none"/>
          <w:u w:val="single"/>
        </w:rPr>
      </w:pPr>
      <w:r>
        <w:rPr>
          <w:rFonts w:ascii="宋体" w:hAnsi="宋体"/>
          <w:kern w:val="0"/>
          <w:szCs w:val="21"/>
          <w:highlight w:val="none"/>
        </w:rPr>
        <w:t>3.3.4监理人（如有）指示：</w:t>
      </w:r>
      <w:r>
        <w:rPr>
          <w:rFonts w:ascii="宋体" w:hAnsi="宋体"/>
          <w:kern w:val="0"/>
          <w:szCs w:val="21"/>
          <w:highlight w:val="none"/>
          <w:u w:val="single"/>
        </w:rPr>
        <w:t xml:space="preserve">                           </w:t>
      </w:r>
      <w:r>
        <w:rPr>
          <w:rFonts w:ascii="宋体" w:hAnsi="宋体"/>
          <w:kern w:val="0"/>
          <w:szCs w:val="21"/>
          <w:highlight w:val="none"/>
        </w:rPr>
        <w:t>。</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3.4 决定或答复</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3.4.2发包人应在</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日内，对</w:t>
      </w:r>
      <w:r>
        <w:rPr>
          <w:rFonts w:hint="eastAsia" w:ascii="宋体" w:hAnsi="宋体"/>
          <w:kern w:val="0"/>
          <w:szCs w:val="21"/>
          <w:highlight w:val="none"/>
        </w:rPr>
        <w:t>勘察人</w:t>
      </w:r>
      <w:r>
        <w:rPr>
          <w:rFonts w:ascii="宋体" w:hAnsi="宋体"/>
          <w:kern w:val="0"/>
          <w:szCs w:val="21"/>
          <w:highlight w:val="none"/>
        </w:rPr>
        <w:t>书面提出的事项作出书面明确答复；逾期没有做出书面明确答复的，视为已获得发包人的批准。</w:t>
      </w:r>
    </w:p>
    <w:p>
      <w:pPr>
        <w:keepNext/>
        <w:keepLines/>
        <w:tabs>
          <w:tab w:val="left" w:pos="8931"/>
        </w:tabs>
        <w:spacing w:before="120" w:after="120" w:line="413" w:lineRule="auto"/>
        <w:ind w:firstLine="108"/>
        <w:outlineLvl w:val="2"/>
        <w:rPr>
          <w:rFonts w:ascii="宋体" w:hAnsi="宋体"/>
          <w:sz w:val="32"/>
          <w:szCs w:val="20"/>
          <w:highlight w:val="none"/>
        </w:rPr>
      </w:pPr>
      <w:bookmarkStart w:id="1790" w:name="_Toc75857092"/>
      <w:bookmarkStart w:id="1791" w:name="_Toc10690"/>
      <w:bookmarkStart w:id="1792" w:name="_Toc8739"/>
      <w:bookmarkStart w:id="1793" w:name="_Toc28335"/>
      <w:bookmarkStart w:id="1794" w:name="_Toc23571"/>
      <w:bookmarkStart w:id="1795" w:name="_Toc7314"/>
      <w:bookmarkStart w:id="1796" w:name="_Toc536463093"/>
      <w:r>
        <w:rPr>
          <w:rFonts w:ascii="宋体" w:hAnsi="宋体"/>
          <w:sz w:val="32"/>
          <w:szCs w:val="20"/>
          <w:highlight w:val="none"/>
        </w:rPr>
        <w:t>4.</w:t>
      </w:r>
      <w:r>
        <w:rPr>
          <w:rFonts w:hint="eastAsia" w:ascii="宋体" w:hAnsi="宋体"/>
          <w:sz w:val="32"/>
          <w:szCs w:val="20"/>
          <w:highlight w:val="none"/>
        </w:rPr>
        <w:t xml:space="preserve"> 勘察人</w:t>
      </w:r>
      <w:r>
        <w:rPr>
          <w:rFonts w:ascii="宋体" w:hAnsi="宋体"/>
          <w:sz w:val="32"/>
          <w:szCs w:val="20"/>
          <w:highlight w:val="none"/>
        </w:rPr>
        <w:t>义务</w:t>
      </w:r>
      <w:bookmarkEnd w:id="1790"/>
      <w:bookmarkEnd w:id="1791"/>
      <w:bookmarkEnd w:id="1792"/>
      <w:bookmarkEnd w:id="1793"/>
      <w:bookmarkEnd w:id="1794"/>
      <w:bookmarkEnd w:id="1795"/>
      <w:bookmarkEnd w:id="1796"/>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highlight w:val="none"/>
        </w:rPr>
      </w:pPr>
      <w:r>
        <w:rPr>
          <w:rFonts w:ascii="宋体" w:hAnsi="宋体"/>
          <w:kern w:val="0"/>
          <w:szCs w:val="21"/>
          <w:highlight w:val="none"/>
        </w:rPr>
        <w:t>4.1.</w:t>
      </w:r>
      <w:r>
        <w:rPr>
          <w:rFonts w:hint="eastAsia" w:ascii="宋体" w:hAnsi="宋体"/>
          <w:kern w:val="0"/>
          <w:szCs w:val="21"/>
          <w:highlight w:val="none"/>
        </w:rPr>
        <w:t>6</w:t>
      </w:r>
      <w:r>
        <w:rPr>
          <w:rFonts w:ascii="宋体" w:hAnsi="宋体"/>
          <w:kern w:val="0"/>
          <w:szCs w:val="21"/>
          <w:highlight w:val="none"/>
        </w:rPr>
        <w:t>其他义务</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highlight w:val="none"/>
        </w:rPr>
      </w:pPr>
      <w:r>
        <w:rPr>
          <w:rFonts w:ascii="宋体" w:hAnsi="宋体"/>
          <w:kern w:val="0"/>
          <w:szCs w:val="21"/>
          <w:highlight w:val="none"/>
        </w:rPr>
        <w:t>4.1.</w:t>
      </w:r>
      <w:r>
        <w:rPr>
          <w:rFonts w:hint="eastAsia" w:ascii="宋体" w:hAnsi="宋体"/>
          <w:kern w:val="0"/>
          <w:szCs w:val="21"/>
          <w:highlight w:val="none"/>
        </w:rPr>
        <w:t>6</w:t>
      </w:r>
      <w:r>
        <w:rPr>
          <w:rFonts w:ascii="宋体" w:hAnsi="宋体"/>
          <w:kern w:val="0"/>
          <w:szCs w:val="21"/>
          <w:highlight w:val="none"/>
        </w:rPr>
        <w:t>.1</w:t>
      </w:r>
      <w:r>
        <w:rPr>
          <w:rFonts w:hint="eastAsia" w:ascii="宋体" w:hAnsi="宋体"/>
          <w:kern w:val="0"/>
          <w:szCs w:val="21"/>
          <w:highlight w:val="none"/>
        </w:rPr>
        <w:t>勘察人</w:t>
      </w:r>
      <w:r>
        <w:rPr>
          <w:rFonts w:ascii="宋体" w:hAnsi="宋体"/>
          <w:kern w:val="0"/>
          <w:szCs w:val="21"/>
          <w:highlight w:val="none"/>
        </w:rPr>
        <w:t>应在满足国家技术规范、标准、规程及地方的</w:t>
      </w:r>
      <w:r>
        <w:rPr>
          <w:rFonts w:hint="eastAsia" w:ascii="宋体" w:hAnsi="宋体"/>
          <w:kern w:val="0"/>
          <w:szCs w:val="21"/>
          <w:highlight w:val="none"/>
        </w:rPr>
        <w:t>勘察</w:t>
      </w:r>
      <w:r>
        <w:rPr>
          <w:rFonts w:ascii="宋体" w:hAnsi="宋体"/>
          <w:kern w:val="0"/>
          <w:szCs w:val="21"/>
          <w:highlight w:val="none"/>
        </w:rPr>
        <w:t>规范基础上，根据发包人提出的</w:t>
      </w:r>
      <w:r>
        <w:rPr>
          <w:rFonts w:hint="eastAsia" w:ascii="宋体" w:hAnsi="宋体"/>
          <w:kern w:val="0"/>
          <w:szCs w:val="21"/>
          <w:highlight w:val="none"/>
        </w:rPr>
        <w:t>勘察</w:t>
      </w:r>
      <w:r>
        <w:rPr>
          <w:rFonts w:ascii="宋体" w:hAnsi="宋体"/>
          <w:kern w:val="0"/>
          <w:szCs w:val="21"/>
          <w:highlight w:val="none"/>
        </w:rPr>
        <w:t>要求，进行工程</w:t>
      </w:r>
      <w:r>
        <w:rPr>
          <w:rFonts w:hint="eastAsia" w:ascii="宋体" w:hAnsi="宋体"/>
          <w:kern w:val="0"/>
          <w:szCs w:val="21"/>
          <w:highlight w:val="none"/>
        </w:rPr>
        <w:t>勘察</w:t>
      </w:r>
      <w:r>
        <w:rPr>
          <w:rFonts w:ascii="宋体" w:hAnsi="宋体"/>
          <w:kern w:val="0"/>
          <w:szCs w:val="21"/>
          <w:highlight w:val="none"/>
        </w:rPr>
        <w:t>提交全部</w:t>
      </w:r>
      <w:r>
        <w:rPr>
          <w:rFonts w:hint="eastAsia" w:ascii="宋体" w:hAnsi="宋体"/>
          <w:kern w:val="0"/>
          <w:szCs w:val="21"/>
          <w:highlight w:val="none"/>
        </w:rPr>
        <w:t>勘察</w:t>
      </w:r>
      <w:r>
        <w:rPr>
          <w:rFonts w:ascii="宋体" w:hAnsi="宋体"/>
          <w:kern w:val="0"/>
          <w:szCs w:val="21"/>
          <w:highlight w:val="none"/>
        </w:rPr>
        <w:t>成果，并对其及时性、规范性、完整性、准确性、真实性负责。</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highlight w:val="none"/>
        </w:rPr>
      </w:pPr>
      <w:r>
        <w:rPr>
          <w:rFonts w:ascii="宋体" w:hAnsi="宋体"/>
          <w:kern w:val="0"/>
          <w:szCs w:val="21"/>
          <w:highlight w:val="none"/>
        </w:rPr>
        <w:t>4.1.</w:t>
      </w:r>
      <w:r>
        <w:rPr>
          <w:rFonts w:hint="eastAsia" w:ascii="宋体" w:hAnsi="宋体"/>
          <w:kern w:val="0"/>
          <w:szCs w:val="21"/>
          <w:highlight w:val="none"/>
        </w:rPr>
        <w:t>6</w:t>
      </w:r>
      <w:r>
        <w:rPr>
          <w:rFonts w:ascii="宋体" w:hAnsi="宋体"/>
          <w:kern w:val="0"/>
          <w:szCs w:val="21"/>
          <w:highlight w:val="none"/>
        </w:rPr>
        <w:t>.</w:t>
      </w:r>
      <w:r>
        <w:rPr>
          <w:rFonts w:hint="eastAsia" w:ascii="宋体" w:hAnsi="宋体"/>
          <w:kern w:val="0"/>
          <w:szCs w:val="21"/>
          <w:highlight w:val="none"/>
          <w:lang w:val="en-US" w:eastAsia="zh-CN"/>
        </w:rPr>
        <w:t>2</w:t>
      </w:r>
      <w:r>
        <w:rPr>
          <w:rFonts w:hint="eastAsia" w:ascii="宋体" w:hAnsi="宋体"/>
          <w:kern w:val="0"/>
          <w:szCs w:val="21"/>
          <w:highlight w:val="none"/>
        </w:rPr>
        <w:t>勘察人</w:t>
      </w:r>
      <w:r>
        <w:rPr>
          <w:rFonts w:ascii="宋体" w:hAnsi="宋体"/>
          <w:kern w:val="0"/>
          <w:szCs w:val="21"/>
          <w:highlight w:val="none"/>
        </w:rPr>
        <w:t>在进行勘察时，应采取相应的安全、保卫和环境保护措施</w:t>
      </w:r>
      <w:r>
        <w:rPr>
          <w:rFonts w:hint="eastAsia" w:ascii="宋体" w:hAnsi="宋体"/>
          <w:kern w:val="0"/>
          <w:szCs w:val="21"/>
          <w:highlight w:val="none"/>
        </w:rPr>
        <w:t>。对于勘察人在勘察过程中发生的人员伤亡或财产损失，或造成第三方的人员伤亡、财产损失，或由此而引起的其他一切损害和损失，发包人均不承担责任。</w:t>
      </w:r>
    </w:p>
    <w:p>
      <w:pPr>
        <w:widowControl/>
        <w:tabs>
          <w:tab w:val="left" w:pos="760"/>
          <w:tab w:val="left" w:pos="9072"/>
          <w:tab w:val="left" w:pos="9781"/>
        </w:tabs>
        <w:adjustRightInd w:val="0"/>
        <w:snapToGrid w:val="0"/>
        <w:spacing w:line="360" w:lineRule="auto"/>
        <w:ind w:right="120" w:rightChars="57" w:firstLine="382" w:firstLineChars="182"/>
        <w:jc w:val="left"/>
        <w:rPr>
          <w:rFonts w:ascii="宋体" w:hAnsi="宋体"/>
          <w:kern w:val="0"/>
          <w:szCs w:val="21"/>
          <w:highlight w:val="none"/>
        </w:rPr>
      </w:pPr>
      <w:r>
        <w:rPr>
          <w:rFonts w:ascii="宋体" w:hAnsi="宋体"/>
          <w:kern w:val="0"/>
          <w:szCs w:val="21"/>
          <w:highlight w:val="none"/>
        </w:rPr>
        <w:t>4.1.</w:t>
      </w:r>
      <w:r>
        <w:rPr>
          <w:rFonts w:hint="eastAsia" w:ascii="宋体" w:hAnsi="宋体"/>
          <w:kern w:val="0"/>
          <w:szCs w:val="21"/>
          <w:highlight w:val="none"/>
        </w:rPr>
        <w:t>6</w:t>
      </w:r>
      <w:r>
        <w:rPr>
          <w:rFonts w:ascii="宋体" w:hAnsi="宋体"/>
          <w:kern w:val="0"/>
          <w:szCs w:val="21"/>
          <w:highlight w:val="none"/>
        </w:rPr>
        <w:t>.</w:t>
      </w:r>
      <w:r>
        <w:rPr>
          <w:rFonts w:hint="eastAsia" w:ascii="宋体" w:hAnsi="宋体"/>
          <w:kern w:val="0"/>
          <w:szCs w:val="21"/>
          <w:highlight w:val="none"/>
          <w:lang w:val="en-US" w:eastAsia="zh-CN"/>
        </w:rPr>
        <w:t>3</w:t>
      </w:r>
      <w:r>
        <w:rPr>
          <w:rFonts w:hint="eastAsia" w:ascii="宋体" w:hAnsi="宋体"/>
          <w:kern w:val="0"/>
          <w:szCs w:val="21"/>
          <w:highlight w:val="none"/>
        </w:rPr>
        <w:t>勘察人</w:t>
      </w:r>
      <w:r>
        <w:rPr>
          <w:rFonts w:ascii="宋体" w:hAnsi="宋体"/>
          <w:kern w:val="0"/>
          <w:szCs w:val="21"/>
          <w:highlight w:val="none"/>
        </w:rPr>
        <w:t>为</w:t>
      </w:r>
      <w:r>
        <w:rPr>
          <w:rFonts w:hint="eastAsia" w:ascii="宋体" w:hAnsi="宋体"/>
          <w:kern w:val="0"/>
          <w:szCs w:val="21"/>
          <w:highlight w:val="none"/>
        </w:rPr>
        <w:t>完成勘察任务</w:t>
      </w:r>
      <w:r>
        <w:rPr>
          <w:rFonts w:ascii="宋体" w:hAnsi="宋体"/>
          <w:kern w:val="0"/>
          <w:szCs w:val="21"/>
          <w:highlight w:val="none"/>
        </w:rPr>
        <w:t>，应</w:t>
      </w:r>
      <w:r>
        <w:rPr>
          <w:rFonts w:hint="eastAsia" w:ascii="宋体" w:hAnsi="宋体"/>
          <w:kern w:val="0"/>
          <w:szCs w:val="21"/>
          <w:highlight w:val="none"/>
        </w:rPr>
        <w:t>购买</w:t>
      </w:r>
      <w:r>
        <w:rPr>
          <w:rFonts w:ascii="宋体" w:hAnsi="宋体"/>
          <w:kern w:val="0"/>
          <w:szCs w:val="21"/>
          <w:highlight w:val="none"/>
        </w:rPr>
        <w:t>发包人</w:t>
      </w:r>
      <w:r>
        <w:rPr>
          <w:rFonts w:hint="eastAsia" w:ascii="宋体" w:hAnsi="宋体"/>
          <w:kern w:val="0"/>
          <w:szCs w:val="21"/>
          <w:highlight w:val="none"/>
        </w:rPr>
        <w:t>所投保险以外的</w:t>
      </w:r>
      <w:r>
        <w:rPr>
          <w:rFonts w:ascii="宋体" w:hAnsi="宋体"/>
          <w:kern w:val="0"/>
          <w:szCs w:val="21"/>
          <w:highlight w:val="none"/>
        </w:rPr>
        <w:t>其他有关的雇主责任保险，以使</w:t>
      </w:r>
      <w:r>
        <w:rPr>
          <w:rFonts w:hint="eastAsia" w:ascii="宋体" w:hAnsi="宋体"/>
          <w:kern w:val="0"/>
          <w:szCs w:val="21"/>
          <w:highlight w:val="none"/>
        </w:rPr>
        <w:t>勘察任务</w:t>
      </w:r>
      <w:r>
        <w:rPr>
          <w:rFonts w:ascii="宋体" w:hAnsi="宋体"/>
          <w:kern w:val="0"/>
          <w:szCs w:val="21"/>
          <w:highlight w:val="none"/>
        </w:rPr>
        <w:t>顺利进行。</w:t>
      </w:r>
      <w:r>
        <w:rPr>
          <w:rFonts w:hint="eastAsia" w:ascii="宋体" w:hAnsi="宋体"/>
          <w:kern w:val="0"/>
          <w:szCs w:val="21"/>
          <w:highlight w:val="none"/>
        </w:rPr>
        <w:t>勘察人</w:t>
      </w:r>
      <w:r>
        <w:rPr>
          <w:rFonts w:ascii="宋体" w:hAnsi="宋体"/>
          <w:kern w:val="0"/>
          <w:szCs w:val="21"/>
          <w:highlight w:val="none"/>
        </w:rPr>
        <w:t>将全部保险费（如工程</w:t>
      </w:r>
      <w:r>
        <w:rPr>
          <w:rFonts w:hint="eastAsia" w:ascii="宋体" w:hAnsi="宋体"/>
          <w:kern w:val="0"/>
          <w:szCs w:val="21"/>
          <w:highlight w:val="none"/>
        </w:rPr>
        <w:t>勘察</w:t>
      </w:r>
      <w:r>
        <w:rPr>
          <w:rFonts w:ascii="宋体" w:hAnsi="宋体"/>
          <w:kern w:val="0"/>
          <w:szCs w:val="21"/>
          <w:highlight w:val="none"/>
        </w:rPr>
        <w:t>的人身安全险和设备险等）计入合同报价中，发包人不另行支付。</w:t>
      </w:r>
    </w:p>
    <w:p>
      <w:pPr>
        <w:widowControl/>
        <w:tabs>
          <w:tab w:val="left" w:pos="760"/>
          <w:tab w:val="left" w:pos="9072"/>
          <w:tab w:val="left" w:pos="9781"/>
        </w:tabs>
        <w:adjustRightInd w:val="0"/>
        <w:snapToGrid w:val="0"/>
        <w:spacing w:line="360" w:lineRule="auto"/>
        <w:ind w:right="120" w:rightChars="57" w:firstLine="382" w:firstLineChars="182"/>
        <w:jc w:val="left"/>
        <w:rPr>
          <w:rFonts w:hint="default"/>
          <w:highlight w:val="none"/>
          <w:u w:val="single"/>
        </w:rPr>
      </w:pPr>
      <w:r>
        <w:rPr>
          <w:rFonts w:hint="eastAsia"/>
          <w:highlight w:val="none"/>
          <w:u w:val="single"/>
          <w:lang w:val="en-US" w:eastAsia="zh-CN"/>
        </w:rPr>
        <w:t xml:space="preserve">                             。</w:t>
      </w:r>
    </w:p>
    <w:p>
      <w:pPr>
        <w:keepNext/>
        <w:keepLines/>
        <w:tabs>
          <w:tab w:val="left" w:pos="8931"/>
        </w:tabs>
        <w:spacing w:before="260" w:after="260"/>
        <w:ind w:firstLine="102" w:firstLineChars="49"/>
        <w:outlineLvl w:val="3"/>
        <w:rPr>
          <w:rFonts w:ascii="宋体" w:hAnsi="宋体"/>
          <w:color w:val="000000"/>
          <w:szCs w:val="21"/>
          <w:highlight w:val="none"/>
        </w:rPr>
      </w:pPr>
      <w:r>
        <w:rPr>
          <w:rFonts w:ascii="宋体" w:hAnsi="宋体"/>
          <w:color w:val="000000"/>
          <w:szCs w:val="21"/>
          <w:highlight w:val="none"/>
        </w:rPr>
        <w:t>4.2 履约保证金</w:t>
      </w:r>
    </w:p>
    <w:p>
      <w:pPr>
        <w:widowControl/>
        <w:tabs>
          <w:tab w:val="left" w:pos="9214"/>
        </w:tabs>
        <w:spacing w:line="360" w:lineRule="auto"/>
        <w:ind w:right="565" w:rightChars="269" w:firstLine="420" w:firstLineChars="200"/>
        <w:jc w:val="left"/>
        <w:rPr>
          <w:rFonts w:ascii="宋体" w:hAnsi="宋体"/>
          <w:kern w:val="0"/>
          <w:szCs w:val="21"/>
          <w:highlight w:val="none"/>
        </w:rPr>
      </w:pPr>
      <w:r>
        <w:rPr>
          <w:rFonts w:hint="eastAsia" w:ascii="宋体" w:hAnsi="宋体"/>
          <w:kern w:val="0"/>
          <w:szCs w:val="21"/>
          <w:highlight w:val="none"/>
        </w:rPr>
        <w:t>是否提供履约保证金：</w:t>
      </w:r>
      <w:r>
        <w:rPr>
          <w:rFonts w:hint="eastAsia" w:ascii="宋体" w:hAnsi="宋体"/>
          <w:kern w:val="0"/>
          <w:szCs w:val="21"/>
          <w:highlight w:val="none"/>
          <w:u w:val="single"/>
        </w:rPr>
        <w:t>提供</w:t>
      </w:r>
      <w:r>
        <w:rPr>
          <w:rFonts w:hint="eastAsia" w:ascii="宋体" w:hAnsi="宋体"/>
          <w:kern w:val="0"/>
          <w:szCs w:val="21"/>
          <w:highlight w:val="none"/>
        </w:rPr>
        <w:t>。</w:t>
      </w:r>
    </w:p>
    <w:p>
      <w:pPr>
        <w:widowControl/>
        <w:tabs>
          <w:tab w:val="left" w:pos="9214"/>
        </w:tabs>
        <w:spacing w:line="360" w:lineRule="auto"/>
        <w:ind w:right="565" w:rightChars="269" w:firstLine="420" w:firstLineChars="200"/>
        <w:jc w:val="left"/>
        <w:rPr>
          <w:rFonts w:hint="eastAsia" w:ascii="宋体" w:hAnsi="宋体"/>
          <w:kern w:val="0"/>
          <w:szCs w:val="21"/>
          <w:highlight w:val="none"/>
        </w:rPr>
      </w:pPr>
      <w:r>
        <w:rPr>
          <w:rFonts w:hint="eastAsia" w:ascii="宋体" w:hAnsi="宋体"/>
          <w:kern w:val="0"/>
          <w:szCs w:val="21"/>
          <w:highlight w:val="none"/>
        </w:rPr>
        <w:t>履约保证金形式：现金或履约保函或现金+履约保函的组合，履约保函包括银行保函、保证保险和担保保函，其示范文本详见合同附件。承包人提交的履约保函应严格执行其示范文本，不得对示范文本中的实质性内容进行修改。承包人若采用现金提交履约担保的，允许使用符合《关于在全市工程建设领域全面推行工程保函工作的通知》（渝公管发〔2022〕25号）、《关于进一步规范工程建设领域工程保函示范文本的通知》（渝公管发〔2022〕26号）要求的履约保函置换。</w:t>
      </w:r>
    </w:p>
    <w:p>
      <w:pPr>
        <w:widowControl/>
        <w:tabs>
          <w:tab w:val="left" w:pos="9214"/>
        </w:tabs>
        <w:spacing w:line="360" w:lineRule="auto"/>
        <w:ind w:right="565" w:rightChars="269" w:firstLine="420" w:firstLineChars="200"/>
        <w:jc w:val="left"/>
        <w:rPr>
          <w:rFonts w:ascii="宋体" w:hAnsi="宋体"/>
          <w:kern w:val="0"/>
          <w:szCs w:val="21"/>
          <w:highlight w:val="none"/>
        </w:rPr>
      </w:pPr>
      <w:r>
        <w:rPr>
          <w:rFonts w:hint="eastAsia" w:ascii="宋体" w:hAnsi="宋体"/>
          <w:kern w:val="0"/>
          <w:szCs w:val="21"/>
          <w:highlight w:val="none"/>
        </w:rPr>
        <w:t>具体要求：履约保函的开立人应当是具有相应资格的银行、保险机构、融资担保公司，其信用资质、履约能力、担保能力、赔付流程、安全保密等应符合履约保函业务条件。履约保函应合法合规，符合招投标行政监督部门、行业主管部门和金融监管部门的相关规定，满足招标文件约定要求。承包人应选择在渝依法设立总部或者设有分支机构的金融机构开具履约保函（包括纸质保函或电子保函）。履约保函为纸质保函的，纸质保函应注明在重庆市辖区范围内的核验地址和核验方式，并确保该纸质保函能在开立人在渝的总部或者分支机构进行核验。承包人对所提交的履约保函的真实性、合法性、有效性负责。</w:t>
      </w:r>
    </w:p>
    <w:p>
      <w:pPr>
        <w:widowControl/>
        <w:tabs>
          <w:tab w:val="left" w:pos="9214"/>
        </w:tabs>
        <w:spacing w:line="360" w:lineRule="auto"/>
        <w:ind w:right="565" w:rightChars="269" w:firstLine="420" w:firstLineChars="200"/>
        <w:jc w:val="left"/>
        <w:rPr>
          <w:rFonts w:ascii="宋体" w:hAnsi="宋体"/>
          <w:kern w:val="0"/>
          <w:szCs w:val="21"/>
          <w:highlight w:val="none"/>
        </w:rPr>
      </w:pPr>
      <w:r>
        <w:rPr>
          <w:rFonts w:hint="eastAsia" w:ascii="宋体" w:hAnsi="宋体"/>
          <w:kern w:val="0"/>
          <w:szCs w:val="21"/>
          <w:highlight w:val="none"/>
        </w:rPr>
        <w:t>履约保证金的金额：</w:t>
      </w:r>
      <w:r>
        <w:rPr>
          <w:rFonts w:hint="eastAsia" w:ascii="宋体" w:hAnsi="宋体"/>
          <w:kern w:val="0"/>
          <w:szCs w:val="21"/>
          <w:highlight w:val="none"/>
          <w:u w:val="single"/>
        </w:rPr>
        <w:t xml:space="preserve">            ；</w:t>
      </w:r>
    </w:p>
    <w:p>
      <w:pPr>
        <w:widowControl/>
        <w:tabs>
          <w:tab w:val="left" w:pos="9214"/>
        </w:tabs>
        <w:spacing w:line="360" w:lineRule="auto"/>
        <w:ind w:right="565" w:rightChars="269" w:firstLine="420" w:firstLineChars="200"/>
        <w:jc w:val="left"/>
        <w:rPr>
          <w:rFonts w:hint="eastAsia" w:ascii="宋体" w:hAnsi="宋体"/>
          <w:kern w:val="0"/>
          <w:szCs w:val="21"/>
          <w:highlight w:val="none"/>
        </w:rPr>
      </w:pPr>
      <w:r>
        <w:rPr>
          <w:rFonts w:hint="eastAsia" w:ascii="宋体" w:hAnsi="宋体"/>
          <w:kern w:val="0"/>
          <w:szCs w:val="21"/>
          <w:highlight w:val="none"/>
        </w:rPr>
        <w:t>履约保证金的提交时间：</w:t>
      </w:r>
      <w:r>
        <w:rPr>
          <w:rFonts w:ascii="宋体" w:hAnsi="宋体"/>
          <w:color w:val="auto"/>
          <w:kern w:val="0"/>
          <w:szCs w:val="21"/>
          <w:highlight w:val="none"/>
          <w:u w:val="single"/>
        </w:rPr>
        <w:t>中标通知书送达之日起</w:t>
      </w:r>
      <w:r>
        <w:rPr>
          <w:rFonts w:hint="eastAsia" w:ascii="宋体" w:hAnsi="宋体"/>
          <w:color w:val="auto"/>
          <w:kern w:val="0"/>
          <w:szCs w:val="21"/>
          <w:highlight w:val="none"/>
          <w:u w:val="single"/>
        </w:rPr>
        <w:t xml:space="preserve"> </w:t>
      </w:r>
      <w:r>
        <w:rPr>
          <w:rFonts w:ascii="宋体" w:hAnsi="宋体"/>
          <w:color w:val="auto"/>
          <w:kern w:val="0"/>
          <w:szCs w:val="21"/>
          <w:highlight w:val="none"/>
          <w:u w:val="single"/>
        </w:rPr>
        <w:t>天内/合同签订</w:t>
      </w:r>
      <w:r>
        <w:rPr>
          <w:rFonts w:hint="eastAsia" w:ascii="宋体" w:hAnsi="宋体"/>
          <w:color w:val="auto"/>
          <w:kern w:val="0"/>
          <w:szCs w:val="21"/>
          <w:highlight w:val="none"/>
          <w:u w:val="single"/>
        </w:rPr>
        <w:t xml:space="preserve">（前/后） </w:t>
      </w:r>
      <w:r>
        <w:rPr>
          <w:rFonts w:ascii="宋体" w:hAnsi="宋体"/>
          <w:color w:val="auto"/>
          <w:kern w:val="0"/>
          <w:szCs w:val="21"/>
          <w:highlight w:val="none"/>
          <w:u w:val="single"/>
        </w:rPr>
        <w:t>天内</w:t>
      </w:r>
      <w:r>
        <w:rPr>
          <w:rFonts w:ascii="宋体" w:hAnsi="宋体"/>
          <w:color w:val="auto"/>
          <w:kern w:val="0"/>
          <w:szCs w:val="21"/>
          <w:highlight w:val="none"/>
        </w:rPr>
        <w:t>。</w:t>
      </w:r>
    </w:p>
    <w:p>
      <w:pPr>
        <w:widowControl/>
        <w:tabs>
          <w:tab w:val="left" w:pos="9214"/>
        </w:tabs>
        <w:spacing w:line="360" w:lineRule="auto"/>
        <w:ind w:right="565" w:rightChars="269" w:firstLine="420" w:firstLineChars="200"/>
        <w:jc w:val="left"/>
        <w:rPr>
          <w:rFonts w:ascii="宋体" w:hAnsi="宋体"/>
          <w:kern w:val="0"/>
          <w:szCs w:val="21"/>
          <w:highlight w:val="none"/>
        </w:rPr>
      </w:pPr>
      <w:r>
        <w:rPr>
          <w:rFonts w:hint="eastAsia" w:ascii="宋体" w:hAnsi="宋体"/>
          <w:kern w:val="0"/>
          <w:szCs w:val="21"/>
          <w:highlight w:val="none"/>
        </w:rPr>
        <w:t>履约保证金的期限：</w:t>
      </w:r>
      <w:r>
        <w:rPr>
          <w:rFonts w:hint="eastAsia" w:ascii="宋体" w:hAnsi="宋体" w:cs="宋体"/>
          <w:kern w:val="0"/>
          <w:szCs w:val="21"/>
          <w:highlight w:val="none"/>
          <w:u w:val="single"/>
          <w:lang w:bidi="ar"/>
        </w:rPr>
        <w:t>自提交履约</w:t>
      </w:r>
      <w:r>
        <w:rPr>
          <w:rFonts w:hint="eastAsia" w:ascii="宋体" w:hAnsi="宋体" w:cs="宋体"/>
          <w:kern w:val="0"/>
          <w:szCs w:val="21"/>
          <w:highlight w:val="none"/>
          <w:u w:val="single"/>
          <w:lang w:val="en-US" w:eastAsia="zh-CN" w:bidi="ar"/>
        </w:rPr>
        <w:t>保证金</w:t>
      </w:r>
      <w:r>
        <w:rPr>
          <w:rFonts w:hint="eastAsia" w:ascii="宋体" w:hAnsi="宋体" w:cs="宋体"/>
          <w:kern w:val="0"/>
          <w:szCs w:val="21"/>
          <w:highlight w:val="none"/>
          <w:u w:val="single"/>
          <w:lang w:bidi="ar"/>
        </w:rPr>
        <w:t>之日起</w:t>
      </w:r>
      <w:r>
        <w:rPr>
          <w:rFonts w:ascii="宋体" w:hAnsi="宋体"/>
          <w:kern w:val="0"/>
          <w:szCs w:val="21"/>
          <w:highlight w:val="none"/>
          <w:u w:val="single"/>
        </w:rPr>
        <w:t>生效，在</w:t>
      </w:r>
      <w:r>
        <w:rPr>
          <w:rFonts w:hint="eastAsia" w:ascii="宋体" w:hAnsi="宋体"/>
          <w:kern w:val="0"/>
          <w:szCs w:val="21"/>
          <w:highlight w:val="none"/>
          <w:u w:val="single"/>
        </w:rPr>
        <w:t>发包人签收最后一批勘察成果文件</w:t>
      </w:r>
      <w:r>
        <w:rPr>
          <w:rFonts w:ascii="宋体" w:hAnsi="宋体"/>
          <w:kern w:val="0"/>
          <w:szCs w:val="21"/>
          <w:highlight w:val="none"/>
          <w:u w:val="single"/>
        </w:rPr>
        <w:t>之日起28日后失效</w:t>
      </w:r>
      <w:r>
        <w:rPr>
          <w:rFonts w:hint="eastAsia" w:ascii="宋体" w:hAnsi="宋体"/>
          <w:kern w:val="0"/>
          <w:szCs w:val="21"/>
          <w:highlight w:val="none"/>
          <w:u w:val="single"/>
        </w:rPr>
        <w:t>。</w:t>
      </w:r>
    </w:p>
    <w:p>
      <w:pPr>
        <w:widowControl/>
        <w:tabs>
          <w:tab w:val="left" w:pos="9214"/>
        </w:tabs>
        <w:spacing w:line="360" w:lineRule="auto"/>
        <w:ind w:right="565" w:rightChars="269" w:firstLine="420" w:firstLineChars="200"/>
        <w:jc w:val="left"/>
        <w:rPr>
          <w:rFonts w:ascii="宋体" w:hAnsi="宋体"/>
          <w:kern w:val="0"/>
          <w:szCs w:val="21"/>
          <w:highlight w:val="none"/>
          <w:u w:val="single"/>
        </w:rPr>
      </w:pPr>
      <w:r>
        <w:rPr>
          <w:rFonts w:hint="eastAsia" w:ascii="宋体" w:hAnsi="宋体"/>
          <w:kern w:val="0"/>
          <w:szCs w:val="21"/>
          <w:highlight w:val="none"/>
        </w:rPr>
        <w:t>履约保证金的退还时间：</w:t>
      </w:r>
      <w:r>
        <w:rPr>
          <w:rFonts w:hint="eastAsia" w:ascii="宋体" w:hAnsi="宋体"/>
          <w:kern w:val="0"/>
          <w:szCs w:val="21"/>
          <w:highlight w:val="none"/>
          <w:u w:val="single"/>
        </w:rPr>
        <w:t>采用现金</w:t>
      </w:r>
      <w:r>
        <w:rPr>
          <w:rFonts w:hint="eastAsia" w:ascii="宋体" w:hAnsi="宋体"/>
          <w:kern w:val="0"/>
          <w:szCs w:val="21"/>
          <w:highlight w:val="none"/>
          <w:u w:val="single"/>
          <w:lang w:val="en-US" w:eastAsia="zh-CN"/>
        </w:rPr>
        <w:t>形式</w:t>
      </w:r>
      <w:r>
        <w:rPr>
          <w:rFonts w:hint="eastAsia" w:ascii="宋体" w:hAnsi="宋体"/>
          <w:kern w:val="0"/>
          <w:szCs w:val="21"/>
          <w:highlight w:val="none"/>
          <w:u w:val="single"/>
        </w:rPr>
        <w:t>的，</w:t>
      </w:r>
      <w:r>
        <w:rPr>
          <w:rFonts w:ascii="宋体" w:hAnsi="宋体"/>
          <w:color w:val="auto"/>
          <w:kern w:val="0"/>
          <w:szCs w:val="21"/>
          <w:highlight w:val="none"/>
          <w:u w:val="single"/>
        </w:rPr>
        <w:t>合同履行期间设计人无违约，</w:t>
      </w:r>
      <w:r>
        <w:rPr>
          <w:rFonts w:hint="eastAsia" w:ascii="宋体" w:hAnsi="宋体"/>
          <w:kern w:val="0"/>
          <w:szCs w:val="21"/>
          <w:highlight w:val="none"/>
          <w:u w:val="single"/>
        </w:rPr>
        <w:t>发包人签收最后一批勘察成果文件</w:t>
      </w:r>
      <w:r>
        <w:rPr>
          <w:rFonts w:ascii="宋体" w:hAnsi="宋体"/>
          <w:kern w:val="0"/>
          <w:szCs w:val="21"/>
          <w:highlight w:val="none"/>
          <w:u w:val="single"/>
        </w:rPr>
        <w:t>之日起28日</w:t>
      </w:r>
      <w:r>
        <w:rPr>
          <w:rFonts w:hint="eastAsia" w:ascii="宋体" w:hAnsi="宋体"/>
          <w:kern w:val="0"/>
          <w:szCs w:val="21"/>
          <w:highlight w:val="none"/>
          <w:u w:val="single"/>
        </w:rPr>
        <w:t>内退还；采用</w:t>
      </w:r>
      <w:r>
        <w:rPr>
          <w:rFonts w:hint="eastAsia" w:ascii="宋体" w:hAnsi="宋体"/>
          <w:kern w:val="0"/>
          <w:szCs w:val="21"/>
          <w:highlight w:val="none"/>
          <w:u w:val="single"/>
          <w:lang w:val="en-US" w:eastAsia="zh-CN"/>
        </w:rPr>
        <w:t>履约</w:t>
      </w:r>
      <w:r>
        <w:rPr>
          <w:rFonts w:hint="eastAsia" w:ascii="宋体" w:hAnsi="宋体"/>
          <w:kern w:val="0"/>
          <w:szCs w:val="21"/>
          <w:highlight w:val="none"/>
          <w:u w:val="single"/>
        </w:rPr>
        <w:t>保函</w:t>
      </w:r>
      <w:r>
        <w:rPr>
          <w:rFonts w:hint="eastAsia" w:ascii="宋体" w:hAnsi="宋体"/>
          <w:kern w:val="0"/>
          <w:szCs w:val="21"/>
          <w:highlight w:val="none"/>
          <w:u w:val="single"/>
          <w:lang w:val="en-US" w:eastAsia="zh-CN"/>
        </w:rPr>
        <w:t>形式</w:t>
      </w:r>
      <w:r>
        <w:rPr>
          <w:rFonts w:hint="eastAsia" w:ascii="宋体" w:hAnsi="宋体"/>
          <w:kern w:val="0"/>
          <w:szCs w:val="21"/>
          <w:highlight w:val="none"/>
          <w:u w:val="single"/>
        </w:rPr>
        <w:t>的，</w:t>
      </w:r>
      <w:r>
        <w:rPr>
          <w:rFonts w:ascii="宋体" w:hAnsi="宋体"/>
          <w:color w:val="auto"/>
          <w:kern w:val="0"/>
          <w:szCs w:val="21"/>
          <w:highlight w:val="none"/>
          <w:u w:val="single"/>
        </w:rPr>
        <w:t>合同履行期间设计人无违约，</w:t>
      </w:r>
      <w:r>
        <w:rPr>
          <w:rFonts w:ascii="宋体" w:hAnsi="宋体"/>
          <w:kern w:val="0"/>
          <w:szCs w:val="21"/>
          <w:highlight w:val="none"/>
          <w:u w:val="single"/>
        </w:rPr>
        <w:t>在</w:t>
      </w:r>
      <w:r>
        <w:rPr>
          <w:rFonts w:hint="eastAsia" w:ascii="宋体" w:hAnsi="宋体"/>
          <w:kern w:val="0"/>
          <w:szCs w:val="21"/>
          <w:highlight w:val="none"/>
          <w:u w:val="single"/>
        </w:rPr>
        <w:t>发包人签收最后一批勘察成果文件</w:t>
      </w:r>
      <w:r>
        <w:rPr>
          <w:rFonts w:ascii="宋体" w:hAnsi="宋体"/>
          <w:kern w:val="0"/>
          <w:szCs w:val="21"/>
          <w:highlight w:val="none"/>
          <w:u w:val="single"/>
        </w:rPr>
        <w:t>之日起28日后失效</w:t>
      </w:r>
      <w:r>
        <w:rPr>
          <w:rFonts w:hint="eastAsia" w:ascii="宋体" w:hAnsi="宋体"/>
          <w:kern w:val="0"/>
          <w:szCs w:val="21"/>
          <w:highlight w:val="none"/>
          <w:u w:val="single"/>
        </w:rPr>
        <w:t>。</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4.3 分包和不得转包</w:t>
      </w:r>
    </w:p>
    <w:p>
      <w:pPr>
        <w:widowControl/>
        <w:tabs>
          <w:tab w:val="left" w:pos="8610"/>
          <w:tab w:val="left" w:pos="9781"/>
        </w:tabs>
        <w:adjustRightInd w:val="0"/>
        <w:snapToGrid w:val="0"/>
        <w:spacing w:line="360" w:lineRule="auto"/>
        <w:ind w:right="565" w:rightChars="269" w:firstLine="420" w:firstLineChars="200"/>
        <w:jc w:val="left"/>
        <w:rPr>
          <w:rFonts w:ascii="宋体" w:hAnsi="宋体"/>
          <w:kern w:val="0"/>
          <w:szCs w:val="21"/>
          <w:highlight w:val="none"/>
        </w:rPr>
      </w:pPr>
      <w:r>
        <w:rPr>
          <w:rFonts w:ascii="宋体" w:hAnsi="宋体"/>
          <w:kern w:val="0"/>
          <w:szCs w:val="21"/>
          <w:highlight w:val="none"/>
        </w:rPr>
        <w:t>4.3.2禁止分包的工程</w:t>
      </w:r>
      <w:r>
        <w:rPr>
          <w:rFonts w:hint="eastAsia" w:ascii="宋体" w:hAnsi="宋体"/>
          <w:kern w:val="0"/>
          <w:szCs w:val="21"/>
          <w:highlight w:val="none"/>
        </w:rPr>
        <w:t>勘察</w:t>
      </w:r>
      <w:r>
        <w:rPr>
          <w:rFonts w:ascii="宋体" w:hAnsi="宋体"/>
          <w:kern w:val="0"/>
          <w:szCs w:val="21"/>
          <w:highlight w:val="none"/>
        </w:rPr>
        <w:t>包括：</w:t>
      </w:r>
      <w:r>
        <w:rPr>
          <w:rFonts w:ascii="宋体" w:hAnsi="宋体"/>
          <w:kern w:val="0"/>
          <w:szCs w:val="21"/>
          <w:highlight w:val="none"/>
          <w:u w:val="single"/>
        </w:rPr>
        <w:tab/>
      </w:r>
      <w:r>
        <w:rPr>
          <w:rFonts w:ascii="宋体" w:hAnsi="宋体"/>
          <w:kern w:val="0"/>
          <w:szCs w:val="21"/>
          <w:highlight w:val="none"/>
        </w:rPr>
        <w:t>。</w:t>
      </w:r>
    </w:p>
    <w:p>
      <w:pPr>
        <w:widowControl/>
        <w:tabs>
          <w:tab w:val="left" w:pos="8610"/>
          <w:tab w:val="left" w:pos="9781"/>
        </w:tabs>
        <w:adjustRightInd w:val="0"/>
        <w:snapToGrid w:val="0"/>
        <w:spacing w:line="360" w:lineRule="auto"/>
        <w:ind w:right="565" w:rightChars="269" w:firstLine="420" w:firstLineChars="200"/>
        <w:jc w:val="left"/>
        <w:rPr>
          <w:rFonts w:ascii="宋体" w:hAnsi="宋体"/>
          <w:kern w:val="0"/>
          <w:szCs w:val="21"/>
          <w:highlight w:val="none"/>
        </w:rPr>
      </w:pPr>
      <w:r>
        <w:rPr>
          <w:rFonts w:ascii="宋体" w:hAnsi="宋体"/>
          <w:kern w:val="0"/>
          <w:szCs w:val="21"/>
          <w:highlight w:val="none"/>
        </w:rPr>
        <w:t>主体结构、关键性工作的范围：</w:t>
      </w:r>
      <w:r>
        <w:rPr>
          <w:rFonts w:ascii="宋体" w:hAnsi="宋体"/>
          <w:kern w:val="0"/>
          <w:szCs w:val="21"/>
          <w:highlight w:val="none"/>
          <w:u w:val="single"/>
        </w:rPr>
        <w:tab/>
      </w:r>
      <w:r>
        <w:rPr>
          <w:rFonts w:ascii="宋体" w:hAnsi="宋体"/>
          <w:kern w:val="0"/>
          <w:szCs w:val="21"/>
          <w:highlight w:val="none"/>
        </w:rPr>
        <w:t>。</w:t>
      </w:r>
    </w:p>
    <w:p>
      <w:pPr>
        <w:widowControl/>
        <w:tabs>
          <w:tab w:val="left" w:pos="8610"/>
        </w:tabs>
        <w:spacing w:line="360" w:lineRule="auto"/>
        <w:ind w:right="565" w:rightChars="269" w:firstLine="420" w:firstLineChars="200"/>
        <w:jc w:val="left"/>
        <w:rPr>
          <w:rFonts w:ascii="宋体" w:hAnsi="宋体"/>
          <w:kern w:val="0"/>
          <w:szCs w:val="21"/>
          <w:highlight w:val="none"/>
        </w:rPr>
      </w:pPr>
      <w:r>
        <w:rPr>
          <w:rFonts w:ascii="宋体" w:hAnsi="宋体"/>
          <w:kern w:val="0"/>
          <w:szCs w:val="21"/>
          <w:highlight w:val="none"/>
        </w:rPr>
        <w:t>4.3.3允许分包的专业工程</w:t>
      </w:r>
      <w:r>
        <w:rPr>
          <w:rFonts w:hint="eastAsia" w:ascii="宋体" w:hAnsi="宋体"/>
          <w:kern w:val="0"/>
          <w:szCs w:val="21"/>
          <w:highlight w:val="none"/>
        </w:rPr>
        <w:t>勘察</w:t>
      </w:r>
      <w:r>
        <w:rPr>
          <w:rFonts w:ascii="宋体" w:hAnsi="宋体"/>
          <w:kern w:val="0"/>
          <w:szCs w:val="21"/>
          <w:highlight w:val="none"/>
        </w:rPr>
        <w:t>包括：</w:t>
      </w:r>
      <w:r>
        <w:rPr>
          <w:rFonts w:ascii="宋体" w:hAnsi="宋体"/>
          <w:kern w:val="0"/>
          <w:szCs w:val="21"/>
          <w:highlight w:val="none"/>
          <w:u w:val="single"/>
        </w:rPr>
        <w:tab/>
      </w:r>
      <w:r>
        <w:rPr>
          <w:rFonts w:ascii="宋体" w:hAnsi="宋体"/>
          <w:kern w:val="0"/>
          <w:szCs w:val="21"/>
          <w:highlight w:val="none"/>
        </w:rPr>
        <w:t>。</w:t>
      </w:r>
    </w:p>
    <w:p>
      <w:pPr>
        <w:widowControl/>
        <w:tabs>
          <w:tab w:val="left" w:pos="8610"/>
        </w:tabs>
        <w:spacing w:line="360" w:lineRule="auto"/>
        <w:ind w:right="565" w:rightChars="269" w:firstLine="420" w:firstLineChars="200"/>
        <w:jc w:val="left"/>
        <w:rPr>
          <w:rFonts w:ascii="宋体" w:hAnsi="宋体"/>
          <w:kern w:val="0"/>
          <w:szCs w:val="21"/>
          <w:highlight w:val="none"/>
        </w:rPr>
      </w:pPr>
      <w:r>
        <w:rPr>
          <w:rFonts w:ascii="宋体" w:hAnsi="宋体"/>
          <w:kern w:val="0"/>
          <w:szCs w:val="21"/>
          <w:highlight w:val="none"/>
        </w:rPr>
        <w:t>其他关于分包的约定：</w:t>
      </w:r>
      <w:r>
        <w:rPr>
          <w:rFonts w:ascii="宋体" w:hAnsi="宋体"/>
          <w:kern w:val="0"/>
          <w:szCs w:val="21"/>
          <w:highlight w:val="none"/>
          <w:u w:val="single"/>
        </w:rPr>
        <w:tab/>
      </w:r>
      <w:r>
        <w:rPr>
          <w:rFonts w:ascii="宋体" w:hAnsi="宋体"/>
          <w:kern w:val="0"/>
          <w:szCs w:val="21"/>
          <w:highlight w:val="none"/>
        </w:rPr>
        <w:t>。</w:t>
      </w:r>
    </w:p>
    <w:p>
      <w:pPr>
        <w:widowControl/>
        <w:tabs>
          <w:tab w:val="left" w:pos="9214"/>
        </w:tabs>
        <w:spacing w:line="360" w:lineRule="auto"/>
        <w:ind w:right="565" w:rightChars="269" w:firstLine="420" w:firstLineChars="200"/>
        <w:jc w:val="left"/>
        <w:rPr>
          <w:rFonts w:ascii="宋体" w:hAnsi="宋体"/>
          <w:kern w:val="0"/>
          <w:szCs w:val="21"/>
          <w:highlight w:val="none"/>
        </w:rPr>
      </w:pPr>
      <w:r>
        <w:rPr>
          <w:rFonts w:ascii="宋体" w:hAnsi="宋体"/>
          <w:kern w:val="0"/>
          <w:szCs w:val="21"/>
          <w:highlight w:val="none"/>
        </w:rPr>
        <w:t>分包工程</w:t>
      </w:r>
      <w:r>
        <w:rPr>
          <w:rFonts w:hint="eastAsia" w:ascii="宋体" w:hAnsi="宋体"/>
          <w:kern w:val="0"/>
          <w:szCs w:val="21"/>
          <w:highlight w:val="none"/>
        </w:rPr>
        <w:t>勘察</w:t>
      </w:r>
      <w:r>
        <w:rPr>
          <w:rFonts w:ascii="宋体" w:hAnsi="宋体"/>
          <w:kern w:val="0"/>
          <w:szCs w:val="21"/>
          <w:highlight w:val="none"/>
        </w:rPr>
        <w:t>费支付方式：</w:t>
      </w:r>
      <w:r>
        <w:rPr>
          <w:rFonts w:ascii="宋体" w:hAnsi="宋体"/>
          <w:kern w:val="0"/>
          <w:szCs w:val="21"/>
          <w:highlight w:val="none"/>
          <w:u w:val="single"/>
        </w:rPr>
        <w:t>（</w:t>
      </w:r>
      <w:r>
        <w:rPr>
          <w:rFonts w:hint="eastAsia" w:ascii="宋体" w:hAnsi="宋体"/>
          <w:kern w:val="0"/>
          <w:szCs w:val="21"/>
          <w:highlight w:val="none"/>
          <w:u w:val="single"/>
        </w:rPr>
        <w:t>勘察</w:t>
      </w:r>
      <w:r>
        <w:rPr>
          <w:rFonts w:ascii="宋体" w:hAnsi="宋体"/>
          <w:kern w:val="0"/>
          <w:szCs w:val="21"/>
          <w:highlight w:val="none"/>
          <w:u w:val="single"/>
        </w:rPr>
        <w:t xml:space="preserve">人或发包人）   </w:t>
      </w:r>
      <w:r>
        <w:rPr>
          <w:rFonts w:ascii="宋体" w:hAnsi="宋体"/>
          <w:kern w:val="0"/>
          <w:szCs w:val="21"/>
          <w:highlight w:val="none"/>
        </w:rPr>
        <w:t>支付</w:t>
      </w:r>
      <w:r>
        <w:rPr>
          <w:rFonts w:ascii="宋体" w:hAnsi="宋体"/>
          <w:b/>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4.3.4</w:t>
      </w:r>
      <w:r>
        <w:rPr>
          <w:rFonts w:hint="eastAsia" w:ascii="宋体" w:hAnsi="宋体"/>
          <w:kern w:val="0"/>
          <w:szCs w:val="21"/>
          <w:highlight w:val="none"/>
        </w:rPr>
        <w:t>勘察</w:t>
      </w:r>
      <w:r>
        <w:rPr>
          <w:rFonts w:ascii="宋体" w:hAnsi="宋体"/>
          <w:kern w:val="0"/>
          <w:szCs w:val="21"/>
          <w:highlight w:val="none"/>
        </w:rPr>
        <w:t>人向发包人提交有关分包人资料包括：</w:t>
      </w:r>
      <w:r>
        <w:rPr>
          <w:rFonts w:ascii="宋体" w:hAnsi="宋体"/>
          <w:kern w:val="0"/>
          <w:szCs w:val="21"/>
          <w:highlight w:val="none"/>
          <w:u w:val="single"/>
        </w:rPr>
        <w:tab/>
      </w:r>
      <w:r>
        <w:rPr>
          <w:rFonts w:ascii="宋体" w:hAnsi="宋体"/>
          <w:kern w:val="0"/>
          <w:szCs w:val="21"/>
          <w:highlight w:val="none"/>
        </w:rPr>
        <w:t>。</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 xml:space="preserve">4.4 联合体 </w:t>
      </w:r>
    </w:p>
    <w:p>
      <w:pPr>
        <w:widowControl/>
        <w:tabs>
          <w:tab w:val="left" w:pos="78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4.4.4发包人向联合体支付</w:t>
      </w:r>
      <w:r>
        <w:rPr>
          <w:rFonts w:hint="eastAsia" w:ascii="宋体" w:hAnsi="宋体"/>
          <w:kern w:val="0"/>
          <w:szCs w:val="21"/>
          <w:highlight w:val="none"/>
        </w:rPr>
        <w:t>勘察</w:t>
      </w:r>
      <w:r>
        <w:rPr>
          <w:rFonts w:ascii="宋体" w:hAnsi="宋体"/>
          <w:kern w:val="0"/>
          <w:szCs w:val="21"/>
          <w:highlight w:val="none"/>
        </w:rPr>
        <w:t>费用的方式：</w:t>
      </w:r>
      <w:r>
        <w:rPr>
          <w:rFonts w:ascii="宋体" w:hAnsi="宋体"/>
          <w:kern w:val="0"/>
          <w:szCs w:val="21"/>
          <w:highlight w:val="none"/>
          <w:u w:val="single"/>
        </w:rPr>
        <w:t>(此处由发包人结合项目实际情况自行确定向联合体牵头人或成员支付</w:t>
      </w:r>
      <w:r>
        <w:rPr>
          <w:rFonts w:hint="eastAsia" w:ascii="宋体" w:hAnsi="宋体"/>
          <w:kern w:val="0"/>
          <w:szCs w:val="21"/>
          <w:highlight w:val="none"/>
          <w:u w:val="single"/>
        </w:rPr>
        <w:t>勘察</w:t>
      </w:r>
      <w:r>
        <w:rPr>
          <w:rFonts w:ascii="宋体" w:hAnsi="宋体"/>
          <w:kern w:val="0"/>
          <w:szCs w:val="21"/>
          <w:highlight w:val="none"/>
          <w:u w:val="single"/>
        </w:rPr>
        <w:t>费用)</w:t>
      </w:r>
      <w:r>
        <w:rPr>
          <w:rFonts w:ascii="宋体" w:hAnsi="宋体"/>
          <w:kern w:val="0"/>
          <w:szCs w:val="21"/>
          <w:highlight w:val="none"/>
        </w:rPr>
        <w:t>。</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4.5 项目负责人</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姓    名：</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身份证号：</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职称及专业：</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执业资格及等级：</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注册证书号：</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联系电话：</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电子信箱：</w:t>
      </w:r>
      <w:r>
        <w:rPr>
          <w:rFonts w:ascii="宋体" w:hAnsi="宋体"/>
          <w:kern w:val="0"/>
          <w:szCs w:val="21"/>
          <w:highlight w:val="none"/>
          <w:u w:val="single"/>
        </w:rPr>
        <w:tab/>
      </w:r>
      <w:r>
        <w:rPr>
          <w:rFonts w:ascii="宋体" w:hAnsi="宋体"/>
          <w:kern w:val="0"/>
          <w:szCs w:val="21"/>
          <w:highlight w:val="non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通信地址：</w:t>
      </w:r>
      <w:r>
        <w:rPr>
          <w:rFonts w:ascii="宋体" w:hAnsi="宋体"/>
          <w:kern w:val="0"/>
          <w:szCs w:val="21"/>
          <w:highlight w:val="none"/>
          <w:u w:val="single"/>
        </w:rPr>
        <w:tab/>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 xml:space="preserve">4.5.1 </w:t>
      </w:r>
      <w:r>
        <w:rPr>
          <w:rFonts w:hint="eastAsia" w:ascii="宋体" w:hAnsi="宋体"/>
          <w:kern w:val="0"/>
          <w:szCs w:val="21"/>
          <w:highlight w:val="none"/>
        </w:rPr>
        <w:t>勘察</w:t>
      </w:r>
      <w:r>
        <w:rPr>
          <w:rFonts w:ascii="宋体" w:hAnsi="宋体"/>
          <w:kern w:val="0"/>
          <w:szCs w:val="21"/>
          <w:highlight w:val="none"/>
        </w:rPr>
        <w:t>人应按合同协议书的约定指派项目负责人，并在约定的期限内到职。</w:t>
      </w:r>
      <w:r>
        <w:rPr>
          <w:rFonts w:hint="eastAsia" w:ascii="宋体" w:hAnsi="宋体"/>
          <w:kern w:val="0"/>
          <w:szCs w:val="21"/>
          <w:highlight w:val="none"/>
          <w:u w:val="single"/>
        </w:rPr>
        <w:t>勘察</w:t>
      </w:r>
      <w:r>
        <w:rPr>
          <w:rFonts w:ascii="宋体" w:hAnsi="宋体"/>
          <w:kern w:val="0"/>
          <w:szCs w:val="21"/>
          <w:highlight w:val="none"/>
          <w:u w:val="single"/>
        </w:rPr>
        <w:t>人更换项目负责人应事先征得发包人同意，并应在更换（7 ）天前将拟更换的项目负责人的姓名和详细资料提交发包人。项目负责人连续 （2） 天不能履行职责的，应事先征得发包人同意，并委派代表代行其职责。项目负责人连续 （ 5） 天不能履行职责的，发包人可以要求</w:t>
      </w:r>
      <w:r>
        <w:rPr>
          <w:rFonts w:hint="eastAsia" w:ascii="宋体" w:hAnsi="宋体"/>
          <w:kern w:val="0"/>
          <w:szCs w:val="21"/>
          <w:highlight w:val="none"/>
          <w:u w:val="single"/>
        </w:rPr>
        <w:t>勘察</w:t>
      </w:r>
      <w:r>
        <w:rPr>
          <w:rFonts w:ascii="宋体" w:hAnsi="宋体"/>
          <w:kern w:val="0"/>
          <w:szCs w:val="21"/>
          <w:highlight w:val="none"/>
          <w:u w:val="single"/>
        </w:rPr>
        <w:t>人更换项目负责人。项目负责人连续 （14 ）天及以上不能履行职责，且</w:t>
      </w:r>
      <w:r>
        <w:rPr>
          <w:rFonts w:hint="eastAsia" w:ascii="宋体" w:hAnsi="宋体"/>
          <w:kern w:val="0"/>
          <w:szCs w:val="21"/>
          <w:highlight w:val="none"/>
          <w:u w:val="single"/>
        </w:rPr>
        <w:t>勘察</w:t>
      </w:r>
      <w:r>
        <w:rPr>
          <w:rFonts w:ascii="宋体" w:hAnsi="宋体"/>
          <w:kern w:val="0"/>
          <w:szCs w:val="21"/>
          <w:highlight w:val="none"/>
          <w:u w:val="single"/>
        </w:rPr>
        <w:t>人不更换项目负责人的，该状态每持续（ 1 ）天，</w:t>
      </w:r>
      <w:r>
        <w:rPr>
          <w:rFonts w:hint="eastAsia" w:ascii="宋体" w:hAnsi="宋体"/>
          <w:kern w:val="0"/>
          <w:szCs w:val="21"/>
          <w:highlight w:val="none"/>
          <w:u w:val="single"/>
        </w:rPr>
        <w:t>勘察</w:t>
      </w:r>
      <w:r>
        <w:rPr>
          <w:rFonts w:ascii="宋体" w:hAnsi="宋体"/>
          <w:kern w:val="0"/>
          <w:szCs w:val="21"/>
          <w:highlight w:val="none"/>
          <w:u w:val="single"/>
        </w:rPr>
        <w:t>人减收</w:t>
      </w:r>
      <w:r>
        <w:rPr>
          <w:rFonts w:hint="eastAsia" w:ascii="宋体" w:hAnsi="宋体"/>
          <w:kern w:val="0"/>
          <w:szCs w:val="21"/>
          <w:highlight w:val="none"/>
          <w:u w:val="single"/>
        </w:rPr>
        <w:t>签约合同价</w:t>
      </w:r>
      <w:r>
        <w:rPr>
          <w:rFonts w:ascii="宋体" w:hAnsi="宋体"/>
          <w:kern w:val="0"/>
          <w:szCs w:val="21"/>
          <w:highlight w:val="none"/>
          <w:u w:val="single"/>
        </w:rPr>
        <w:t>的(0.05%-0.2%)。该状态持续  （21 ） 天以上时，发包人有权解除本合同，</w:t>
      </w:r>
      <w:r>
        <w:rPr>
          <w:rFonts w:hint="eastAsia" w:ascii="宋体" w:hAnsi="宋体"/>
          <w:kern w:val="0"/>
          <w:szCs w:val="21"/>
          <w:highlight w:val="none"/>
          <w:u w:val="single"/>
        </w:rPr>
        <w:t>勘察</w:t>
      </w:r>
      <w:r>
        <w:rPr>
          <w:rFonts w:ascii="宋体" w:hAnsi="宋体"/>
          <w:kern w:val="0"/>
          <w:szCs w:val="21"/>
          <w:highlight w:val="none"/>
          <w:u w:val="single"/>
        </w:rPr>
        <w:t>人应当赔偿发包人因此所遭受的损失。</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4.5.4项目负责人不可以授权其他人员履行的职责：</w:t>
      </w:r>
      <w:r>
        <w:rPr>
          <w:rFonts w:ascii="宋体" w:hAnsi="宋体"/>
          <w:kern w:val="0"/>
          <w:szCs w:val="21"/>
          <w:highlight w:val="none"/>
          <w:u w:val="single"/>
        </w:rPr>
        <w:tab/>
      </w:r>
      <w:r>
        <w:rPr>
          <w:rFonts w:ascii="宋体" w:hAnsi="宋体"/>
          <w:kern w:val="0"/>
          <w:szCs w:val="21"/>
          <w:highlight w:val="none"/>
        </w:rPr>
        <w:t>。</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4.6 勘察人员的管理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勘察</w:t>
      </w:r>
      <w:r>
        <w:rPr>
          <w:rFonts w:ascii="宋体" w:hAnsi="宋体"/>
          <w:kern w:val="0"/>
          <w:szCs w:val="21"/>
          <w:highlight w:val="none"/>
        </w:rPr>
        <w:t>人员基本情况表</w:t>
      </w:r>
    </w:p>
    <w:tbl>
      <w:tblPr>
        <w:tblStyle w:val="55"/>
        <w:tblW w:w="9744"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10"/>
        <w:gridCol w:w="1349"/>
        <w:gridCol w:w="1043"/>
        <w:gridCol w:w="1218"/>
        <w:gridCol w:w="993"/>
        <w:gridCol w:w="1736"/>
        <w:gridCol w:w="1277"/>
        <w:gridCol w:w="141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40" w:hRule="atLeast"/>
          <w:jc w:val="center"/>
        </w:trPr>
        <w:tc>
          <w:tcPr>
            <w:tcW w:w="710" w:type="dxa"/>
            <w:vAlign w:val="center"/>
          </w:tcPr>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序号</w:t>
            </w:r>
          </w:p>
        </w:tc>
        <w:tc>
          <w:tcPr>
            <w:tcW w:w="1349" w:type="dxa"/>
            <w:vAlign w:val="center"/>
          </w:tcPr>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姓名</w:t>
            </w:r>
          </w:p>
        </w:tc>
        <w:tc>
          <w:tcPr>
            <w:tcW w:w="1043" w:type="dxa"/>
            <w:vAlign w:val="center"/>
          </w:tcPr>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性别</w:t>
            </w:r>
          </w:p>
        </w:tc>
        <w:tc>
          <w:tcPr>
            <w:tcW w:w="1218" w:type="dxa"/>
            <w:vAlign w:val="center"/>
          </w:tcPr>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专业</w:t>
            </w:r>
          </w:p>
        </w:tc>
        <w:tc>
          <w:tcPr>
            <w:tcW w:w="993" w:type="dxa"/>
            <w:vAlign w:val="center"/>
          </w:tcPr>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职务</w:t>
            </w:r>
          </w:p>
        </w:tc>
        <w:tc>
          <w:tcPr>
            <w:tcW w:w="1736" w:type="dxa"/>
            <w:vAlign w:val="center"/>
          </w:tcPr>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注册情况</w:t>
            </w:r>
          </w:p>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职称情况</w:t>
            </w:r>
          </w:p>
        </w:tc>
        <w:tc>
          <w:tcPr>
            <w:tcW w:w="1277" w:type="dxa"/>
            <w:vAlign w:val="center"/>
          </w:tcPr>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联系电话</w:t>
            </w:r>
          </w:p>
        </w:tc>
        <w:tc>
          <w:tcPr>
            <w:tcW w:w="1418" w:type="dxa"/>
            <w:vAlign w:val="center"/>
          </w:tcPr>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本项目</w:t>
            </w:r>
          </w:p>
          <w:p>
            <w:pPr>
              <w:widowControl/>
              <w:tabs>
                <w:tab w:val="left" w:pos="9072"/>
              </w:tabs>
              <w:spacing w:line="360" w:lineRule="auto"/>
              <w:ind w:right="120" w:rightChars="57"/>
              <w:jc w:val="center"/>
              <w:rPr>
                <w:rFonts w:ascii="宋体" w:hAnsi="宋体"/>
                <w:kern w:val="0"/>
                <w:szCs w:val="21"/>
                <w:highlight w:val="none"/>
              </w:rPr>
            </w:pPr>
            <w:r>
              <w:rPr>
                <w:rFonts w:ascii="宋体" w:hAnsi="宋体"/>
                <w:kern w:val="0"/>
                <w:szCs w:val="21"/>
                <w:highlight w:val="none"/>
              </w:rPr>
              <w:t>拟任职务</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710"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349"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043"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218"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993"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736"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277"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418" w:type="dxa"/>
            <w:vAlign w:val="center"/>
          </w:tcPr>
          <w:p>
            <w:pPr>
              <w:widowControl/>
              <w:tabs>
                <w:tab w:val="left" w:pos="9072"/>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710"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349"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043"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218"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993"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736"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277"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418" w:type="dxa"/>
            <w:vAlign w:val="center"/>
          </w:tcPr>
          <w:p>
            <w:pPr>
              <w:widowControl/>
              <w:tabs>
                <w:tab w:val="left" w:pos="9072"/>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54" w:hRule="atLeast"/>
          <w:jc w:val="center"/>
        </w:trPr>
        <w:tc>
          <w:tcPr>
            <w:tcW w:w="710"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349"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043"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218"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993"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736"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277" w:type="dxa"/>
            <w:vAlign w:val="center"/>
          </w:tcPr>
          <w:p>
            <w:pPr>
              <w:widowControl/>
              <w:tabs>
                <w:tab w:val="left" w:pos="9072"/>
              </w:tabs>
              <w:spacing w:line="360" w:lineRule="auto"/>
              <w:ind w:right="120" w:rightChars="57"/>
              <w:jc w:val="center"/>
              <w:rPr>
                <w:rFonts w:ascii="宋体" w:hAnsi="宋体"/>
                <w:kern w:val="0"/>
                <w:szCs w:val="21"/>
                <w:highlight w:val="none"/>
              </w:rPr>
            </w:pPr>
          </w:p>
        </w:tc>
        <w:tc>
          <w:tcPr>
            <w:tcW w:w="1418" w:type="dxa"/>
            <w:vAlign w:val="center"/>
          </w:tcPr>
          <w:p>
            <w:pPr>
              <w:widowControl/>
              <w:tabs>
                <w:tab w:val="left" w:pos="9072"/>
              </w:tabs>
              <w:spacing w:line="360" w:lineRule="auto"/>
              <w:ind w:right="120" w:rightChars="57"/>
              <w:jc w:val="center"/>
              <w:rPr>
                <w:rFonts w:ascii="宋体" w:hAnsi="宋体"/>
                <w:kern w:val="0"/>
                <w:szCs w:val="21"/>
                <w:highlight w:val="none"/>
              </w:rPr>
            </w:pPr>
          </w:p>
        </w:tc>
      </w:tr>
    </w:tbl>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勘察</w:t>
      </w:r>
      <w:r>
        <w:rPr>
          <w:rFonts w:ascii="宋体" w:hAnsi="宋体"/>
          <w:kern w:val="0"/>
          <w:szCs w:val="21"/>
          <w:highlight w:val="none"/>
        </w:rPr>
        <w:t>项目机构组成人员可按照合同约定进行更换，但更换后人员不得低于</w:t>
      </w:r>
      <w:r>
        <w:rPr>
          <w:rFonts w:hint="eastAsia" w:ascii="宋体" w:hAnsi="宋体"/>
          <w:kern w:val="0"/>
          <w:szCs w:val="21"/>
          <w:highlight w:val="none"/>
        </w:rPr>
        <w:t>勘察</w:t>
      </w:r>
      <w:r>
        <w:rPr>
          <w:rFonts w:ascii="宋体" w:hAnsi="宋体"/>
          <w:kern w:val="0"/>
          <w:szCs w:val="21"/>
          <w:highlight w:val="none"/>
        </w:rPr>
        <w:t>人合同签订时</w:t>
      </w:r>
      <w:r>
        <w:rPr>
          <w:rFonts w:hint="eastAsia" w:ascii="宋体" w:hAnsi="宋体"/>
          <w:kern w:val="0"/>
          <w:szCs w:val="21"/>
          <w:highlight w:val="none"/>
        </w:rPr>
        <w:t>提供的勘察人员资质和技术水平</w:t>
      </w:r>
      <w:r>
        <w:rPr>
          <w:rFonts w:ascii="宋体" w:hAnsi="宋体"/>
          <w:kern w:val="0"/>
          <w:szCs w:val="21"/>
          <w:highlight w:val="none"/>
        </w:rPr>
        <w:t>。</w:t>
      </w:r>
    </w:p>
    <w:p>
      <w:pPr>
        <w:keepNext/>
        <w:keepLines/>
        <w:tabs>
          <w:tab w:val="left" w:pos="8931"/>
        </w:tabs>
        <w:spacing w:before="120" w:after="120" w:line="413" w:lineRule="auto"/>
        <w:ind w:firstLine="108"/>
        <w:outlineLvl w:val="2"/>
        <w:rPr>
          <w:rFonts w:ascii="宋体" w:hAnsi="宋体"/>
          <w:sz w:val="32"/>
          <w:szCs w:val="20"/>
          <w:highlight w:val="none"/>
        </w:rPr>
      </w:pPr>
      <w:bookmarkStart w:id="1797" w:name="_Toc4424"/>
      <w:bookmarkStart w:id="1798" w:name="_Toc5325"/>
      <w:bookmarkStart w:id="1799" w:name="_Toc3820"/>
      <w:bookmarkStart w:id="1800" w:name="_Toc688"/>
      <w:bookmarkStart w:id="1801" w:name="_Toc75857093"/>
      <w:bookmarkStart w:id="1802" w:name="_Toc2936"/>
      <w:bookmarkStart w:id="1803" w:name="_Toc536463094"/>
      <w:r>
        <w:rPr>
          <w:rFonts w:ascii="宋体" w:hAnsi="宋体"/>
          <w:sz w:val="32"/>
          <w:szCs w:val="20"/>
          <w:highlight w:val="none"/>
        </w:rPr>
        <w:t>5. 勘察要求</w:t>
      </w:r>
      <w:bookmarkEnd w:id="1797"/>
      <w:bookmarkEnd w:id="1798"/>
      <w:bookmarkEnd w:id="1799"/>
      <w:bookmarkEnd w:id="1800"/>
      <w:bookmarkEnd w:id="1801"/>
      <w:bookmarkEnd w:id="1802"/>
      <w:bookmarkEnd w:id="1803"/>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5.1 一般要求</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ascii="宋体" w:hAnsi="宋体"/>
          <w:kern w:val="0"/>
          <w:szCs w:val="21"/>
          <w:highlight w:val="none"/>
        </w:rPr>
        <w:t>5.1.3：</w:t>
      </w:r>
      <w:r>
        <w:rPr>
          <w:rFonts w:hint="eastAsia" w:ascii="宋体" w:hAnsi="宋体"/>
          <w:kern w:val="0"/>
          <w:szCs w:val="21"/>
          <w:highlight w:val="none"/>
          <w:u w:val="single"/>
        </w:rPr>
        <w:t>勘察</w:t>
      </w:r>
      <w:r>
        <w:rPr>
          <w:rFonts w:ascii="宋体" w:hAnsi="宋体"/>
          <w:kern w:val="0"/>
          <w:szCs w:val="21"/>
          <w:highlight w:val="none"/>
          <w:u w:val="single"/>
        </w:rPr>
        <w:t>人向发包人提出遵守新规定的建议，</w:t>
      </w:r>
      <w:r>
        <w:rPr>
          <w:rFonts w:hint="eastAsia" w:ascii="宋体" w:hAnsi="宋体"/>
          <w:kern w:val="0"/>
          <w:szCs w:val="21"/>
          <w:highlight w:val="none"/>
          <w:u w:val="single"/>
        </w:rPr>
        <w:t>自</w:t>
      </w:r>
      <w:r>
        <w:rPr>
          <w:rFonts w:ascii="宋体" w:hAnsi="宋体"/>
          <w:kern w:val="0"/>
          <w:szCs w:val="21"/>
          <w:highlight w:val="none"/>
          <w:u w:val="single"/>
        </w:rPr>
        <w:t>发包人收到建议函后7 天内未发出指示的，默认同意遵守新规定。</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bCs/>
          <w:szCs w:val="21"/>
          <w:highlight w:val="none"/>
        </w:rPr>
        <w:t xml:space="preserve">5.2 </w:t>
      </w:r>
      <w:r>
        <w:rPr>
          <w:rFonts w:hint="eastAsia" w:ascii="宋体" w:hAnsi="宋体"/>
          <w:bCs/>
          <w:szCs w:val="21"/>
          <w:highlight w:val="none"/>
        </w:rPr>
        <w:t>勘察</w:t>
      </w:r>
      <w:r>
        <w:rPr>
          <w:rFonts w:ascii="宋体" w:hAnsi="宋体"/>
          <w:bCs/>
          <w:szCs w:val="21"/>
          <w:highlight w:val="none"/>
        </w:rPr>
        <w:t>依据：</w:t>
      </w:r>
      <w:r>
        <w:rPr>
          <w:rFonts w:ascii="宋体" w:hAnsi="宋体"/>
          <w:kern w:val="0"/>
          <w:szCs w:val="21"/>
          <w:highlight w:val="none"/>
          <w:u w:val="single"/>
        </w:rPr>
        <w:t>（按发包人要求填写）</w:t>
      </w:r>
      <w:r>
        <w:rPr>
          <w:rFonts w:ascii="宋体" w:hAnsi="宋体"/>
          <w:kern w:val="0"/>
          <w:szCs w:val="21"/>
          <w:highlight w:val="none"/>
          <w:u w:val="single"/>
        </w:rPr>
        <w:tab/>
      </w:r>
      <w:r>
        <w:rPr>
          <w:rFonts w:ascii="宋体" w:hAnsi="宋体"/>
          <w:kern w:val="0"/>
          <w:szCs w:val="21"/>
          <w:highlight w:val="none"/>
          <w:u w:val="single"/>
        </w:rPr>
        <w:t>。</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ascii="宋体" w:hAnsi="宋体"/>
          <w:bCs/>
          <w:szCs w:val="21"/>
          <w:highlight w:val="none"/>
        </w:rPr>
        <w:t xml:space="preserve">5.3 </w:t>
      </w:r>
      <w:r>
        <w:rPr>
          <w:rFonts w:hint="eastAsia" w:ascii="宋体" w:hAnsi="宋体"/>
          <w:bCs/>
          <w:szCs w:val="21"/>
          <w:highlight w:val="none"/>
        </w:rPr>
        <w:t>勘察</w:t>
      </w:r>
      <w:r>
        <w:rPr>
          <w:rFonts w:ascii="宋体" w:hAnsi="宋体"/>
          <w:bCs/>
          <w:szCs w:val="21"/>
          <w:highlight w:val="none"/>
        </w:rPr>
        <w:t>范围:</w:t>
      </w:r>
      <w:r>
        <w:rPr>
          <w:rFonts w:ascii="宋体" w:hAnsi="宋体"/>
          <w:kern w:val="0"/>
          <w:szCs w:val="21"/>
          <w:highlight w:val="none"/>
        </w:rPr>
        <w:t xml:space="preserve"> </w:t>
      </w:r>
    </w:p>
    <w:p>
      <w:pPr>
        <w:widowControl/>
        <w:tabs>
          <w:tab w:val="left" w:pos="8475"/>
          <w:tab w:val="left" w:pos="9781"/>
        </w:tabs>
        <w:adjustRightInd w:val="0"/>
        <w:snapToGrid w:val="0"/>
        <w:spacing w:before="120" w:after="120" w:line="360" w:lineRule="auto"/>
        <w:ind w:firstLine="420" w:firstLineChars="200"/>
        <w:jc w:val="left"/>
        <w:rPr>
          <w:rFonts w:ascii="宋体" w:hAnsi="宋体"/>
          <w:kern w:val="0"/>
          <w:szCs w:val="21"/>
          <w:highlight w:val="none"/>
          <w:u w:val="single"/>
        </w:rPr>
      </w:pPr>
      <w:r>
        <w:rPr>
          <w:rFonts w:ascii="宋体" w:hAnsi="宋体"/>
          <w:kern w:val="0"/>
          <w:szCs w:val="21"/>
          <w:highlight w:val="none"/>
        </w:rPr>
        <w:t>5.3.2 工程范围</w:t>
      </w:r>
      <w:r>
        <w:rPr>
          <w:rFonts w:hint="eastAsia" w:ascii="宋体" w:hAnsi="宋体"/>
          <w:kern w:val="0"/>
          <w:szCs w:val="21"/>
          <w:highlight w:val="none"/>
        </w:rPr>
        <w:t>：</w:t>
      </w:r>
      <w:r>
        <w:rPr>
          <w:rFonts w:ascii="宋体" w:hAnsi="宋体"/>
          <w:kern w:val="0"/>
          <w:szCs w:val="21"/>
          <w:highlight w:val="none"/>
          <w:u w:val="single"/>
        </w:rPr>
        <w:t>（按发包人要求填写）</w:t>
      </w:r>
      <w:r>
        <w:rPr>
          <w:rFonts w:ascii="宋体" w:hAnsi="宋体"/>
          <w:kern w:val="0"/>
          <w:szCs w:val="21"/>
          <w:highlight w:val="none"/>
          <w:u w:val="single"/>
        </w:rPr>
        <w:tab/>
      </w:r>
      <w:r>
        <w:rPr>
          <w:rFonts w:ascii="宋体" w:hAnsi="宋体"/>
          <w:kern w:val="0"/>
          <w:szCs w:val="21"/>
          <w:highlight w:val="none"/>
          <w:u w:val="single"/>
        </w:rPr>
        <w:t>。</w:t>
      </w:r>
    </w:p>
    <w:p>
      <w:pPr>
        <w:widowControl/>
        <w:tabs>
          <w:tab w:val="left" w:pos="8475"/>
          <w:tab w:val="left" w:pos="9781"/>
        </w:tabs>
        <w:adjustRightInd w:val="0"/>
        <w:snapToGrid w:val="0"/>
        <w:spacing w:before="120" w:after="120" w:line="360" w:lineRule="auto"/>
        <w:ind w:firstLine="420" w:firstLineChars="200"/>
        <w:jc w:val="left"/>
        <w:rPr>
          <w:rFonts w:ascii="宋体" w:hAnsi="宋体"/>
          <w:kern w:val="0"/>
          <w:szCs w:val="21"/>
          <w:highlight w:val="none"/>
          <w:u w:val="single"/>
        </w:rPr>
      </w:pPr>
      <w:r>
        <w:rPr>
          <w:rFonts w:hint="eastAsia" w:ascii="宋体" w:hAnsi="宋体"/>
          <w:kern w:val="0"/>
          <w:szCs w:val="21"/>
          <w:highlight w:val="none"/>
        </w:rPr>
        <w:t>5.3.3</w:t>
      </w:r>
      <w:r>
        <w:rPr>
          <w:rFonts w:ascii="宋体" w:hAnsi="宋体"/>
          <w:kern w:val="0"/>
          <w:szCs w:val="21"/>
          <w:highlight w:val="none"/>
        </w:rPr>
        <w:t>阶段范围</w:t>
      </w:r>
      <w:r>
        <w:rPr>
          <w:rFonts w:ascii="宋体" w:hAnsi="宋体"/>
          <w:bCs/>
          <w:szCs w:val="21"/>
          <w:highlight w:val="none"/>
        </w:rPr>
        <w:t>：</w:t>
      </w:r>
      <w:r>
        <w:rPr>
          <w:rFonts w:ascii="宋体" w:hAnsi="宋体"/>
          <w:kern w:val="0"/>
          <w:szCs w:val="21"/>
          <w:highlight w:val="none"/>
          <w:u w:val="single"/>
        </w:rPr>
        <w:t>（按发包人要求填写）</w:t>
      </w:r>
      <w:r>
        <w:rPr>
          <w:rFonts w:ascii="宋体" w:hAnsi="宋体"/>
          <w:kern w:val="0"/>
          <w:szCs w:val="21"/>
          <w:highlight w:val="none"/>
          <w:u w:val="single"/>
        </w:rPr>
        <w:tab/>
      </w:r>
      <w:r>
        <w:rPr>
          <w:rFonts w:ascii="宋体" w:hAnsi="宋体"/>
          <w:kern w:val="0"/>
          <w:szCs w:val="21"/>
          <w:highlight w:val="none"/>
          <w:u w:val="single"/>
        </w:rPr>
        <w:t>。</w:t>
      </w:r>
    </w:p>
    <w:p>
      <w:pPr>
        <w:widowControl/>
        <w:tabs>
          <w:tab w:val="left" w:pos="9072"/>
          <w:tab w:val="left" w:pos="9781"/>
        </w:tabs>
        <w:adjustRightInd w:val="0"/>
        <w:snapToGrid w:val="0"/>
        <w:spacing w:before="120" w:after="120" w:line="360" w:lineRule="auto"/>
        <w:ind w:firstLine="420" w:firstLineChars="200"/>
        <w:jc w:val="left"/>
        <w:rPr>
          <w:rFonts w:ascii="宋体" w:hAnsi="宋体"/>
          <w:kern w:val="0"/>
          <w:szCs w:val="21"/>
          <w:highlight w:val="none"/>
          <w:u w:val="single"/>
        </w:rPr>
      </w:pPr>
      <w:r>
        <w:rPr>
          <w:rFonts w:hint="eastAsia" w:ascii="宋体" w:hAnsi="宋体"/>
          <w:kern w:val="0"/>
          <w:szCs w:val="21"/>
          <w:highlight w:val="none"/>
        </w:rPr>
        <w:t>5.3.4</w:t>
      </w:r>
      <w:r>
        <w:rPr>
          <w:rFonts w:ascii="宋体" w:hAnsi="宋体"/>
          <w:kern w:val="0"/>
          <w:szCs w:val="21"/>
          <w:highlight w:val="none"/>
        </w:rPr>
        <w:t>工作范围</w:t>
      </w:r>
      <w:r>
        <w:rPr>
          <w:rFonts w:ascii="宋体" w:hAnsi="宋体"/>
          <w:bCs/>
          <w:szCs w:val="21"/>
          <w:highlight w:val="none"/>
        </w:rPr>
        <w:t>：</w:t>
      </w:r>
      <w:r>
        <w:rPr>
          <w:rFonts w:ascii="宋体" w:hAnsi="宋体"/>
          <w:kern w:val="0"/>
          <w:szCs w:val="21"/>
          <w:highlight w:val="none"/>
          <w:u w:val="single"/>
        </w:rPr>
        <w:t>（按发包人要求填写）</w:t>
      </w:r>
      <w:r>
        <w:rPr>
          <w:rFonts w:hint="eastAsia" w:ascii="宋体" w:hAnsi="宋体"/>
          <w:kern w:val="0"/>
          <w:szCs w:val="21"/>
          <w:highlight w:val="none"/>
          <w:u w:val="single"/>
        </w:rPr>
        <w:t xml:space="preserve">                                         。</w:t>
      </w:r>
    </w:p>
    <w:p>
      <w:pPr>
        <w:keepNext/>
        <w:keepLines/>
        <w:spacing w:before="120" w:after="120" w:line="360" w:lineRule="auto"/>
        <w:ind w:firstLine="420" w:firstLineChars="200"/>
        <w:outlineLvl w:val="4"/>
        <w:rPr>
          <w:rFonts w:ascii="宋体" w:hAnsi="宋体"/>
          <w:b/>
          <w:bCs/>
          <w:kern w:val="0"/>
          <w:szCs w:val="21"/>
          <w:highlight w:val="none"/>
        </w:rPr>
      </w:pPr>
      <w:r>
        <w:rPr>
          <w:rFonts w:ascii="宋体" w:hAnsi="宋体"/>
          <w:bCs/>
          <w:szCs w:val="21"/>
          <w:highlight w:val="none"/>
        </w:rPr>
        <w:t>5.4 勘察作业要求</w:t>
      </w:r>
      <w:r>
        <w:rPr>
          <w:rFonts w:hint="eastAsia" w:ascii="宋体" w:hAnsi="宋体"/>
          <w:bCs/>
          <w:szCs w:val="21"/>
          <w:highlight w:val="none"/>
        </w:rPr>
        <w:t>：</w:t>
      </w:r>
      <w:r>
        <w:rPr>
          <w:rFonts w:ascii="宋体" w:hAnsi="宋体"/>
          <w:kern w:val="0"/>
          <w:szCs w:val="21"/>
          <w:highlight w:val="none"/>
          <w:u w:val="single"/>
        </w:rPr>
        <w:t>（按发包人要求填写）</w:t>
      </w:r>
      <w:r>
        <w:rPr>
          <w:rFonts w:ascii="宋体" w:hAnsi="宋体"/>
          <w:kern w:val="0"/>
          <w:szCs w:val="21"/>
          <w:highlight w:val="none"/>
          <w:u w:val="single"/>
        </w:rPr>
        <w:tab/>
      </w:r>
      <w:r>
        <w:rPr>
          <w:rFonts w:hint="eastAsia" w:ascii="宋体" w:hAnsi="宋体"/>
          <w:kern w:val="0"/>
          <w:szCs w:val="21"/>
          <w:highlight w:val="none"/>
          <w:u w:val="single"/>
        </w:rPr>
        <w:tab/>
      </w:r>
      <w:r>
        <w:rPr>
          <w:rFonts w:hint="eastAsia" w:ascii="宋体" w:hAnsi="宋体"/>
          <w:kern w:val="0"/>
          <w:szCs w:val="21"/>
          <w:highlight w:val="none"/>
          <w:u w:val="single"/>
        </w:rPr>
        <w:t xml:space="preserve">                 </w:t>
      </w:r>
      <w:r>
        <w:rPr>
          <w:rFonts w:hint="eastAsia" w:ascii="宋体" w:hAnsi="宋体"/>
          <w:kern w:val="0"/>
          <w:szCs w:val="21"/>
          <w:highlight w:val="none"/>
          <w:u w:val="single"/>
        </w:rPr>
        <w:tab/>
      </w:r>
      <w:r>
        <w:rPr>
          <w:rFonts w:hint="eastAsia" w:ascii="宋体" w:hAnsi="宋体"/>
          <w:kern w:val="0"/>
          <w:szCs w:val="21"/>
          <w:highlight w:val="none"/>
          <w:u w:val="single"/>
        </w:rPr>
        <w:tab/>
      </w:r>
      <w:r>
        <w:rPr>
          <w:rFonts w:hint="eastAsia" w:ascii="宋体" w:hAnsi="宋体"/>
          <w:kern w:val="0"/>
          <w:szCs w:val="21"/>
          <w:highlight w:val="none"/>
          <w:u w:val="single"/>
        </w:rPr>
        <w:tab/>
      </w:r>
      <w:r>
        <w:rPr>
          <w:rFonts w:hint="eastAsia" w:ascii="宋体" w:hAnsi="宋体"/>
          <w:kern w:val="0"/>
          <w:szCs w:val="21"/>
          <w:highlight w:val="none"/>
          <w:u w:val="single"/>
        </w:rPr>
        <w:tab/>
      </w:r>
      <w:r>
        <w:rPr>
          <w:rFonts w:ascii="宋体" w:hAnsi="宋体"/>
          <w:kern w:val="0"/>
          <w:szCs w:val="21"/>
          <w:highlight w:val="none"/>
          <w:u w:val="single"/>
        </w:rPr>
        <w:t>。</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5.</w:t>
      </w:r>
      <w:r>
        <w:rPr>
          <w:rFonts w:hint="eastAsia" w:ascii="宋体" w:hAnsi="宋体"/>
          <w:bCs/>
          <w:szCs w:val="21"/>
          <w:highlight w:val="none"/>
        </w:rPr>
        <w:t>10</w:t>
      </w:r>
      <w:r>
        <w:rPr>
          <w:rFonts w:ascii="宋体" w:hAnsi="宋体"/>
          <w:bCs/>
          <w:szCs w:val="21"/>
          <w:highlight w:val="none"/>
        </w:rPr>
        <w:t xml:space="preserve"> 勘察文件要求</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5.</w:t>
      </w:r>
      <w:r>
        <w:rPr>
          <w:rFonts w:hint="eastAsia" w:ascii="宋体" w:hAnsi="宋体"/>
          <w:kern w:val="0"/>
          <w:szCs w:val="21"/>
          <w:highlight w:val="none"/>
        </w:rPr>
        <w:t>10</w:t>
      </w:r>
      <w:r>
        <w:rPr>
          <w:rFonts w:ascii="宋体" w:hAnsi="宋体"/>
          <w:kern w:val="0"/>
          <w:szCs w:val="21"/>
          <w:highlight w:val="none"/>
        </w:rPr>
        <w:t>.</w:t>
      </w:r>
      <w:r>
        <w:rPr>
          <w:rFonts w:hint="eastAsia" w:ascii="宋体" w:hAnsi="宋体"/>
          <w:kern w:val="0"/>
          <w:szCs w:val="21"/>
          <w:highlight w:val="none"/>
        </w:rPr>
        <w:t>2</w:t>
      </w:r>
      <w:r>
        <w:rPr>
          <w:rFonts w:ascii="宋体" w:hAnsi="宋体"/>
          <w:kern w:val="0"/>
          <w:szCs w:val="21"/>
          <w:highlight w:val="none"/>
          <w:u w:val="single"/>
        </w:rPr>
        <w:t>（</w:t>
      </w:r>
      <w:r>
        <w:rPr>
          <w:rFonts w:hint="eastAsia" w:ascii="宋体" w:hAnsi="宋体"/>
          <w:kern w:val="0"/>
          <w:szCs w:val="21"/>
          <w:highlight w:val="none"/>
          <w:u w:val="single"/>
        </w:rPr>
        <w:t>勘察</w:t>
      </w:r>
      <w:r>
        <w:rPr>
          <w:rFonts w:ascii="宋体" w:hAnsi="宋体"/>
          <w:kern w:val="0"/>
          <w:szCs w:val="21"/>
          <w:highlight w:val="none"/>
          <w:u w:val="single"/>
        </w:rPr>
        <w:t>文件的深度）</w:t>
      </w:r>
      <w:r>
        <w:rPr>
          <w:rFonts w:ascii="宋体" w:hAnsi="宋体"/>
          <w:kern w:val="0"/>
          <w:szCs w:val="21"/>
          <w:highlight w:val="none"/>
          <w:u w:val="single"/>
        </w:rPr>
        <w:tab/>
      </w:r>
      <w:r>
        <w:rPr>
          <w:rFonts w:ascii="宋体" w:hAnsi="宋体"/>
          <w:kern w:val="0"/>
          <w:szCs w:val="21"/>
          <w:highlight w:val="none"/>
        </w:rPr>
        <w:t>。</w:t>
      </w:r>
    </w:p>
    <w:p>
      <w:pPr>
        <w:keepNext/>
        <w:keepLines/>
        <w:tabs>
          <w:tab w:val="left" w:pos="8931"/>
        </w:tabs>
        <w:spacing w:before="120" w:after="120" w:line="413" w:lineRule="auto"/>
        <w:ind w:firstLine="108"/>
        <w:outlineLvl w:val="2"/>
        <w:rPr>
          <w:rFonts w:ascii="宋体" w:hAnsi="宋体"/>
          <w:sz w:val="32"/>
          <w:szCs w:val="20"/>
          <w:highlight w:val="none"/>
        </w:rPr>
      </w:pPr>
      <w:bookmarkStart w:id="1804" w:name="_Toc5826"/>
      <w:bookmarkStart w:id="1805" w:name="_Toc536463095"/>
      <w:bookmarkStart w:id="1806" w:name="_Toc24935"/>
      <w:bookmarkStart w:id="1807" w:name="_Toc814"/>
      <w:bookmarkStart w:id="1808" w:name="_Toc25981"/>
      <w:bookmarkStart w:id="1809" w:name="_Toc75857094"/>
      <w:bookmarkStart w:id="1810" w:name="_Toc25761"/>
      <w:r>
        <w:rPr>
          <w:rFonts w:ascii="宋体" w:hAnsi="宋体"/>
          <w:sz w:val="32"/>
          <w:szCs w:val="20"/>
          <w:highlight w:val="none"/>
        </w:rPr>
        <w:t>6.开始勘察和完成勘察</w:t>
      </w:r>
      <w:bookmarkEnd w:id="1804"/>
      <w:bookmarkEnd w:id="1805"/>
      <w:bookmarkEnd w:id="1806"/>
      <w:bookmarkEnd w:id="1807"/>
      <w:bookmarkEnd w:id="1808"/>
      <w:bookmarkEnd w:id="1809"/>
      <w:bookmarkEnd w:id="1810"/>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6.1 开始勘察</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6.1.1</w:t>
      </w:r>
      <w:r>
        <w:rPr>
          <w:rFonts w:hint="eastAsia" w:ascii="宋体" w:hAnsi="宋体"/>
          <w:kern w:val="0"/>
          <w:szCs w:val="21"/>
          <w:highlight w:val="none"/>
        </w:rPr>
        <w:t>开始勘察条件：</w:t>
      </w:r>
      <w:r>
        <w:rPr>
          <w:rFonts w:hint="eastAsia" w:ascii="宋体" w:hAnsi="宋体"/>
          <w:kern w:val="0"/>
          <w:szCs w:val="21"/>
          <w:highlight w:val="none"/>
          <w:u w:val="single"/>
        </w:rPr>
        <w:t xml:space="preserve">勘察人收到发包人提供的合同约定的勘察基础资料           </w:t>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bCs/>
          <w:szCs w:val="21"/>
          <w:highlight w:val="none"/>
        </w:rPr>
        <w:t>6.</w:t>
      </w:r>
      <w:r>
        <w:rPr>
          <w:rFonts w:hint="eastAsia" w:ascii="宋体" w:hAnsi="宋体"/>
          <w:bCs/>
          <w:szCs w:val="21"/>
          <w:highlight w:val="none"/>
        </w:rPr>
        <w:t>4</w:t>
      </w:r>
      <w:r>
        <w:rPr>
          <w:rFonts w:ascii="宋体" w:hAnsi="宋体"/>
          <w:bCs/>
          <w:szCs w:val="21"/>
          <w:highlight w:val="none"/>
        </w:rPr>
        <w:t xml:space="preserve"> </w:t>
      </w:r>
      <w:r>
        <w:rPr>
          <w:rFonts w:hint="eastAsia" w:ascii="宋体" w:hAnsi="宋体"/>
          <w:kern w:val="0"/>
          <w:szCs w:val="21"/>
          <w:highlight w:val="none"/>
        </w:rPr>
        <w:t>勘察</w:t>
      </w:r>
      <w:r>
        <w:rPr>
          <w:rFonts w:ascii="宋体" w:hAnsi="宋体"/>
          <w:kern w:val="0"/>
          <w:szCs w:val="21"/>
          <w:highlight w:val="none"/>
        </w:rPr>
        <w:t>人引起的周期延误：由于</w:t>
      </w:r>
      <w:r>
        <w:rPr>
          <w:rFonts w:hint="eastAsia" w:ascii="宋体" w:hAnsi="宋体"/>
          <w:kern w:val="0"/>
          <w:szCs w:val="21"/>
          <w:highlight w:val="none"/>
        </w:rPr>
        <w:t>勘察</w:t>
      </w:r>
      <w:r>
        <w:rPr>
          <w:rFonts w:ascii="宋体" w:hAnsi="宋体"/>
          <w:kern w:val="0"/>
          <w:szCs w:val="21"/>
          <w:highlight w:val="none"/>
        </w:rPr>
        <w:t>人原因，延误了</w:t>
      </w:r>
      <w:r>
        <w:rPr>
          <w:rFonts w:hint="eastAsia" w:ascii="宋体" w:hAnsi="宋体"/>
          <w:kern w:val="0"/>
          <w:szCs w:val="21"/>
          <w:highlight w:val="none"/>
        </w:rPr>
        <w:t>勘察</w:t>
      </w:r>
      <w:r>
        <w:rPr>
          <w:rFonts w:ascii="宋体" w:hAnsi="宋体"/>
          <w:kern w:val="0"/>
          <w:szCs w:val="21"/>
          <w:highlight w:val="none"/>
        </w:rPr>
        <w:t>文件交付时间，按专用合同条款14.1.</w:t>
      </w:r>
      <w:r>
        <w:rPr>
          <w:rFonts w:hint="eastAsia" w:ascii="宋体" w:hAnsi="宋体"/>
          <w:kern w:val="0"/>
          <w:szCs w:val="21"/>
          <w:highlight w:val="none"/>
        </w:rPr>
        <w:t>2.2</w:t>
      </w:r>
      <w:r>
        <w:rPr>
          <w:rFonts w:ascii="宋体" w:hAnsi="宋体"/>
          <w:kern w:val="0"/>
          <w:szCs w:val="21"/>
          <w:highlight w:val="none"/>
        </w:rPr>
        <w:t>项执行。</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6.</w:t>
      </w:r>
      <w:r>
        <w:rPr>
          <w:rFonts w:hint="eastAsia" w:ascii="宋体" w:hAnsi="宋体"/>
          <w:bCs/>
          <w:szCs w:val="21"/>
          <w:highlight w:val="none"/>
        </w:rPr>
        <w:t>7</w:t>
      </w:r>
      <w:r>
        <w:rPr>
          <w:rFonts w:ascii="宋体" w:hAnsi="宋体"/>
          <w:bCs/>
          <w:szCs w:val="21"/>
          <w:highlight w:val="none"/>
        </w:rPr>
        <w:t>提前完成勘察</w:t>
      </w:r>
    </w:p>
    <w:p>
      <w:pPr>
        <w:widowControl/>
        <w:tabs>
          <w:tab w:val="left" w:pos="8475"/>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6.</w:t>
      </w:r>
      <w:r>
        <w:rPr>
          <w:rFonts w:hint="eastAsia" w:ascii="宋体" w:hAnsi="宋体"/>
          <w:kern w:val="0"/>
          <w:szCs w:val="21"/>
          <w:highlight w:val="none"/>
        </w:rPr>
        <w:t>7</w:t>
      </w:r>
      <w:r>
        <w:rPr>
          <w:rFonts w:ascii="宋体" w:hAnsi="宋体"/>
          <w:kern w:val="0"/>
          <w:szCs w:val="21"/>
          <w:highlight w:val="none"/>
        </w:rPr>
        <w:t>.1</w:t>
      </w:r>
      <w:r>
        <w:rPr>
          <w:rFonts w:ascii="宋体" w:hAnsi="宋体"/>
          <w:kern w:val="0"/>
          <w:szCs w:val="21"/>
          <w:highlight w:val="none"/>
          <w:u w:val="single"/>
        </w:rPr>
        <w:t>（提前完成</w:t>
      </w:r>
      <w:r>
        <w:rPr>
          <w:rFonts w:hint="eastAsia" w:ascii="宋体" w:hAnsi="宋体"/>
          <w:kern w:val="0"/>
          <w:szCs w:val="21"/>
          <w:highlight w:val="none"/>
          <w:u w:val="single"/>
        </w:rPr>
        <w:t>勘察</w:t>
      </w:r>
      <w:r>
        <w:rPr>
          <w:rFonts w:ascii="宋体" w:hAnsi="宋体"/>
          <w:kern w:val="0"/>
          <w:szCs w:val="21"/>
          <w:highlight w:val="none"/>
          <w:u w:val="single"/>
        </w:rPr>
        <w:t>，是否调整</w:t>
      </w:r>
      <w:r>
        <w:rPr>
          <w:rFonts w:hint="eastAsia" w:ascii="宋体" w:hAnsi="宋体"/>
          <w:kern w:val="0"/>
          <w:szCs w:val="21"/>
          <w:highlight w:val="none"/>
          <w:u w:val="single"/>
        </w:rPr>
        <w:t>勘察</w:t>
      </w:r>
      <w:r>
        <w:rPr>
          <w:rFonts w:ascii="宋体" w:hAnsi="宋体"/>
          <w:kern w:val="0"/>
          <w:szCs w:val="21"/>
          <w:highlight w:val="none"/>
          <w:u w:val="single"/>
        </w:rPr>
        <w:t>费用）</w:t>
      </w:r>
      <w:r>
        <w:rPr>
          <w:rFonts w:ascii="宋体" w:hAnsi="宋体"/>
          <w:kern w:val="0"/>
          <w:szCs w:val="21"/>
          <w:highlight w:val="none"/>
          <w:u w:val="single"/>
        </w:rPr>
        <w:tab/>
      </w:r>
      <w:r>
        <w:rPr>
          <w:rFonts w:ascii="宋体" w:hAnsi="宋体"/>
          <w:kern w:val="0"/>
          <w:szCs w:val="21"/>
          <w:highlight w:val="none"/>
        </w:rPr>
        <w:t>。</w:t>
      </w:r>
    </w:p>
    <w:p>
      <w:pPr>
        <w:widowControl/>
        <w:tabs>
          <w:tab w:val="left" w:pos="5218"/>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6.</w:t>
      </w:r>
      <w:r>
        <w:rPr>
          <w:rFonts w:hint="eastAsia" w:ascii="宋体" w:hAnsi="宋体"/>
          <w:kern w:val="0"/>
          <w:szCs w:val="21"/>
          <w:highlight w:val="none"/>
        </w:rPr>
        <w:t>7</w:t>
      </w:r>
      <w:r>
        <w:rPr>
          <w:rFonts w:ascii="宋体" w:hAnsi="宋体"/>
          <w:kern w:val="0"/>
          <w:szCs w:val="21"/>
          <w:highlight w:val="none"/>
        </w:rPr>
        <w:t>.3</w:t>
      </w:r>
      <w:r>
        <w:rPr>
          <w:rFonts w:hint="eastAsia" w:ascii="宋体" w:hAnsi="宋体"/>
          <w:kern w:val="0"/>
          <w:szCs w:val="21"/>
          <w:highlight w:val="none"/>
        </w:rPr>
        <w:t>勘察</w:t>
      </w:r>
      <w:r>
        <w:rPr>
          <w:rFonts w:ascii="宋体" w:hAnsi="宋体"/>
          <w:kern w:val="0"/>
          <w:szCs w:val="21"/>
          <w:highlight w:val="none"/>
        </w:rPr>
        <w:t>人提前完成</w:t>
      </w:r>
      <w:r>
        <w:rPr>
          <w:rFonts w:hint="eastAsia" w:ascii="宋体" w:hAnsi="宋体"/>
          <w:kern w:val="0"/>
          <w:szCs w:val="21"/>
          <w:highlight w:val="none"/>
        </w:rPr>
        <w:t>勘察</w:t>
      </w:r>
      <w:r>
        <w:rPr>
          <w:rFonts w:ascii="宋体" w:hAnsi="宋体"/>
          <w:kern w:val="0"/>
          <w:szCs w:val="21"/>
          <w:highlight w:val="none"/>
        </w:rPr>
        <w:t>奖励：</w:t>
      </w:r>
      <w:r>
        <w:rPr>
          <w:rFonts w:ascii="宋体" w:hAnsi="宋体"/>
          <w:kern w:val="0"/>
          <w:szCs w:val="21"/>
          <w:highlight w:val="none"/>
          <w:u w:val="single"/>
        </w:rPr>
        <w:t>（提前完成</w:t>
      </w:r>
      <w:r>
        <w:rPr>
          <w:rFonts w:hint="eastAsia" w:ascii="宋体" w:hAnsi="宋体"/>
          <w:kern w:val="0"/>
          <w:szCs w:val="21"/>
          <w:highlight w:val="none"/>
          <w:u w:val="single"/>
        </w:rPr>
        <w:t>勘察</w:t>
      </w:r>
      <w:r>
        <w:rPr>
          <w:rFonts w:ascii="宋体" w:hAnsi="宋体"/>
          <w:kern w:val="0"/>
          <w:szCs w:val="21"/>
          <w:highlight w:val="none"/>
          <w:u w:val="single"/>
        </w:rPr>
        <w:t>，是否奖励）</w:t>
      </w:r>
      <w:r>
        <w:rPr>
          <w:rFonts w:ascii="宋体" w:hAnsi="宋体"/>
          <w:kern w:val="0"/>
          <w:szCs w:val="21"/>
          <w:highlight w:val="none"/>
        </w:rPr>
        <w:t>。</w:t>
      </w:r>
    </w:p>
    <w:p>
      <w:pPr>
        <w:keepNext/>
        <w:keepLines/>
        <w:tabs>
          <w:tab w:val="left" w:pos="8931"/>
        </w:tabs>
        <w:spacing w:before="120" w:after="120" w:line="413" w:lineRule="auto"/>
        <w:ind w:firstLine="108"/>
        <w:outlineLvl w:val="2"/>
        <w:rPr>
          <w:rFonts w:ascii="宋体" w:hAnsi="宋体"/>
          <w:sz w:val="32"/>
          <w:szCs w:val="20"/>
          <w:highlight w:val="none"/>
        </w:rPr>
      </w:pPr>
      <w:bookmarkStart w:id="1811" w:name="_Toc3156"/>
      <w:bookmarkStart w:id="1812" w:name="_Toc26503"/>
      <w:bookmarkStart w:id="1813" w:name="_Toc536463097"/>
      <w:bookmarkStart w:id="1814" w:name="_Toc80"/>
      <w:bookmarkStart w:id="1815" w:name="_Toc12289"/>
      <w:bookmarkStart w:id="1816" w:name="_Toc11706"/>
      <w:bookmarkStart w:id="1817" w:name="_Toc75857095"/>
      <w:r>
        <w:rPr>
          <w:rFonts w:ascii="宋体" w:hAnsi="宋体"/>
          <w:sz w:val="32"/>
          <w:szCs w:val="20"/>
          <w:highlight w:val="none"/>
        </w:rPr>
        <w:t>8. 勘察文件</w:t>
      </w:r>
      <w:bookmarkEnd w:id="1811"/>
      <w:bookmarkEnd w:id="1812"/>
      <w:bookmarkEnd w:id="1813"/>
      <w:bookmarkEnd w:id="1814"/>
      <w:bookmarkEnd w:id="1815"/>
      <w:bookmarkEnd w:id="1816"/>
      <w:bookmarkEnd w:id="1817"/>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 xml:space="preserve">8.1 </w:t>
      </w:r>
      <w:r>
        <w:rPr>
          <w:rFonts w:ascii="宋体" w:hAnsi="宋体"/>
          <w:kern w:val="0"/>
          <w:szCs w:val="21"/>
          <w:highlight w:val="none"/>
        </w:rPr>
        <w:t>勘察</w:t>
      </w:r>
      <w:r>
        <w:rPr>
          <w:rFonts w:ascii="宋体" w:hAnsi="宋体"/>
          <w:bCs/>
          <w:szCs w:val="21"/>
          <w:highlight w:val="none"/>
        </w:rPr>
        <w:t>文件接收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8.1.3勘察文件包括纸质文件和电子文件两种形式。提交文件名称、份数和时间</w:t>
      </w:r>
      <w:r>
        <w:rPr>
          <w:rFonts w:hint="eastAsia" w:ascii="宋体" w:hAnsi="宋体"/>
          <w:kern w:val="0"/>
          <w:szCs w:val="21"/>
          <w:highlight w:val="none"/>
        </w:rPr>
        <w:t>如下</w:t>
      </w:r>
      <w:r>
        <w:rPr>
          <w:rFonts w:ascii="宋体" w:hAnsi="宋体"/>
          <w:kern w:val="0"/>
          <w:szCs w:val="21"/>
          <w:highlight w:val="none"/>
        </w:rPr>
        <w:t>：</w:t>
      </w:r>
    </w:p>
    <w:tbl>
      <w:tblPr>
        <w:tblStyle w:val="55"/>
        <w:tblW w:w="889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3094"/>
        <w:gridCol w:w="1276"/>
        <w:gridCol w:w="2184"/>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序号</w:t>
            </w:r>
          </w:p>
        </w:tc>
        <w:tc>
          <w:tcPr>
            <w:tcW w:w="309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勘察人提</w:t>
            </w:r>
            <w:r>
              <w:rPr>
                <w:rFonts w:hint="eastAsia" w:ascii="宋体" w:hAnsi="宋体"/>
                <w:kern w:val="0"/>
                <w:szCs w:val="21"/>
                <w:highlight w:val="none"/>
              </w:rPr>
              <w:t>交</w:t>
            </w:r>
            <w:r>
              <w:rPr>
                <w:rFonts w:ascii="宋体" w:hAnsi="宋体"/>
                <w:kern w:val="0"/>
                <w:szCs w:val="21"/>
                <w:highlight w:val="none"/>
              </w:rPr>
              <w:t>的文件名称</w:t>
            </w:r>
          </w:p>
        </w:tc>
        <w:tc>
          <w:tcPr>
            <w:tcW w:w="1276"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纸质份数</w:t>
            </w:r>
          </w:p>
        </w:tc>
        <w:tc>
          <w:tcPr>
            <w:tcW w:w="218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提交时间</w:t>
            </w:r>
          </w:p>
        </w:tc>
        <w:tc>
          <w:tcPr>
            <w:tcW w:w="1526"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1</w:t>
            </w:r>
          </w:p>
        </w:tc>
        <w:tc>
          <w:tcPr>
            <w:tcW w:w="309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hint="eastAsia" w:ascii="宋体" w:hAnsi="宋体"/>
                <w:kern w:val="0"/>
                <w:szCs w:val="21"/>
                <w:highlight w:val="none"/>
                <w:u w:val="single"/>
              </w:rPr>
              <w:t>初勘报告</w:t>
            </w:r>
          </w:p>
        </w:tc>
        <w:tc>
          <w:tcPr>
            <w:tcW w:w="1276"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 xml:space="preserve"> </w:t>
            </w:r>
          </w:p>
        </w:tc>
        <w:tc>
          <w:tcPr>
            <w:tcW w:w="218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p>
        </w:tc>
        <w:tc>
          <w:tcPr>
            <w:tcW w:w="1526"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2</w:t>
            </w:r>
          </w:p>
        </w:tc>
        <w:tc>
          <w:tcPr>
            <w:tcW w:w="309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hint="eastAsia" w:ascii="宋体" w:hAnsi="宋体"/>
                <w:kern w:val="0"/>
                <w:szCs w:val="21"/>
                <w:highlight w:val="none"/>
                <w:u w:val="single"/>
              </w:rPr>
              <w:t>详勘报告</w:t>
            </w:r>
          </w:p>
        </w:tc>
        <w:tc>
          <w:tcPr>
            <w:tcW w:w="1276"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 xml:space="preserve"> </w:t>
            </w:r>
          </w:p>
        </w:tc>
        <w:tc>
          <w:tcPr>
            <w:tcW w:w="218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p>
        </w:tc>
        <w:tc>
          <w:tcPr>
            <w:tcW w:w="1526"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1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3</w:t>
            </w:r>
          </w:p>
        </w:tc>
        <w:tc>
          <w:tcPr>
            <w:tcW w:w="309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hint="eastAsia" w:ascii="宋体" w:hAnsi="宋体"/>
                <w:kern w:val="0"/>
                <w:szCs w:val="21"/>
                <w:highlight w:val="none"/>
                <w:u w:val="single"/>
              </w:rPr>
              <w:t>工程测量成果资料</w:t>
            </w:r>
          </w:p>
        </w:tc>
        <w:tc>
          <w:tcPr>
            <w:tcW w:w="1276"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 xml:space="preserve"> </w:t>
            </w:r>
          </w:p>
        </w:tc>
        <w:tc>
          <w:tcPr>
            <w:tcW w:w="218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p>
        </w:tc>
        <w:tc>
          <w:tcPr>
            <w:tcW w:w="1526"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1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4</w:t>
            </w:r>
          </w:p>
        </w:tc>
        <w:tc>
          <w:tcPr>
            <w:tcW w:w="309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hint="eastAsia" w:ascii="宋体" w:hAnsi="宋体"/>
                <w:kern w:val="0"/>
                <w:szCs w:val="21"/>
                <w:highlight w:val="none"/>
                <w:u w:val="single"/>
              </w:rPr>
              <w:t>专题研究报告</w:t>
            </w:r>
          </w:p>
        </w:tc>
        <w:tc>
          <w:tcPr>
            <w:tcW w:w="1276"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2184"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1526"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1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5</w:t>
            </w:r>
          </w:p>
        </w:tc>
        <w:tc>
          <w:tcPr>
            <w:tcW w:w="3094"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r>
              <w:rPr>
                <w:rFonts w:ascii="宋体" w:hAnsi="宋体"/>
                <w:kern w:val="0"/>
                <w:szCs w:val="21"/>
                <w:highlight w:val="none"/>
              </w:rPr>
              <w:t>…</w:t>
            </w:r>
          </w:p>
        </w:tc>
        <w:tc>
          <w:tcPr>
            <w:tcW w:w="1276"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2184"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1526"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1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6</w:t>
            </w:r>
          </w:p>
        </w:tc>
        <w:tc>
          <w:tcPr>
            <w:tcW w:w="3094"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r>
              <w:rPr>
                <w:rFonts w:ascii="宋体" w:hAnsi="宋体"/>
                <w:kern w:val="0"/>
                <w:szCs w:val="21"/>
                <w:highlight w:val="none"/>
              </w:rPr>
              <w:t>…</w:t>
            </w:r>
          </w:p>
        </w:tc>
        <w:tc>
          <w:tcPr>
            <w:tcW w:w="1276"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2184"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1526"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814" w:type="dxa"/>
            <w:vAlign w:val="center"/>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w:t>
            </w:r>
          </w:p>
        </w:tc>
        <w:tc>
          <w:tcPr>
            <w:tcW w:w="3094"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r>
              <w:rPr>
                <w:rFonts w:ascii="宋体" w:hAnsi="宋体"/>
                <w:kern w:val="0"/>
                <w:szCs w:val="21"/>
                <w:highlight w:val="none"/>
              </w:rPr>
              <w:t>…</w:t>
            </w:r>
          </w:p>
        </w:tc>
        <w:tc>
          <w:tcPr>
            <w:tcW w:w="1276"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2184" w:type="dxa"/>
            <w:vAlign w:val="center"/>
          </w:tcPr>
          <w:p>
            <w:pPr>
              <w:widowControl/>
              <w:tabs>
                <w:tab w:val="left" w:pos="9072"/>
                <w:tab w:val="left" w:pos="9781"/>
              </w:tabs>
              <w:snapToGrid w:val="0"/>
              <w:spacing w:line="360" w:lineRule="auto"/>
              <w:ind w:right="120" w:rightChars="57"/>
              <w:jc w:val="center"/>
              <w:rPr>
                <w:rFonts w:ascii="宋体" w:hAnsi="宋体"/>
                <w:kern w:val="0"/>
                <w:szCs w:val="21"/>
                <w:highlight w:val="none"/>
              </w:rPr>
            </w:pPr>
          </w:p>
        </w:tc>
        <w:tc>
          <w:tcPr>
            <w:tcW w:w="1526" w:type="dxa"/>
          </w:tcPr>
          <w:p>
            <w:pPr>
              <w:widowControl/>
              <w:tabs>
                <w:tab w:val="left" w:pos="9072"/>
                <w:tab w:val="left" w:pos="9781"/>
              </w:tabs>
              <w:spacing w:line="360" w:lineRule="auto"/>
              <w:ind w:right="120" w:rightChars="57"/>
              <w:jc w:val="center"/>
              <w:rPr>
                <w:rFonts w:ascii="宋体" w:hAnsi="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4" w:type="dxa"/>
          </w:tcPr>
          <w:p>
            <w:pPr>
              <w:widowControl/>
              <w:tabs>
                <w:tab w:val="left" w:pos="9072"/>
                <w:tab w:val="left" w:pos="9781"/>
              </w:tabs>
              <w:spacing w:line="360" w:lineRule="auto"/>
              <w:ind w:right="120" w:rightChars="57"/>
              <w:jc w:val="center"/>
              <w:rPr>
                <w:rFonts w:ascii="宋体" w:hAnsi="宋体"/>
                <w:kern w:val="0"/>
                <w:szCs w:val="21"/>
                <w:highlight w:val="none"/>
              </w:rPr>
            </w:pPr>
            <w:r>
              <w:rPr>
                <w:rFonts w:ascii="宋体" w:hAnsi="宋体"/>
                <w:kern w:val="0"/>
                <w:szCs w:val="21"/>
                <w:highlight w:val="none"/>
              </w:rPr>
              <w:t>说明</w:t>
            </w:r>
          </w:p>
        </w:tc>
        <w:tc>
          <w:tcPr>
            <w:tcW w:w="8080" w:type="dxa"/>
            <w:gridSpan w:val="4"/>
          </w:tcPr>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电子版</w:t>
            </w:r>
            <w:r>
              <w:rPr>
                <w:rFonts w:hint="eastAsia" w:ascii="宋体" w:hAnsi="宋体"/>
                <w:kern w:val="0"/>
                <w:szCs w:val="21"/>
                <w:highlight w:val="none"/>
                <w:u w:val="single"/>
              </w:rPr>
              <w:t xml:space="preserve">    </w:t>
            </w:r>
            <w:r>
              <w:rPr>
                <w:rFonts w:hint="eastAsia" w:ascii="宋体" w:hAnsi="宋体"/>
                <w:kern w:val="0"/>
                <w:szCs w:val="21"/>
                <w:highlight w:val="none"/>
              </w:rPr>
              <w:t>份。电子文件中的文字为</w:t>
            </w:r>
            <w:r>
              <w:rPr>
                <w:rFonts w:hint="eastAsia" w:ascii="宋体" w:hAnsi="宋体"/>
                <w:kern w:val="0"/>
                <w:szCs w:val="21"/>
                <w:highlight w:val="none"/>
                <w:u w:val="single"/>
              </w:rPr>
              <w:t xml:space="preserve">    </w:t>
            </w:r>
            <w:r>
              <w:rPr>
                <w:rFonts w:hint="eastAsia" w:ascii="宋体" w:hAnsi="宋体"/>
                <w:kern w:val="0"/>
                <w:szCs w:val="21"/>
                <w:highlight w:val="none"/>
              </w:rPr>
              <w:t>格式、图形为</w:t>
            </w:r>
            <w:r>
              <w:rPr>
                <w:rFonts w:hint="eastAsia" w:ascii="宋体" w:hAnsi="宋体"/>
                <w:kern w:val="0"/>
                <w:szCs w:val="21"/>
                <w:highlight w:val="none"/>
                <w:u w:val="single"/>
              </w:rPr>
              <w:t xml:space="preserve">    </w:t>
            </w:r>
            <w:r>
              <w:rPr>
                <w:rFonts w:hint="eastAsia" w:ascii="宋体" w:hAnsi="宋体"/>
                <w:kern w:val="0"/>
                <w:szCs w:val="21"/>
                <w:highlight w:val="none"/>
              </w:rPr>
              <w:t>格式，并应使用光盘和 U 盘分别贮存。</w:t>
            </w:r>
          </w:p>
        </w:tc>
      </w:tr>
    </w:tbl>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如发包人要求提供超过合同约定份数的工程勘察文件，则勘察人仍应按发包人的要求提供，但发包人应向勘察人支付增加的工本费。</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8.2 发包人审查勘察文件</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8.2.1发包人接收</w:t>
      </w:r>
      <w:r>
        <w:rPr>
          <w:rFonts w:hint="eastAsia" w:ascii="宋体" w:hAnsi="宋体"/>
          <w:kern w:val="0"/>
          <w:szCs w:val="21"/>
          <w:highlight w:val="none"/>
        </w:rPr>
        <w:t>勘察</w:t>
      </w:r>
      <w:r>
        <w:rPr>
          <w:rFonts w:ascii="宋体" w:hAnsi="宋体"/>
          <w:kern w:val="0"/>
          <w:szCs w:val="21"/>
          <w:highlight w:val="none"/>
        </w:rPr>
        <w:t>文件之后，可以自行或者组织专家会或者委托第三方进行审查，</w:t>
      </w:r>
      <w:r>
        <w:rPr>
          <w:rFonts w:hint="eastAsia" w:ascii="宋体" w:hAnsi="宋体"/>
          <w:kern w:val="0"/>
          <w:szCs w:val="21"/>
          <w:highlight w:val="none"/>
        </w:rPr>
        <w:t>勘察</w:t>
      </w:r>
      <w:r>
        <w:rPr>
          <w:rFonts w:ascii="宋体" w:hAnsi="宋体"/>
          <w:kern w:val="0"/>
          <w:szCs w:val="21"/>
          <w:highlight w:val="none"/>
        </w:rPr>
        <w:t>人应当给予配合。审查范围、内容：</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，费用由</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r>
        <w:rPr>
          <w:rFonts w:ascii="宋体" w:hAnsi="宋体"/>
          <w:kern w:val="0"/>
          <w:szCs w:val="21"/>
          <w:highlight w:val="none"/>
        </w:rPr>
        <w:t>承担。</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8.2.2发包人对于勘察文件的审查期限</w:t>
      </w:r>
      <w:r>
        <w:rPr>
          <w:rFonts w:hint="eastAsia" w:ascii="宋体" w:hAnsi="宋体"/>
          <w:kern w:val="0"/>
          <w:szCs w:val="21"/>
          <w:highlight w:val="none"/>
        </w:rPr>
        <w:t>：</w:t>
      </w:r>
      <w:r>
        <w:rPr>
          <w:rFonts w:ascii="宋体" w:hAnsi="宋体"/>
          <w:kern w:val="0"/>
          <w:szCs w:val="21"/>
          <w:highlight w:val="none"/>
        </w:rPr>
        <w:t>自文件送达之日起不应超过</w:t>
      </w:r>
      <w:r>
        <w:rPr>
          <w:rFonts w:ascii="宋体" w:hAnsi="宋体"/>
          <w:kern w:val="0"/>
          <w:szCs w:val="21"/>
          <w:highlight w:val="none"/>
          <w:u w:val="single"/>
        </w:rPr>
        <w:t xml:space="preserve">   </w:t>
      </w:r>
      <w:r>
        <w:rPr>
          <w:rFonts w:hint="eastAsia" w:ascii="宋体" w:hAnsi="宋体"/>
          <w:kern w:val="0"/>
          <w:szCs w:val="21"/>
          <w:highlight w:val="none"/>
          <w:u w:val="single"/>
        </w:rPr>
        <w:t xml:space="preserve">  </w:t>
      </w:r>
      <w:r>
        <w:rPr>
          <w:rFonts w:ascii="宋体" w:hAnsi="宋体"/>
          <w:kern w:val="0"/>
          <w:szCs w:val="21"/>
          <w:highlight w:val="none"/>
        </w:rPr>
        <w:t>天。因发包人委托第三方对勘察文件进行审查，需延期提供审查意见的，发包人应书面通知</w:t>
      </w:r>
      <w:r>
        <w:rPr>
          <w:rFonts w:hint="eastAsia" w:ascii="宋体" w:hAnsi="宋体"/>
          <w:kern w:val="0"/>
          <w:szCs w:val="21"/>
          <w:highlight w:val="none"/>
        </w:rPr>
        <w:t>勘察</w:t>
      </w:r>
      <w:r>
        <w:rPr>
          <w:rFonts w:ascii="宋体" w:hAnsi="宋体"/>
          <w:kern w:val="0"/>
          <w:szCs w:val="21"/>
          <w:highlight w:val="none"/>
        </w:rPr>
        <w:t>人。具体延长时间以发包人书面通知为准。</w:t>
      </w:r>
    </w:p>
    <w:p>
      <w:pPr>
        <w:keepNext/>
        <w:keepLines/>
        <w:tabs>
          <w:tab w:val="left" w:pos="8931"/>
        </w:tabs>
        <w:spacing w:before="120" w:after="120" w:line="413" w:lineRule="auto"/>
        <w:ind w:firstLine="108"/>
        <w:outlineLvl w:val="2"/>
        <w:rPr>
          <w:rFonts w:ascii="宋体" w:hAnsi="宋体"/>
          <w:sz w:val="32"/>
          <w:szCs w:val="20"/>
          <w:highlight w:val="none"/>
        </w:rPr>
      </w:pPr>
      <w:bookmarkStart w:id="1818" w:name="_Toc18007"/>
      <w:bookmarkStart w:id="1819" w:name="_Toc2897"/>
      <w:bookmarkStart w:id="1820" w:name="_Toc31820"/>
      <w:bookmarkStart w:id="1821" w:name="_Toc30461"/>
      <w:bookmarkStart w:id="1822" w:name="_Toc536463098"/>
      <w:bookmarkStart w:id="1823" w:name="_Toc75857096"/>
      <w:bookmarkStart w:id="1824" w:name="_Toc28827"/>
      <w:r>
        <w:rPr>
          <w:rFonts w:ascii="宋体" w:hAnsi="宋体"/>
          <w:sz w:val="32"/>
          <w:szCs w:val="20"/>
          <w:highlight w:val="none"/>
        </w:rPr>
        <w:t>9. 勘察责任与保险</w:t>
      </w:r>
      <w:bookmarkEnd w:id="1818"/>
      <w:bookmarkEnd w:id="1819"/>
      <w:bookmarkEnd w:id="1820"/>
      <w:bookmarkEnd w:id="1821"/>
      <w:bookmarkEnd w:id="1822"/>
      <w:bookmarkEnd w:id="1823"/>
      <w:bookmarkEnd w:id="1824"/>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 xml:space="preserve">9.4 </w:t>
      </w:r>
      <w:r>
        <w:rPr>
          <w:rFonts w:hint="eastAsia" w:ascii="宋体" w:hAnsi="宋体"/>
          <w:bCs/>
          <w:szCs w:val="21"/>
          <w:highlight w:val="none"/>
        </w:rPr>
        <w:t>勘察</w:t>
      </w:r>
      <w:r>
        <w:rPr>
          <w:rFonts w:ascii="宋体" w:hAnsi="宋体"/>
          <w:bCs/>
          <w:szCs w:val="21"/>
          <w:highlight w:val="none"/>
        </w:rPr>
        <w:t>责任保险</w:t>
      </w:r>
    </w:p>
    <w:p>
      <w:pPr>
        <w:widowControl/>
        <w:tabs>
          <w:tab w:val="left" w:pos="9072"/>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9.4.1勘察人购买保险类型：</w:t>
      </w:r>
      <w:r>
        <w:rPr>
          <w:rFonts w:hint="eastAsia" w:ascii="宋体" w:hAnsi="宋体"/>
          <w:kern w:val="0"/>
          <w:szCs w:val="21"/>
          <w:highlight w:val="none"/>
          <w:u w:val="single"/>
        </w:rPr>
        <w:t>（单位险/项目险/不采用）</w:t>
      </w:r>
      <w:r>
        <w:rPr>
          <w:rFonts w:ascii="宋体" w:hAnsi="宋体"/>
          <w:kern w:val="0"/>
          <w:szCs w:val="21"/>
          <w:highlight w:val="none"/>
        </w:rPr>
        <w:t>，购买时间：</w:t>
      </w:r>
      <w:r>
        <w:rPr>
          <w:rFonts w:ascii="宋体" w:hAnsi="宋体"/>
          <w:kern w:val="0"/>
          <w:szCs w:val="21"/>
          <w:highlight w:val="none"/>
          <w:u w:val="single"/>
        </w:rPr>
        <w:t xml:space="preserve">      </w:t>
      </w:r>
      <w:r>
        <w:rPr>
          <w:rFonts w:ascii="宋体" w:hAnsi="宋体"/>
          <w:kern w:val="0"/>
          <w:szCs w:val="21"/>
          <w:highlight w:val="none"/>
        </w:rPr>
        <w:t>，保额：</w:t>
      </w:r>
      <w:r>
        <w:rPr>
          <w:rFonts w:ascii="宋体" w:hAnsi="宋体"/>
          <w:kern w:val="0"/>
          <w:szCs w:val="21"/>
          <w:highlight w:val="none"/>
          <w:u w:val="single"/>
        </w:rPr>
        <w:tab/>
      </w:r>
      <w:r>
        <w:rPr>
          <w:rFonts w:hint="eastAsia" w:ascii="宋体" w:hAnsi="宋体"/>
          <w:kern w:val="0"/>
          <w:szCs w:val="21"/>
          <w:highlight w:val="none"/>
          <w:u w:val="single"/>
        </w:rPr>
        <w:t xml:space="preserve"> </w:t>
      </w:r>
      <w:r>
        <w:rPr>
          <w:rFonts w:ascii="宋体" w:hAnsi="宋体"/>
          <w:kern w:val="0"/>
          <w:szCs w:val="21"/>
          <w:highlight w:val="none"/>
        </w:rPr>
        <w:t>。</w:t>
      </w:r>
    </w:p>
    <w:p>
      <w:pPr>
        <w:widowControl/>
        <w:tabs>
          <w:tab w:val="left" w:pos="9072"/>
          <w:tab w:val="left" w:pos="9356"/>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发包人购买保险类型：</w:t>
      </w:r>
      <w:r>
        <w:rPr>
          <w:rFonts w:ascii="宋体" w:hAnsi="宋体"/>
          <w:kern w:val="0"/>
          <w:szCs w:val="21"/>
          <w:highlight w:val="none"/>
          <w:u w:val="single"/>
        </w:rPr>
        <w:t xml:space="preserve">     </w:t>
      </w:r>
      <w:r>
        <w:rPr>
          <w:rFonts w:hint="eastAsia" w:ascii="宋体" w:hAnsi="宋体"/>
          <w:kern w:val="0"/>
          <w:szCs w:val="21"/>
          <w:highlight w:val="none"/>
          <w:u w:val="single"/>
        </w:rPr>
        <w:t>（项目险/不采用）</w:t>
      </w:r>
      <w:r>
        <w:rPr>
          <w:rFonts w:ascii="宋体" w:hAnsi="宋体"/>
          <w:kern w:val="0"/>
          <w:szCs w:val="21"/>
          <w:highlight w:val="none"/>
          <w:u w:val="single"/>
        </w:rPr>
        <w:t xml:space="preserve">       </w:t>
      </w:r>
      <w:r>
        <w:rPr>
          <w:rFonts w:ascii="宋体" w:hAnsi="宋体"/>
          <w:kern w:val="0"/>
          <w:szCs w:val="21"/>
          <w:highlight w:val="none"/>
        </w:rPr>
        <w:t>，购买时间：</w:t>
      </w:r>
      <w:r>
        <w:rPr>
          <w:rFonts w:ascii="宋体" w:hAnsi="宋体"/>
          <w:kern w:val="0"/>
          <w:szCs w:val="21"/>
          <w:highlight w:val="none"/>
          <w:u w:val="single"/>
        </w:rPr>
        <w:t xml:space="preserve">       </w:t>
      </w:r>
      <w:r>
        <w:rPr>
          <w:rFonts w:ascii="宋体" w:hAnsi="宋体"/>
          <w:kern w:val="0"/>
          <w:szCs w:val="21"/>
          <w:highlight w:val="none"/>
        </w:rPr>
        <w:t>，保额：</w:t>
      </w:r>
      <w:r>
        <w:rPr>
          <w:rFonts w:ascii="宋体" w:hAnsi="宋体"/>
          <w:kern w:val="0"/>
          <w:szCs w:val="21"/>
          <w:highlight w:val="none"/>
          <w:u w:val="single"/>
        </w:rPr>
        <w:tab/>
      </w:r>
      <w:r>
        <w:rPr>
          <w:rFonts w:hint="eastAsia" w:ascii="宋体" w:hAnsi="宋体"/>
          <w:kern w:val="0"/>
          <w:szCs w:val="21"/>
          <w:highlight w:val="none"/>
          <w:u w:val="single"/>
        </w:rPr>
        <w:t xml:space="preserve"> </w:t>
      </w:r>
      <w:r>
        <w:rPr>
          <w:rFonts w:ascii="宋体" w:hAnsi="宋体"/>
          <w:kern w:val="0"/>
          <w:szCs w:val="21"/>
          <w:highlight w:val="none"/>
        </w:rPr>
        <w:t>。</w:t>
      </w:r>
    </w:p>
    <w:p>
      <w:pPr>
        <w:keepNext/>
        <w:keepLines/>
        <w:widowControl/>
        <w:spacing w:before="120" w:after="120" w:line="360" w:lineRule="auto"/>
        <w:ind w:firstLine="420" w:firstLineChars="200"/>
        <w:jc w:val="left"/>
        <w:outlineLvl w:val="4"/>
        <w:rPr>
          <w:rFonts w:ascii="宋体" w:hAnsi="宋体"/>
          <w:bCs/>
          <w:szCs w:val="21"/>
          <w:highlight w:val="none"/>
        </w:rPr>
      </w:pPr>
      <w:r>
        <w:rPr>
          <w:rFonts w:hint="eastAsia" w:ascii="宋体" w:hAnsi="宋体"/>
          <w:kern w:val="0"/>
          <w:szCs w:val="21"/>
          <w:highlight w:val="none"/>
        </w:rPr>
        <w:t xml:space="preserve">9.5 </w:t>
      </w:r>
      <w:r>
        <w:rPr>
          <w:rFonts w:hint="eastAsia" w:ascii="宋体" w:hAnsi="宋体"/>
          <w:bCs/>
          <w:szCs w:val="21"/>
          <w:highlight w:val="none"/>
          <w:lang w:bidi="ar"/>
        </w:rPr>
        <w:t>增加：低价风险担保</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勘察人提供低价风险担保的情形：采用经评审的最低投标价法的项目投标报价低于最高限价85%时。</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低价风险担保形式：</w:t>
      </w:r>
      <w:r>
        <w:rPr>
          <w:rFonts w:hint="eastAsia" w:ascii="宋体" w:hAnsi="宋体" w:cs="宋体"/>
          <w:kern w:val="0"/>
          <w:szCs w:val="21"/>
          <w:highlight w:val="none"/>
        </w:rPr>
        <w:t>现金或银行保函或现金+银行保函的组合；采用银行保函形式的，保函必须为不可撤销</w:t>
      </w:r>
      <w:r>
        <w:rPr>
          <w:rFonts w:hint="eastAsia"/>
          <w:highlight w:val="none"/>
        </w:rPr>
        <w:t>、不可转让的</w:t>
      </w:r>
      <w:r>
        <w:rPr>
          <w:rFonts w:hint="eastAsia" w:asciiTheme="minorEastAsia" w:hAnsiTheme="minorEastAsia" w:eastAsiaTheme="minorEastAsia"/>
          <w:highlight w:val="none"/>
        </w:rPr>
        <w:t>见索即付</w:t>
      </w:r>
      <w:r>
        <w:rPr>
          <w:rFonts w:hint="eastAsia"/>
          <w:highlight w:val="none"/>
        </w:rPr>
        <w:t>独立保函</w:t>
      </w:r>
      <w:r>
        <w:rPr>
          <w:rFonts w:hint="eastAsia" w:ascii="宋体" w:hAnsi="宋体" w:cs="宋体"/>
          <w:kern w:val="0"/>
          <w:szCs w:val="21"/>
          <w:highlight w:val="none"/>
        </w:rPr>
        <w:t>。</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低价风险担保的金额：</w:t>
      </w:r>
      <w:r>
        <w:rPr>
          <w:rFonts w:hint="eastAsia" w:ascii="宋体" w:hAnsi="宋体" w:cs="宋体"/>
          <w:kern w:val="0"/>
          <w:szCs w:val="21"/>
          <w:highlight w:val="none"/>
          <w:u w:val="single"/>
        </w:rPr>
        <w:t xml:space="preserve">               </w:t>
      </w:r>
      <w:r>
        <w:rPr>
          <w:rFonts w:hint="eastAsia" w:ascii="宋体" w:hAnsi="宋体"/>
          <w:kern w:val="0"/>
          <w:szCs w:val="21"/>
          <w:highlight w:val="none"/>
        </w:rPr>
        <w:t>（最高限价×85%-中标价）×□1□2□3，且最高不超过最高限价的85%；红名单中的中标人低价风险担保金额为应提交金额的</w:t>
      </w:r>
      <w:r>
        <w:rPr>
          <w:rFonts w:hint="eastAsia" w:ascii="宋体" w:hAnsi="宋体"/>
          <w:kern w:val="0"/>
          <w:szCs w:val="21"/>
          <w:highlight w:val="none"/>
          <w:u w:val="single"/>
        </w:rPr>
        <w:t xml:space="preserve">      </w:t>
      </w:r>
      <w:r>
        <w:rPr>
          <w:rFonts w:hint="eastAsia" w:ascii="宋体" w:hAnsi="宋体"/>
          <w:kern w:val="0"/>
          <w:szCs w:val="21"/>
          <w:highlight w:val="none"/>
        </w:rPr>
        <w:t>（50%～80%）；联合体中标的，须联合体牵头人在红名单中。中标人是否属于红名单□方式一：以开标环节信用状况查询结果为准；□方式二：以低价风险担保书面通知书落款时间当日信用状况查询结果为准；□方式三：</w:t>
      </w:r>
      <w:r>
        <w:rPr>
          <w:rFonts w:hint="eastAsia" w:ascii="宋体" w:hAnsi="宋体"/>
          <w:kern w:val="0"/>
          <w:szCs w:val="21"/>
          <w:highlight w:val="none"/>
          <w:u w:val="single"/>
        </w:rPr>
        <w:t xml:space="preserve">           </w:t>
      </w:r>
      <w:r>
        <w:rPr>
          <w:rFonts w:hint="eastAsia" w:ascii="宋体" w:hAnsi="宋体"/>
          <w:kern w:val="0"/>
          <w:szCs w:val="21"/>
          <w:highlight w:val="none"/>
        </w:rPr>
        <w:t>。</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低价风险担保的提交时间：从发包人中标通知书送达拟中标人之日起</w:t>
      </w:r>
      <w:r>
        <w:rPr>
          <w:rFonts w:hint="eastAsia" w:ascii="宋体" w:hAnsi="宋体" w:cs="宋体"/>
          <w:kern w:val="0"/>
          <w:szCs w:val="21"/>
          <w:highlight w:val="none"/>
          <w:u w:val="single"/>
          <w:lang w:bidi="ar"/>
        </w:rPr>
        <w:t xml:space="preserve">    </w:t>
      </w:r>
      <w:r>
        <w:rPr>
          <w:rFonts w:hint="eastAsia" w:ascii="宋体" w:hAnsi="宋体" w:cs="宋体"/>
          <w:kern w:val="0"/>
          <w:szCs w:val="21"/>
          <w:highlight w:val="none"/>
          <w:lang w:bidi="ar"/>
        </w:rPr>
        <w:t>工作日内。</w:t>
      </w:r>
    </w:p>
    <w:p>
      <w:pPr>
        <w:widowControl/>
        <w:tabs>
          <w:tab w:val="left" w:pos="9460"/>
        </w:tabs>
        <w:spacing w:line="360" w:lineRule="auto"/>
        <w:ind w:right="8"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低价风险担保的期限：</w:t>
      </w:r>
      <w:r>
        <w:rPr>
          <w:rFonts w:hint="eastAsia" w:ascii="宋体" w:hAnsi="宋体" w:cs="Times New Roman"/>
          <w:kern w:val="0"/>
          <w:szCs w:val="21"/>
          <w:highlight w:val="none"/>
          <w:u w:val="single"/>
          <w:lang w:bidi="ar"/>
        </w:rPr>
        <w:t>自提交低价风险担保之日起</w:t>
      </w:r>
      <w:r>
        <w:rPr>
          <w:rFonts w:hint="eastAsia" w:ascii="宋体" w:hAnsi="宋体"/>
          <w:kern w:val="0"/>
          <w:szCs w:val="21"/>
          <w:highlight w:val="none"/>
          <w:u w:val="single"/>
        </w:rPr>
        <w:t>至发包人签收最后一批勘察成果文件</w:t>
      </w:r>
      <w:r>
        <w:rPr>
          <w:rFonts w:ascii="宋体" w:hAnsi="宋体"/>
          <w:kern w:val="0"/>
          <w:szCs w:val="21"/>
          <w:highlight w:val="none"/>
          <w:u w:val="single"/>
        </w:rPr>
        <w:t>之日起28日后失效</w:t>
      </w:r>
      <w:r>
        <w:rPr>
          <w:rFonts w:hint="eastAsia" w:ascii="宋体" w:hAnsi="宋体"/>
          <w:kern w:val="0"/>
          <w:szCs w:val="21"/>
          <w:highlight w:val="none"/>
          <w:u w:val="single"/>
        </w:rPr>
        <w:t>。</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低价风险担保的退还时间：</w:t>
      </w:r>
      <w:r>
        <w:rPr>
          <w:rFonts w:hint="eastAsia" w:ascii="宋体" w:hAnsi="宋体"/>
          <w:kern w:val="0"/>
          <w:szCs w:val="21"/>
          <w:highlight w:val="none"/>
          <w:u w:val="single"/>
        </w:rPr>
        <w:t>采用现金担保的，发包人签收最后一批勘察成果文件</w:t>
      </w:r>
      <w:r>
        <w:rPr>
          <w:rFonts w:ascii="宋体" w:hAnsi="宋体"/>
          <w:kern w:val="0"/>
          <w:szCs w:val="21"/>
          <w:highlight w:val="none"/>
          <w:u w:val="single"/>
        </w:rPr>
        <w:t>之日起28日</w:t>
      </w:r>
      <w:r>
        <w:rPr>
          <w:rFonts w:hint="eastAsia" w:ascii="宋体" w:hAnsi="宋体"/>
          <w:kern w:val="0"/>
          <w:szCs w:val="21"/>
          <w:highlight w:val="none"/>
          <w:u w:val="single"/>
        </w:rPr>
        <w:t>内退还</w:t>
      </w:r>
      <w:r>
        <w:rPr>
          <w:rFonts w:hint="eastAsia" w:ascii="宋体" w:hAnsi="宋体"/>
          <w:kern w:val="0"/>
          <w:szCs w:val="21"/>
          <w:highlight w:val="none"/>
          <w:u w:val="single"/>
          <w:lang w:eastAsia="zh-CN"/>
        </w:rPr>
        <w:t>，</w:t>
      </w:r>
      <w:r>
        <w:rPr>
          <w:rFonts w:hint="eastAsia" w:ascii="宋体" w:hAnsi="宋体" w:cs="宋体"/>
          <w:kern w:val="0"/>
          <w:szCs w:val="21"/>
          <w:highlight w:val="none"/>
          <w:u w:val="single"/>
          <w:lang w:bidi="ar"/>
        </w:rPr>
        <w:t>合同履行期间允许</w:t>
      </w:r>
      <w:r>
        <w:rPr>
          <w:rFonts w:hint="eastAsia" w:ascii="宋体" w:hAnsi="宋体" w:cs="宋体"/>
          <w:kern w:val="0"/>
          <w:szCs w:val="21"/>
          <w:highlight w:val="none"/>
          <w:u w:val="single"/>
          <w:lang w:val="en-US" w:eastAsia="zh-CN" w:bidi="ar"/>
        </w:rPr>
        <w:t>勘察</w:t>
      </w:r>
      <w:r>
        <w:rPr>
          <w:rFonts w:hint="eastAsia" w:ascii="宋体" w:hAnsi="宋体" w:cs="宋体"/>
          <w:kern w:val="0"/>
          <w:szCs w:val="21"/>
          <w:highlight w:val="none"/>
          <w:u w:val="single"/>
          <w:lang w:bidi="ar"/>
        </w:rPr>
        <w:t>人用符合要求的银行保函进行置换</w:t>
      </w:r>
      <w:r>
        <w:rPr>
          <w:rFonts w:hint="eastAsia" w:ascii="宋体" w:hAnsi="宋体"/>
          <w:kern w:val="0"/>
          <w:szCs w:val="21"/>
          <w:highlight w:val="none"/>
          <w:u w:val="single"/>
        </w:rPr>
        <w:t>；采用银行保函的，</w:t>
      </w:r>
      <w:r>
        <w:rPr>
          <w:rFonts w:ascii="宋体" w:hAnsi="宋体"/>
          <w:kern w:val="0"/>
          <w:szCs w:val="21"/>
          <w:highlight w:val="none"/>
          <w:u w:val="single"/>
        </w:rPr>
        <w:t>在</w:t>
      </w:r>
      <w:r>
        <w:rPr>
          <w:rFonts w:hint="eastAsia" w:ascii="宋体" w:hAnsi="宋体"/>
          <w:kern w:val="0"/>
          <w:szCs w:val="21"/>
          <w:highlight w:val="none"/>
          <w:u w:val="single"/>
        </w:rPr>
        <w:t>发包人签收最后一批勘察成果文件</w:t>
      </w:r>
      <w:r>
        <w:rPr>
          <w:rFonts w:ascii="宋体" w:hAnsi="宋体"/>
          <w:kern w:val="0"/>
          <w:szCs w:val="21"/>
          <w:highlight w:val="none"/>
          <w:u w:val="single"/>
        </w:rPr>
        <w:t>之日起28日后失效</w:t>
      </w:r>
      <w:r>
        <w:rPr>
          <w:rFonts w:hint="eastAsia" w:ascii="宋体" w:hAnsi="宋体"/>
          <w:kern w:val="0"/>
          <w:szCs w:val="21"/>
          <w:highlight w:val="none"/>
          <w:u w:val="single"/>
        </w:rPr>
        <w:t>。</w:t>
      </w:r>
      <w:r>
        <w:rPr>
          <w:rFonts w:hint="eastAsia" w:ascii="宋体" w:hAnsi="宋体" w:cs="宋体"/>
          <w:kern w:val="0"/>
          <w:szCs w:val="21"/>
          <w:highlight w:val="none"/>
          <w:lang w:bidi="ar"/>
        </w:rPr>
        <w:t>采用分段退还的，低价风险担保的退还时间及方式为：</w:t>
      </w:r>
      <w:r>
        <w:rPr>
          <w:rFonts w:hint="eastAsia" w:ascii="宋体" w:hAnsi="宋体" w:cs="宋体"/>
          <w:kern w:val="0"/>
          <w:szCs w:val="21"/>
          <w:highlight w:val="none"/>
          <w:u w:val="single"/>
          <w:lang w:bidi="ar"/>
        </w:rPr>
        <w:t xml:space="preserve">        </w:t>
      </w:r>
      <w:r>
        <w:rPr>
          <w:rFonts w:hint="eastAsia" w:ascii="宋体" w:hAnsi="宋体" w:cs="宋体"/>
          <w:kern w:val="0"/>
          <w:szCs w:val="21"/>
          <w:highlight w:val="none"/>
          <w:lang w:bidi="ar"/>
        </w:rPr>
        <w:t>。</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低价风险担保的扣减：</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①因勘察人原因导致设计工作停止或未在规定期限内交出勘察成果文件，给发包人造成直接经济损失且拒绝承担的，按低价风险担保金额的50～100%扣减，直至解除合同；</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②勘察成果文件不符合发包人要求，且拒绝整改或整改后仍不符合要求的，按低价风险担保金额的50～100%扣减，直至解除合同；</w:t>
      </w:r>
    </w:p>
    <w:p>
      <w:pPr>
        <w:widowControl/>
        <w:tabs>
          <w:tab w:val="left" w:pos="9072"/>
          <w:tab w:val="left" w:pos="9781"/>
        </w:tabs>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lang w:bidi="ar"/>
        </w:rPr>
        <w:t>③因勘察人原因被解除合同的，低价风险担保将全额扣除；</w:t>
      </w:r>
    </w:p>
    <w:p>
      <w:pPr>
        <w:widowControl/>
        <w:tabs>
          <w:tab w:val="left" w:pos="9072"/>
          <w:tab w:val="left" w:pos="9781"/>
        </w:tabs>
        <w:spacing w:line="360" w:lineRule="auto"/>
        <w:ind w:firstLine="420" w:firstLineChars="200"/>
        <w:jc w:val="left"/>
        <w:rPr>
          <w:highlight w:val="none"/>
        </w:rPr>
      </w:pPr>
      <w:r>
        <w:rPr>
          <w:rFonts w:hint="eastAsia" w:ascii="宋体" w:hAnsi="宋体" w:cs="宋体"/>
          <w:kern w:val="0"/>
          <w:szCs w:val="21"/>
          <w:highlight w:val="none"/>
          <w:lang w:bidi="ar"/>
        </w:rPr>
        <w:t>④因勘察人过错导致的其他情形：</w:t>
      </w:r>
      <w:r>
        <w:rPr>
          <w:rFonts w:hint="eastAsia" w:ascii="宋体" w:hAnsi="宋体" w:cs="宋体"/>
          <w:kern w:val="0"/>
          <w:szCs w:val="21"/>
          <w:highlight w:val="none"/>
          <w:u w:val="single"/>
          <w:lang w:bidi="ar"/>
        </w:rPr>
        <w:t xml:space="preserve">      </w:t>
      </w:r>
      <w:r>
        <w:rPr>
          <w:rFonts w:hint="eastAsia" w:ascii="宋体" w:hAnsi="宋体" w:cs="宋体"/>
          <w:kern w:val="0"/>
          <w:szCs w:val="21"/>
          <w:highlight w:val="none"/>
          <w:u w:val="single"/>
        </w:rPr>
        <w:t xml:space="preserve">               </w:t>
      </w:r>
    </w:p>
    <w:p>
      <w:pPr>
        <w:keepNext/>
        <w:keepLines/>
        <w:tabs>
          <w:tab w:val="left" w:pos="8931"/>
        </w:tabs>
        <w:spacing w:before="120" w:after="120" w:line="413" w:lineRule="auto"/>
        <w:ind w:firstLine="108"/>
        <w:outlineLvl w:val="2"/>
        <w:rPr>
          <w:rFonts w:ascii="宋体" w:hAnsi="宋体"/>
          <w:sz w:val="32"/>
          <w:szCs w:val="20"/>
          <w:highlight w:val="none"/>
        </w:rPr>
      </w:pPr>
      <w:bookmarkStart w:id="1825" w:name="_Toc536463100"/>
      <w:bookmarkStart w:id="1826" w:name="_Toc12245"/>
      <w:bookmarkStart w:id="1827" w:name="_Toc28449"/>
      <w:bookmarkStart w:id="1828" w:name="_Toc4479"/>
      <w:bookmarkStart w:id="1829" w:name="_Toc75857097"/>
      <w:bookmarkStart w:id="1830" w:name="_Toc30284"/>
      <w:bookmarkStart w:id="1831" w:name="_Toc16424"/>
      <w:r>
        <w:rPr>
          <w:rFonts w:ascii="宋体" w:hAnsi="宋体"/>
          <w:sz w:val="32"/>
          <w:szCs w:val="20"/>
          <w:highlight w:val="none"/>
        </w:rPr>
        <w:t>11.合同变更</w:t>
      </w:r>
      <w:bookmarkEnd w:id="1825"/>
      <w:bookmarkEnd w:id="1826"/>
      <w:bookmarkEnd w:id="1827"/>
      <w:bookmarkEnd w:id="1828"/>
      <w:bookmarkEnd w:id="1829"/>
      <w:bookmarkEnd w:id="1830"/>
      <w:bookmarkEnd w:id="1831"/>
    </w:p>
    <w:p>
      <w:pPr>
        <w:keepNext/>
        <w:keepLines/>
        <w:spacing w:before="120" w:after="120" w:line="360" w:lineRule="auto"/>
        <w:ind w:firstLine="420" w:firstLineChars="200"/>
        <w:outlineLvl w:val="4"/>
        <w:rPr>
          <w:rFonts w:ascii="宋体" w:hAnsi="宋体" w:cs="Arial"/>
          <w:b/>
          <w:bCs/>
          <w:kern w:val="0"/>
          <w:szCs w:val="21"/>
          <w:highlight w:val="none"/>
        </w:rPr>
      </w:pPr>
      <w:r>
        <w:rPr>
          <w:rFonts w:ascii="宋体" w:hAnsi="宋体"/>
          <w:bCs/>
          <w:szCs w:val="21"/>
          <w:highlight w:val="none"/>
        </w:rPr>
        <w:t>11.1 变更情形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ascii="宋体" w:hAnsi="宋体"/>
          <w:kern w:val="0"/>
          <w:szCs w:val="21"/>
          <w:highlight w:val="none"/>
        </w:rPr>
        <w:t>11.1.1勘察服务期和勘察费用的调整方法：</w:t>
      </w:r>
      <w:r>
        <w:rPr>
          <w:rFonts w:ascii="宋体" w:hAnsi="宋体"/>
          <w:kern w:val="0"/>
          <w:szCs w:val="21"/>
          <w:highlight w:val="none"/>
          <w:u w:val="single"/>
        </w:rPr>
        <w:t xml:space="preserve">                                                                            </w:t>
      </w:r>
    </w:p>
    <w:p>
      <w:pPr>
        <w:widowControl/>
        <w:spacing w:line="360" w:lineRule="auto"/>
        <w:jc w:val="left"/>
        <w:rPr>
          <w:rFonts w:ascii="宋体" w:hAnsi="宋体"/>
          <w:kern w:val="0"/>
          <w:szCs w:val="21"/>
          <w:highlight w:val="none"/>
        </w:rPr>
      </w:pPr>
      <w:r>
        <w:rPr>
          <w:rFonts w:ascii="宋体" w:hAnsi="宋体"/>
          <w:kern w:val="0"/>
          <w:szCs w:val="21"/>
          <w:highlight w:val="none"/>
          <w:u w:val="single"/>
        </w:rPr>
        <w:t xml:space="preserve">                                      </w:t>
      </w:r>
      <w:r>
        <w:rPr>
          <w:rFonts w:ascii="宋体" w:hAnsi="宋体"/>
          <w:kern w:val="0"/>
          <w:szCs w:val="21"/>
          <w:highlight w:val="none"/>
        </w:rPr>
        <w:t>。</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11.2 合理化建议</w:t>
      </w:r>
    </w:p>
    <w:p>
      <w:pPr>
        <w:widowControl/>
        <w:tabs>
          <w:tab w:val="left" w:pos="8647"/>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11.2.2 勘察人提出的合理化建议降低了工程投资、缩短了施工期限或者提高了工程经济效益的奖励的方法和金额为：</w:t>
      </w:r>
      <w:r>
        <w:rPr>
          <w:rFonts w:ascii="宋体" w:hAnsi="宋体"/>
          <w:kern w:val="0"/>
          <w:szCs w:val="21"/>
          <w:highlight w:val="none"/>
          <w:u w:val="single"/>
        </w:rPr>
        <w:tab/>
      </w:r>
      <w:r>
        <w:rPr>
          <w:rFonts w:ascii="宋体" w:hAnsi="宋体"/>
          <w:kern w:val="0"/>
          <w:szCs w:val="21"/>
          <w:highlight w:val="none"/>
        </w:rPr>
        <w:t xml:space="preserve">。 </w:t>
      </w:r>
    </w:p>
    <w:p>
      <w:pPr>
        <w:keepNext/>
        <w:keepLines/>
        <w:tabs>
          <w:tab w:val="left" w:pos="8931"/>
        </w:tabs>
        <w:spacing w:before="120" w:after="120" w:line="413" w:lineRule="auto"/>
        <w:ind w:firstLine="108"/>
        <w:outlineLvl w:val="2"/>
        <w:rPr>
          <w:rFonts w:ascii="宋体" w:hAnsi="宋体"/>
          <w:sz w:val="32"/>
          <w:szCs w:val="20"/>
          <w:highlight w:val="none"/>
        </w:rPr>
      </w:pPr>
      <w:bookmarkStart w:id="1832" w:name="_Toc20174"/>
      <w:bookmarkStart w:id="1833" w:name="_Toc536463101"/>
      <w:bookmarkStart w:id="1834" w:name="_Toc75857098"/>
      <w:bookmarkStart w:id="1835" w:name="_Toc27048"/>
      <w:bookmarkStart w:id="1836" w:name="_Toc1463"/>
      <w:bookmarkStart w:id="1837" w:name="_Toc20341"/>
      <w:bookmarkStart w:id="1838" w:name="_Toc2728"/>
      <w:r>
        <w:rPr>
          <w:rFonts w:ascii="宋体" w:hAnsi="宋体"/>
          <w:sz w:val="32"/>
          <w:szCs w:val="20"/>
          <w:highlight w:val="none"/>
        </w:rPr>
        <w:t>12.合同价格与支付</w:t>
      </w:r>
      <w:bookmarkEnd w:id="1832"/>
      <w:bookmarkEnd w:id="1833"/>
      <w:bookmarkEnd w:id="1834"/>
      <w:bookmarkEnd w:id="1835"/>
      <w:bookmarkEnd w:id="1836"/>
      <w:bookmarkEnd w:id="1837"/>
      <w:bookmarkEnd w:id="1838"/>
    </w:p>
    <w:p>
      <w:pPr>
        <w:keepNext/>
        <w:keepLines/>
        <w:spacing w:before="120" w:after="120" w:line="360" w:lineRule="auto"/>
        <w:ind w:firstLine="420" w:firstLineChars="200"/>
        <w:outlineLvl w:val="4"/>
        <w:rPr>
          <w:rFonts w:ascii="宋体" w:hAnsi="宋体" w:cs="Arial"/>
          <w:b/>
          <w:bCs/>
          <w:kern w:val="0"/>
          <w:szCs w:val="21"/>
          <w:highlight w:val="none"/>
        </w:rPr>
      </w:pPr>
      <w:r>
        <w:rPr>
          <w:rFonts w:ascii="宋体" w:hAnsi="宋体"/>
          <w:bCs/>
          <w:szCs w:val="21"/>
          <w:highlight w:val="none"/>
        </w:rPr>
        <w:t>12.1 合同价格</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ascii="宋体" w:hAnsi="宋体"/>
          <w:kern w:val="0"/>
          <w:szCs w:val="21"/>
          <w:highlight w:val="none"/>
        </w:rPr>
        <w:t>12.1.1合同价格：</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ascii="宋体" w:hAnsi="宋体"/>
          <w:kern w:val="0"/>
          <w:szCs w:val="21"/>
          <w:highlight w:val="none"/>
        </w:rPr>
        <w:t>12.1.1</w:t>
      </w:r>
      <w:r>
        <w:rPr>
          <w:rFonts w:hint="eastAsia" w:ascii="宋体" w:hAnsi="宋体"/>
          <w:kern w:val="0"/>
          <w:szCs w:val="21"/>
          <w:highlight w:val="none"/>
        </w:rPr>
        <w:t>.1勘察费</w:t>
      </w:r>
      <w:r>
        <w:rPr>
          <w:rFonts w:ascii="宋体" w:hAnsi="宋体"/>
          <w:kern w:val="0"/>
          <w:szCs w:val="21"/>
          <w:highlight w:val="none"/>
        </w:rPr>
        <w:t>按以下第</w:t>
      </w:r>
      <w:r>
        <w:rPr>
          <w:rFonts w:ascii="宋体" w:hAnsi="宋体"/>
          <w:kern w:val="0"/>
          <w:szCs w:val="21"/>
          <w:highlight w:val="none"/>
          <w:u w:val="single"/>
        </w:rPr>
        <w:t xml:space="preserve">    </w:t>
      </w:r>
      <w:r>
        <w:rPr>
          <w:rFonts w:ascii="宋体" w:hAnsi="宋体"/>
          <w:kern w:val="0"/>
          <w:szCs w:val="21"/>
          <w:highlight w:val="none"/>
        </w:rPr>
        <w:t>种方式结算。</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方式</w:t>
      </w:r>
      <w:r>
        <w:rPr>
          <w:rFonts w:hint="eastAsia" w:ascii="宋体" w:hAnsi="宋体"/>
          <w:kern w:val="0"/>
          <w:szCs w:val="21"/>
          <w:highlight w:val="none"/>
        </w:rPr>
        <w:t>一</w:t>
      </w:r>
      <w:r>
        <w:rPr>
          <w:rFonts w:ascii="宋体" w:hAnsi="宋体"/>
          <w:kern w:val="0"/>
          <w:szCs w:val="21"/>
          <w:highlight w:val="none"/>
        </w:rPr>
        <w:t>：</w:t>
      </w:r>
      <w:r>
        <w:rPr>
          <w:rFonts w:ascii="宋体" w:hAnsi="宋体"/>
          <w:kern w:val="0"/>
          <w:szCs w:val="21"/>
          <w:u w:val="single"/>
        </w:rPr>
        <w:t>按</w:t>
      </w:r>
      <w:r>
        <w:rPr>
          <w:rFonts w:hint="eastAsia" w:ascii="宋体" w:hAnsi="Calibri" w:cs="宋体"/>
          <w:kern w:val="0"/>
          <w:szCs w:val="21"/>
          <w:u w:val="single"/>
        </w:rPr>
        <w:t>固定费率</w:t>
      </w:r>
      <w:r>
        <w:rPr>
          <w:rFonts w:ascii="宋体" w:hAnsi="宋体"/>
          <w:kern w:val="0"/>
          <w:szCs w:val="21"/>
          <w:u w:val="single"/>
        </w:rPr>
        <w:t>结算。双方商定，</w:t>
      </w:r>
      <w:r>
        <w:rPr>
          <w:rFonts w:hint="eastAsia" w:ascii="宋体" w:hAnsi="宋体"/>
          <w:kern w:val="0"/>
          <w:szCs w:val="21"/>
          <w:u w:val="single"/>
        </w:rPr>
        <w:t>勘察固定</w:t>
      </w:r>
      <w:r>
        <w:rPr>
          <w:rFonts w:hint="eastAsia" w:ascii="宋体" w:hAnsi="Calibri" w:cs="宋体"/>
          <w:kern w:val="0"/>
          <w:szCs w:val="21"/>
          <w:u w:val="single"/>
        </w:rPr>
        <w:t>费率</w:t>
      </w:r>
      <w:r>
        <w:rPr>
          <w:rFonts w:ascii="宋体" w:hAnsi="宋体"/>
          <w:kern w:val="0"/>
          <w:szCs w:val="21"/>
          <w:u w:val="single"/>
        </w:rPr>
        <w:t xml:space="preserve">按    </w:t>
      </w:r>
      <w:r>
        <w:rPr>
          <w:rFonts w:hint="eastAsia" w:ascii="宋体" w:hAnsi="宋体"/>
          <w:kern w:val="0"/>
          <w:szCs w:val="21"/>
          <w:u w:val="single"/>
        </w:rPr>
        <w:t xml:space="preserve">  %</w:t>
      </w:r>
      <w:r>
        <w:rPr>
          <w:rFonts w:ascii="宋体" w:hAnsi="宋体"/>
          <w:kern w:val="0"/>
          <w:szCs w:val="21"/>
          <w:u w:val="single"/>
        </w:rPr>
        <w:t>包干使用。</w:t>
      </w:r>
      <w:r>
        <w:rPr>
          <w:u w:val="single"/>
        </w:rPr>
        <w:t>最终结算价=</w:t>
      </w:r>
      <w:r>
        <w:rPr>
          <w:rFonts w:hint="eastAsia"/>
          <w:u w:val="single"/>
          <w:lang w:val="en-US" w:eastAsia="zh-CN"/>
        </w:rPr>
        <w:t>结算</w:t>
      </w:r>
      <w:r>
        <w:rPr>
          <w:rFonts w:hint="eastAsia"/>
          <w:u w:val="single"/>
        </w:rPr>
        <w:t>勘察费计费</w:t>
      </w:r>
      <w:r>
        <w:rPr>
          <w:rFonts w:hint="eastAsia"/>
          <w:u w:val="single"/>
          <w:lang w:val="en-US" w:eastAsia="zh-CN"/>
        </w:rPr>
        <w:t>基数</w:t>
      </w:r>
      <w:r>
        <w:rPr>
          <w:u w:val="single"/>
        </w:rPr>
        <w:t>×</w:t>
      </w:r>
      <w:r>
        <w:rPr>
          <w:rFonts w:hint="eastAsia"/>
          <w:u w:val="single"/>
          <w:lang w:val="en-US" w:eastAsia="zh-CN"/>
        </w:rPr>
        <w:t>中标</w:t>
      </w:r>
      <w:r>
        <w:rPr>
          <w:rFonts w:hint="eastAsia"/>
          <w:u w:val="single"/>
        </w:rPr>
        <w:t>固定</w:t>
      </w:r>
      <w:r>
        <w:rPr>
          <w:u w:val="single"/>
        </w:rPr>
        <w:t>费率</w:t>
      </w:r>
      <w:r>
        <w:rPr>
          <w:rFonts w:hint="eastAsia"/>
          <w:u w:val="single"/>
        </w:rPr>
        <w:t>+□BIM技术费用+□专项勘察费用</w:t>
      </w:r>
      <w:r>
        <w:rPr>
          <w:u w:val="single"/>
        </w:rPr>
        <w:t>±合同约定的其他费用。</w:t>
      </w:r>
      <w:r>
        <w:rPr>
          <w:rFonts w:hint="eastAsia"/>
          <w:u w:val="single"/>
          <w:lang w:val="en-US" w:eastAsia="zh-CN"/>
        </w:rPr>
        <w:t>结算</w:t>
      </w:r>
      <w:r>
        <w:rPr>
          <w:rFonts w:hint="eastAsia"/>
          <w:u w:val="single"/>
        </w:rPr>
        <w:t>勘察</w:t>
      </w:r>
      <w:r>
        <w:rPr>
          <w:u w:val="single"/>
        </w:rPr>
        <w:t>费计费</w:t>
      </w:r>
      <w:r>
        <w:rPr>
          <w:rFonts w:hint="eastAsia"/>
          <w:u w:val="single"/>
          <w:lang w:val="en-US" w:eastAsia="zh-CN"/>
        </w:rPr>
        <w:t>基数</w:t>
      </w:r>
      <w:r>
        <w:rPr>
          <w:rFonts w:hint="eastAsia"/>
          <w:u w:val="single"/>
        </w:rPr>
        <w:t>为：□</w:t>
      </w:r>
      <w:r>
        <w:rPr>
          <w:u w:val="single"/>
        </w:rPr>
        <w:t>经审核的</w:t>
      </w:r>
      <w:r>
        <w:rPr>
          <w:rFonts w:hint="eastAsia"/>
          <w:u w:val="single"/>
        </w:rPr>
        <w:t>工程量</w:t>
      </w:r>
      <w:r>
        <w:rPr>
          <w:u w:val="single"/>
        </w:rPr>
        <w:t>清单</w:t>
      </w:r>
      <w:r>
        <w:rPr>
          <w:rFonts w:hint="eastAsia"/>
          <w:u w:val="single"/>
        </w:rPr>
        <w:t>招标</w:t>
      </w:r>
      <w:r>
        <w:rPr>
          <w:u w:val="single"/>
        </w:rPr>
        <w:t>控制价（扣除预留金）</w:t>
      </w:r>
      <w:r>
        <w:rPr>
          <w:rFonts w:hint="eastAsia"/>
          <w:u w:val="single"/>
        </w:rPr>
        <w:t>；□</w:t>
      </w:r>
      <w:r>
        <w:rPr>
          <w:u w:val="single"/>
        </w:rPr>
        <w:t>初步设计批复概算中的建筑安装工程费</w:t>
      </w:r>
      <w:r>
        <w:rPr>
          <w:rFonts w:hint="eastAsia"/>
          <w:u w:val="single"/>
        </w:rPr>
        <w:t>；□工程竣工结算</w:t>
      </w:r>
      <w:r>
        <w:rPr>
          <w:u w:val="single"/>
        </w:rPr>
        <w:t>建筑安装工程费</w:t>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方式二：</w:t>
      </w:r>
      <w:r>
        <w:rPr>
          <w:rFonts w:ascii="宋体" w:hAnsi="宋体"/>
          <w:kern w:val="0"/>
          <w:szCs w:val="21"/>
          <w:u w:val="single"/>
        </w:rPr>
        <w:t>按固定单价结算。双方商定，</w:t>
      </w:r>
      <w:r>
        <w:rPr>
          <w:rFonts w:hint="eastAsia" w:ascii="宋体" w:hAnsi="宋体"/>
          <w:kern w:val="0"/>
          <w:szCs w:val="21"/>
          <w:u w:val="single"/>
        </w:rPr>
        <w:t>勘察固定</w:t>
      </w:r>
      <w:r>
        <w:rPr>
          <w:rFonts w:ascii="宋体" w:hAnsi="宋体"/>
          <w:kern w:val="0"/>
          <w:szCs w:val="21"/>
          <w:u w:val="single"/>
        </w:rPr>
        <w:t xml:space="preserve">单价按    </w:t>
      </w:r>
      <w:r>
        <w:rPr>
          <w:rFonts w:hint="eastAsia" w:ascii="宋体" w:hAnsi="宋体"/>
          <w:kern w:val="0"/>
          <w:szCs w:val="21"/>
          <w:u w:val="single"/>
        </w:rPr>
        <w:t xml:space="preserve">  </w:t>
      </w:r>
      <w:r>
        <w:rPr>
          <w:rFonts w:ascii="宋体" w:hAnsi="宋体"/>
          <w:kern w:val="0"/>
          <w:szCs w:val="21"/>
          <w:u w:val="single"/>
        </w:rPr>
        <w:t>包干使用。</w:t>
      </w:r>
      <w:r>
        <w:rPr>
          <w:rFonts w:hint="eastAsia" w:ascii="宋体" w:hAnsi="宋体"/>
          <w:kern w:val="0"/>
          <w:szCs w:val="21"/>
          <w:u w:val="single"/>
        </w:rPr>
        <w:t>本项目勘察工作采用固定单价计价，实际支付应按实际完成并经发包人确认的工作量和计价清单的单价计算支付金额；</w:t>
      </w:r>
      <w:r>
        <w:rPr>
          <w:rFonts w:ascii="宋体" w:hAnsi="宋体"/>
          <w:kern w:val="0"/>
          <w:szCs w:val="21"/>
          <w:u w:val="single"/>
        </w:rPr>
        <w:t>最终</w:t>
      </w:r>
      <w:r>
        <w:rPr>
          <w:rFonts w:hint="eastAsia" w:ascii="宋体" w:hAnsi="宋体"/>
          <w:kern w:val="0"/>
          <w:szCs w:val="21"/>
          <w:u w:val="single"/>
        </w:rPr>
        <w:t>勘察</w:t>
      </w:r>
      <w:r>
        <w:rPr>
          <w:rFonts w:ascii="宋体" w:hAnsi="宋体"/>
          <w:kern w:val="0"/>
          <w:szCs w:val="21"/>
          <w:u w:val="single"/>
        </w:rPr>
        <w:t>结算价=∑验收合格的</w:t>
      </w:r>
      <w:r>
        <w:rPr>
          <w:rFonts w:hint="eastAsia" w:ascii="宋体" w:hAnsi="宋体"/>
          <w:kern w:val="0"/>
          <w:szCs w:val="21"/>
          <w:u w:val="single"/>
        </w:rPr>
        <w:t>勘察</w:t>
      </w:r>
      <w:r>
        <w:rPr>
          <w:rFonts w:ascii="宋体" w:hAnsi="宋体"/>
          <w:kern w:val="0"/>
          <w:szCs w:val="21"/>
          <w:u w:val="single"/>
        </w:rPr>
        <w:t>工</w:t>
      </w:r>
      <w:r>
        <w:rPr>
          <w:rFonts w:hint="eastAsia" w:ascii="宋体" w:hAnsi="宋体"/>
          <w:kern w:val="0"/>
          <w:szCs w:val="21"/>
          <w:u w:val="single"/>
          <w:lang w:val="en-US" w:eastAsia="zh-CN"/>
        </w:rPr>
        <w:t>程</w:t>
      </w:r>
      <w:r>
        <w:rPr>
          <w:rFonts w:ascii="宋体" w:hAnsi="宋体"/>
          <w:kern w:val="0"/>
          <w:szCs w:val="21"/>
          <w:u w:val="single"/>
        </w:rPr>
        <w:t>量×</w:t>
      </w:r>
      <w:r>
        <w:rPr>
          <w:rFonts w:hint="eastAsia" w:ascii="宋体" w:hAnsi="宋体"/>
          <w:kern w:val="0"/>
          <w:szCs w:val="21"/>
          <w:u w:val="single"/>
          <w:lang w:val="en-US" w:eastAsia="zh-CN"/>
        </w:rPr>
        <w:t>中标</w:t>
      </w:r>
      <w:r>
        <w:rPr>
          <w:rFonts w:hint="eastAsia" w:ascii="宋体" w:hAnsi="宋体"/>
          <w:kern w:val="0"/>
          <w:szCs w:val="21"/>
          <w:u w:val="single"/>
        </w:rPr>
        <w:t>固定</w:t>
      </w:r>
      <w:r>
        <w:rPr>
          <w:rFonts w:ascii="宋体" w:hAnsi="宋体"/>
          <w:kern w:val="0"/>
          <w:szCs w:val="21"/>
          <w:u w:val="single"/>
        </w:rPr>
        <w:t>单价</w:t>
      </w:r>
      <w:r>
        <w:rPr>
          <w:rFonts w:hint="eastAsia"/>
          <w:u w:val="single"/>
        </w:rPr>
        <w:t>+□BIM技术费用+□专项勘察费用</w:t>
      </w:r>
      <w:r>
        <w:rPr>
          <w:rFonts w:ascii="宋体" w:hAnsi="宋体"/>
          <w:kern w:val="0"/>
          <w:szCs w:val="21"/>
          <w:u w:val="single"/>
        </w:rPr>
        <w:t>±合同约定的其他费用</w:t>
      </w:r>
      <w:r>
        <w:rPr>
          <w:rFonts w:ascii="宋体" w:hAnsi="宋体"/>
          <w:kern w:val="0"/>
          <w:szCs w:val="21"/>
          <w:highlight w:val="none"/>
          <w:u w:val="single"/>
        </w:rPr>
        <w:t>。</w:t>
      </w:r>
    </w:p>
    <w:p>
      <w:pPr>
        <w:widowControl/>
        <w:tabs>
          <w:tab w:val="left" w:pos="9072"/>
          <w:tab w:val="left" w:pos="9781"/>
        </w:tabs>
        <w:spacing w:line="360" w:lineRule="auto"/>
        <w:ind w:firstLine="420" w:firstLineChars="200"/>
        <w:jc w:val="left"/>
        <w:rPr>
          <w:highlight w:val="none"/>
        </w:rPr>
      </w:pPr>
      <w:r>
        <w:rPr>
          <w:rFonts w:hint="eastAsia" w:ascii="宋体" w:hAnsi="宋体"/>
          <w:kern w:val="0"/>
          <w:szCs w:val="21"/>
          <w:highlight w:val="none"/>
        </w:rPr>
        <w:t>方式三：</w:t>
      </w:r>
      <w:r>
        <w:rPr>
          <w:rFonts w:ascii="宋体" w:hAnsi="宋体"/>
          <w:kern w:val="0"/>
          <w:szCs w:val="21"/>
          <w:u w:val="single"/>
        </w:rPr>
        <w:t>按固定总价结算。双方商定，</w:t>
      </w:r>
      <w:r>
        <w:rPr>
          <w:rFonts w:hint="eastAsia" w:ascii="宋体" w:hAnsi="宋体"/>
          <w:kern w:val="0"/>
          <w:szCs w:val="21"/>
          <w:u w:val="single"/>
        </w:rPr>
        <w:t>勘察</w:t>
      </w:r>
      <w:r>
        <w:rPr>
          <w:rFonts w:ascii="宋体" w:hAnsi="宋体"/>
          <w:kern w:val="0"/>
          <w:szCs w:val="21"/>
          <w:u w:val="single"/>
        </w:rPr>
        <w:t>费按     元（大写：人民币      元）包干使用。最终</w:t>
      </w:r>
      <w:r>
        <w:rPr>
          <w:rFonts w:hint="eastAsia" w:ascii="宋体" w:hAnsi="宋体"/>
          <w:kern w:val="0"/>
          <w:szCs w:val="21"/>
          <w:u w:val="single"/>
        </w:rPr>
        <w:t>勘察</w:t>
      </w:r>
      <w:r>
        <w:rPr>
          <w:rFonts w:ascii="宋体" w:hAnsi="宋体"/>
          <w:kern w:val="0"/>
          <w:szCs w:val="21"/>
          <w:u w:val="single"/>
        </w:rPr>
        <w:t>结算价=</w:t>
      </w:r>
      <w:r>
        <w:rPr>
          <w:rFonts w:hint="eastAsia" w:ascii="宋体" w:hAnsi="宋体"/>
          <w:kern w:val="0"/>
          <w:szCs w:val="21"/>
        </w:rPr>
        <w:t>中标固定总价</w:t>
      </w:r>
      <w:r>
        <w:rPr>
          <w:rFonts w:ascii="宋体" w:hAnsi="宋体"/>
          <w:kern w:val="0"/>
          <w:szCs w:val="21"/>
          <w:u w:val="single"/>
        </w:rPr>
        <w:t>±合同约定的其他</w:t>
      </w:r>
      <w:r>
        <w:rPr>
          <w:rFonts w:hint="eastAsia" w:ascii="宋体" w:hAnsi="宋体"/>
          <w:kern w:val="0"/>
          <w:szCs w:val="21"/>
          <w:u w:val="single"/>
        </w:rPr>
        <w:t>勘察</w:t>
      </w:r>
      <w:r>
        <w:rPr>
          <w:rFonts w:ascii="宋体" w:hAnsi="宋体"/>
          <w:kern w:val="0"/>
          <w:szCs w:val="21"/>
          <w:u w:val="single"/>
        </w:rPr>
        <w:t>费用。除此之外，发包人不再支付其他费用</w:t>
      </w:r>
      <w:r>
        <w:rPr>
          <w:highlight w:val="none"/>
          <w:u w:val="single"/>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12.1.</w:t>
      </w:r>
      <w:r>
        <w:rPr>
          <w:rFonts w:hint="eastAsia" w:ascii="宋体" w:hAnsi="宋体"/>
          <w:kern w:val="0"/>
          <w:szCs w:val="21"/>
          <w:highlight w:val="none"/>
        </w:rPr>
        <w:t>1.2</w:t>
      </w:r>
      <w:r>
        <w:rPr>
          <w:rFonts w:ascii="宋体" w:hAnsi="宋体"/>
          <w:kern w:val="0"/>
          <w:szCs w:val="21"/>
          <w:highlight w:val="none"/>
        </w:rPr>
        <w:t xml:space="preserve"> 本合同</w:t>
      </w:r>
      <w:r>
        <w:rPr>
          <w:rFonts w:hint="eastAsia" w:ascii="宋体" w:hAnsi="宋体"/>
          <w:kern w:val="0"/>
          <w:szCs w:val="21"/>
          <w:highlight w:val="none"/>
        </w:rPr>
        <w:t>勘察</w:t>
      </w:r>
      <w:r>
        <w:rPr>
          <w:rFonts w:ascii="宋体" w:hAnsi="宋体"/>
          <w:kern w:val="0"/>
          <w:szCs w:val="21"/>
          <w:highlight w:val="none"/>
        </w:rPr>
        <w:t>费按以下阶段支付：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cs="宋体"/>
          <w:kern w:val="0"/>
          <w:szCs w:val="21"/>
          <w:highlight w:val="none"/>
        </w:rPr>
      </w:pPr>
      <w:r>
        <w:rPr>
          <w:rFonts w:ascii="宋体" w:hAnsi="宋体"/>
          <w:kern w:val="0"/>
          <w:szCs w:val="21"/>
          <w:highlight w:val="none"/>
        </w:rPr>
        <w:t>本项结算及支付的签约合同</w:t>
      </w:r>
      <w:r>
        <w:rPr>
          <w:rFonts w:hint="eastAsia" w:ascii="宋体" w:hAnsi="宋体"/>
          <w:kern w:val="0"/>
          <w:szCs w:val="21"/>
          <w:highlight w:val="none"/>
        </w:rPr>
        <w:t>价</w:t>
      </w:r>
      <w:r>
        <w:rPr>
          <w:rFonts w:ascii="宋体" w:hAnsi="宋体"/>
          <w:kern w:val="0"/>
          <w:szCs w:val="21"/>
          <w:highlight w:val="none"/>
        </w:rPr>
        <w:t>应扣除暂</w:t>
      </w:r>
      <w:r>
        <w:rPr>
          <w:rFonts w:hint="eastAsia" w:ascii="宋体" w:hAnsi="宋体"/>
          <w:kern w:val="0"/>
          <w:szCs w:val="21"/>
          <w:highlight w:val="none"/>
        </w:rPr>
        <w:t>列</w:t>
      </w:r>
      <w:r>
        <w:rPr>
          <w:rFonts w:ascii="宋体" w:hAnsi="宋体"/>
          <w:kern w:val="0"/>
          <w:szCs w:val="21"/>
          <w:highlight w:val="none"/>
        </w:rPr>
        <w:t>金额。</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hint="eastAsia" w:ascii="宋体" w:hAnsi="宋体"/>
          <w:kern w:val="0"/>
          <w:szCs w:val="21"/>
          <w:highlight w:val="none"/>
          <w:u w:val="single"/>
        </w:rPr>
        <w:t>（</w:t>
      </w:r>
      <w:r>
        <w:rPr>
          <w:rFonts w:ascii="宋体" w:hAnsi="宋体"/>
          <w:kern w:val="0"/>
          <w:szCs w:val="21"/>
          <w:highlight w:val="none"/>
          <w:u w:val="single"/>
        </w:rPr>
        <w:t>1</w:t>
      </w:r>
      <w:r>
        <w:rPr>
          <w:rFonts w:hint="eastAsia" w:ascii="宋体" w:hAnsi="宋体"/>
          <w:kern w:val="0"/>
          <w:szCs w:val="21"/>
          <w:highlight w:val="none"/>
          <w:u w:val="single"/>
        </w:rPr>
        <w:t xml:space="preserve">）勘测大纲评审通过后 </w:t>
      </w:r>
      <w:r>
        <w:rPr>
          <w:rFonts w:ascii="宋体" w:hAnsi="宋体"/>
          <w:kern w:val="0"/>
          <w:szCs w:val="21"/>
          <w:highlight w:val="none"/>
          <w:u w:val="single"/>
        </w:rPr>
        <w:t>28</w:t>
      </w:r>
      <w:r>
        <w:rPr>
          <w:rFonts w:hint="eastAsia" w:ascii="宋体" w:hAnsi="宋体"/>
          <w:kern w:val="0"/>
          <w:szCs w:val="21"/>
          <w:highlight w:val="none"/>
          <w:u w:val="single"/>
        </w:rPr>
        <w:t xml:space="preserve"> 天内，招标人支付签约合同价的 </w:t>
      </w:r>
      <w:r>
        <w:rPr>
          <w:rFonts w:ascii="宋体" w:hAnsi="宋体"/>
          <w:kern w:val="0"/>
          <w:szCs w:val="21"/>
          <w:highlight w:val="none"/>
          <w:u w:val="single"/>
        </w:rPr>
        <w:t>10%</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hint="eastAsia" w:ascii="宋体" w:hAnsi="宋体"/>
          <w:kern w:val="0"/>
          <w:szCs w:val="21"/>
          <w:highlight w:val="none"/>
          <w:u w:val="single"/>
        </w:rPr>
        <w:t>（</w:t>
      </w:r>
      <w:r>
        <w:rPr>
          <w:rFonts w:ascii="宋体" w:hAnsi="宋体"/>
          <w:kern w:val="0"/>
          <w:szCs w:val="21"/>
          <w:highlight w:val="none"/>
          <w:u w:val="single"/>
        </w:rPr>
        <w:t>2</w:t>
      </w:r>
      <w:r>
        <w:rPr>
          <w:rFonts w:hint="eastAsia" w:ascii="宋体" w:hAnsi="宋体"/>
          <w:kern w:val="0"/>
          <w:szCs w:val="21"/>
          <w:highlight w:val="none"/>
          <w:u w:val="single"/>
        </w:rPr>
        <w:t xml:space="preserve">）初勘报告审查合格后 </w:t>
      </w:r>
      <w:r>
        <w:rPr>
          <w:rFonts w:ascii="宋体" w:hAnsi="宋体"/>
          <w:kern w:val="0"/>
          <w:szCs w:val="21"/>
          <w:highlight w:val="none"/>
          <w:u w:val="single"/>
        </w:rPr>
        <w:t>28</w:t>
      </w:r>
      <w:r>
        <w:rPr>
          <w:rFonts w:hint="eastAsia" w:ascii="宋体" w:hAnsi="宋体"/>
          <w:kern w:val="0"/>
          <w:szCs w:val="21"/>
          <w:highlight w:val="none"/>
          <w:u w:val="single"/>
        </w:rPr>
        <w:t xml:space="preserve"> 天内，招标人支付签约合同价的 </w:t>
      </w:r>
      <w:r>
        <w:rPr>
          <w:rFonts w:ascii="宋体" w:hAnsi="宋体"/>
          <w:kern w:val="0"/>
          <w:szCs w:val="21"/>
          <w:highlight w:val="none"/>
          <w:u w:val="single"/>
        </w:rPr>
        <w:t>30%</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hint="eastAsia" w:ascii="宋体" w:hAnsi="宋体"/>
          <w:kern w:val="0"/>
          <w:szCs w:val="21"/>
          <w:highlight w:val="none"/>
          <w:u w:val="single"/>
        </w:rPr>
        <w:t>（</w:t>
      </w:r>
      <w:r>
        <w:rPr>
          <w:rFonts w:ascii="宋体" w:hAnsi="宋体"/>
          <w:kern w:val="0"/>
          <w:szCs w:val="21"/>
          <w:highlight w:val="none"/>
          <w:u w:val="single"/>
        </w:rPr>
        <w:t>3</w:t>
      </w:r>
      <w:r>
        <w:rPr>
          <w:rFonts w:hint="eastAsia" w:ascii="宋体" w:hAnsi="宋体"/>
          <w:kern w:val="0"/>
          <w:szCs w:val="21"/>
          <w:highlight w:val="none"/>
          <w:u w:val="single"/>
        </w:rPr>
        <w:t xml:space="preserve">）详勘报告审查合格并办理中间结算后 </w:t>
      </w:r>
      <w:r>
        <w:rPr>
          <w:rFonts w:ascii="宋体" w:hAnsi="宋体"/>
          <w:kern w:val="0"/>
          <w:szCs w:val="21"/>
          <w:highlight w:val="none"/>
          <w:u w:val="single"/>
        </w:rPr>
        <w:t>28</w:t>
      </w:r>
      <w:r>
        <w:rPr>
          <w:rFonts w:hint="eastAsia" w:ascii="宋体" w:hAnsi="宋体"/>
          <w:kern w:val="0"/>
          <w:szCs w:val="21"/>
          <w:highlight w:val="none"/>
          <w:u w:val="single"/>
        </w:rPr>
        <w:t xml:space="preserve"> 天内，招标人支付至中间结算价的 </w:t>
      </w:r>
      <w:r>
        <w:rPr>
          <w:rFonts w:ascii="宋体" w:hAnsi="宋体"/>
          <w:kern w:val="0"/>
          <w:szCs w:val="21"/>
          <w:highlight w:val="none"/>
          <w:u w:val="single"/>
        </w:rPr>
        <w:t>85%</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hint="eastAsia" w:ascii="宋体" w:hAnsi="宋体"/>
          <w:kern w:val="0"/>
          <w:szCs w:val="21"/>
          <w:highlight w:val="none"/>
          <w:u w:val="single"/>
        </w:rPr>
        <w:t>（</w:t>
      </w:r>
      <w:r>
        <w:rPr>
          <w:rFonts w:ascii="宋体" w:hAnsi="宋体"/>
          <w:kern w:val="0"/>
          <w:szCs w:val="21"/>
          <w:highlight w:val="none"/>
          <w:u w:val="single"/>
        </w:rPr>
        <w:t>4</w:t>
      </w:r>
      <w:r>
        <w:rPr>
          <w:rFonts w:hint="eastAsia" w:ascii="宋体" w:hAnsi="宋体"/>
          <w:kern w:val="0"/>
          <w:szCs w:val="21"/>
          <w:highlight w:val="none"/>
          <w:u w:val="single"/>
        </w:rPr>
        <w:t xml:space="preserve">）基础（路基或地基）工程施工完成并且招标人办理勘测中间结算后 </w:t>
      </w:r>
      <w:r>
        <w:rPr>
          <w:rFonts w:ascii="宋体" w:hAnsi="宋体"/>
          <w:kern w:val="0"/>
          <w:szCs w:val="21"/>
          <w:highlight w:val="none"/>
          <w:u w:val="single"/>
        </w:rPr>
        <w:t>28</w:t>
      </w:r>
      <w:r>
        <w:rPr>
          <w:rFonts w:hint="eastAsia" w:ascii="宋体" w:hAnsi="宋体"/>
          <w:kern w:val="0"/>
          <w:szCs w:val="21"/>
          <w:highlight w:val="none"/>
          <w:u w:val="single"/>
        </w:rPr>
        <w:t xml:space="preserve"> 天内，支付至中间结算价的 </w:t>
      </w:r>
      <w:r>
        <w:rPr>
          <w:rFonts w:ascii="宋体" w:hAnsi="宋体"/>
          <w:kern w:val="0"/>
          <w:szCs w:val="21"/>
          <w:highlight w:val="none"/>
          <w:u w:val="single"/>
        </w:rPr>
        <w:t>97%</w:t>
      </w:r>
      <w:r>
        <w:rPr>
          <w:rFonts w:hint="eastAsia" w:ascii="宋体" w:hAnsi="宋体"/>
          <w:kern w:val="0"/>
          <w:szCs w:val="21"/>
          <w:highlight w:val="none"/>
          <w:u w:val="single"/>
        </w:rPr>
        <w:t xml:space="preserve"> ；</w:t>
      </w:r>
      <w:r>
        <w:rPr>
          <w:rFonts w:ascii="宋体" w:hAnsi="宋体"/>
          <w:kern w:val="0"/>
          <w:szCs w:val="21"/>
          <w:highlight w:val="none"/>
          <w:u w:val="single"/>
        </w:rPr>
        <w:t xml:space="preserve">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hint="eastAsia" w:ascii="宋体" w:hAnsi="宋体"/>
          <w:kern w:val="0"/>
          <w:szCs w:val="21"/>
          <w:highlight w:val="none"/>
          <w:u w:val="single"/>
        </w:rPr>
        <w:t>（</w:t>
      </w:r>
      <w:r>
        <w:rPr>
          <w:rFonts w:ascii="宋体" w:hAnsi="宋体"/>
          <w:kern w:val="0"/>
          <w:szCs w:val="21"/>
          <w:highlight w:val="none"/>
          <w:u w:val="single"/>
        </w:rPr>
        <w:t>5</w:t>
      </w:r>
      <w:r>
        <w:rPr>
          <w:rFonts w:hint="eastAsia" w:ascii="宋体" w:hAnsi="宋体"/>
          <w:kern w:val="0"/>
          <w:szCs w:val="21"/>
          <w:highlight w:val="none"/>
          <w:u w:val="single"/>
        </w:rPr>
        <w:t>）</w:t>
      </w:r>
      <w:r>
        <w:rPr>
          <w:rFonts w:ascii="宋体" w:hAnsi="宋体"/>
          <w:color w:val="auto"/>
          <w:kern w:val="0"/>
          <w:szCs w:val="21"/>
          <w:highlight w:val="none"/>
        </w:rPr>
        <w:t>工程竣工验收合格后</w:t>
      </w:r>
      <w:r>
        <w:rPr>
          <w:rFonts w:ascii="宋体" w:hAnsi="宋体"/>
          <w:color w:val="auto"/>
          <w:kern w:val="0"/>
          <w:szCs w:val="21"/>
          <w:highlight w:val="none"/>
          <w:u w:val="single"/>
        </w:rPr>
        <w:t xml:space="preserve">  </w:t>
      </w:r>
      <w:r>
        <w:rPr>
          <w:rFonts w:ascii="宋体" w:hAnsi="宋体"/>
          <w:color w:val="auto"/>
          <w:kern w:val="0"/>
          <w:szCs w:val="21"/>
          <w:highlight w:val="none"/>
        </w:rPr>
        <w:t>天内</w:t>
      </w:r>
      <w:r>
        <w:rPr>
          <w:rFonts w:hint="eastAsia" w:ascii="宋体" w:hAnsi="宋体"/>
          <w:kern w:val="0"/>
          <w:szCs w:val="21"/>
          <w:highlight w:val="none"/>
          <w:u w:val="single"/>
          <w:lang w:eastAsia="zh-CN"/>
        </w:rPr>
        <w:t>，</w:t>
      </w:r>
      <w:r>
        <w:rPr>
          <w:rFonts w:hint="eastAsia" w:ascii="宋体" w:hAnsi="宋体"/>
          <w:kern w:val="0"/>
          <w:szCs w:val="21"/>
          <w:highlight w:val="none"/>
          <w:u w:val="single"/>
        </w:rPr>
        <w:t>向勘察人支付审定的勘察人承包范围对应金额的全部尾款。</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hint="eastAsia" w:ascii="宋体" w:hAnsi="宋体"/>
          <w:kern w:val="0"/>
          <w:szCs w:val="21"/>
          <w:highlight w:val="none"/>
          <w:u w:val="single"/>
        </w:rPr>
        <w:t>若合同因不可抗力导致项目终止，在每个阶段按照外业见证单位出具的终止当日见证报告按实结算，但不能超过每阶段支付比例上限。</w:t>
      </w:r>
      <w:r>
        <w:rPr>
          <w:rFonts w:ascii="宋体" w:hAnsi="宋体"/>
          <w:kern w:val="0"/>
          <w:szCs w:val="21"/>
          <w:highlight w:val="none"/>
          <w:u w:val="single"/>
        </w:rPr>
        <w:t xml:space="preserve">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u w:val="single"/>
        </w:rPr>
      </w:pPr>
      <w:r>
        <w:rPr>
          <w:rFonts w:ascii="宋体" w:hAnsi="宋体"/>
          <w:kern w:val="0"/>
          <w:szCs w:val="21"/>
          <w:highlight w:val="none"/>
          <w:u w:val="single"/>
        </w:rPr>
        <w:t>本工程若因非</w:t>
      </w:r>
      <w:r>
        <w:rPr>
          <w:rFonts w:hint="eastAsia" w:ascii="宋体" w:hAnsi="宋体"/>
          <w:kern w:val="0"/>
          <w:szCs w:val="21"/>
          <w:highlight w:val="none"/>
          <w:u w:val="single"/>
        </w:rPr>
        <w:t>勘察</w:t>
      </w:r>
      <w:r>
        <w:rPr>
          <w:rFonts w:ascii="宋体" w:hAnsi="宋体"/>
          <w:kern w:val="0"/>
          <w:szCs w:val="21"/>
          <w:highlight w:val="none"/>
          <w:u w:val="single"/>
        </w:rPr>
        <w:t>人原因导致需分期分部取得批复或完成</w:t>
      </w:r>
      <w:r>
        <w:rPr>
          <w:rFonts w:hint="eastAsia" w:ascii="宋体" w:hAnsi="宋体"/>
          <w:kern w:val="0"/>
          <w:szCs w:val="21"/>
          <w:highlight w:val="none"/>
          <w:u w:val="single"/>
        </w:rPr>
        <w:t>勘察</w:t>
      </w:r>
      <w:r>
        <w:rPr>
          <w:rFonts w:ascii="宋体" w:hAnsi="宋体"/>
          <w:kern w:val="0"/>
          <w:szCs w:val="21"/>
          <w:highlight w:val="none"/>
          <w:u w:val="single"/>
        </w:rPr>
        <w:t>工作的，发包人按上述支付原则支付</w:t>
      </w:r>
      <w:r>
        <w:rPr>
          <w:rFonts w:hint="eastAsia" w:ascii="宋体" w:hAnsi="宋体"/>
          <w:kern w:val="0"/>
          <w:szCs w:val="21"/>
          <w:highlight w:val="none"/>
          <w:u w:val="single"/>
        </w:rPr>
        <w:t>勘察</w:t>
      </w:r>
      <w:r>
        <w:rPr>
          <w:rFonts w:ascii="宋体" w:hAnsi="宋体"/>
          <w:kern w:val="0"/>
          <w:szCs w:val="21"/>
          <w:highlight w:val="none"/>
          <w:u w:val="single"/>
        </w:rPr>
        <w:t>人对应完成部分的</w:t>
      </w:r>
      <w:r>
        <w:rPr>
          <w:rFonts w:hint="eastAsia" w:ascii="宋体" w:hAnsi="宋体"/>
          <w:kern w:val="0"/>
          <w:szCs w:val="21"/>
          <w:highlight w:val="none"/>
          <w:u w:val="single"/>
        </w:rPr>
        <w:t>勘察</w:t>
      </w:r>
      <w:r>
        <w:rPr>
          <w:rFonts w:ascii="宋体" w:hAnsi="宋体"/>
          <w:kern w:val="0"/>
          <w:szCs w:val="21"/>
          <w:highlight w:val="none"/>
          <w:u w:val="single"/>
        </w:rPr>
        <w:t>费。</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12.1.</w:t>
      </w:r>
      <w:r>
        <w:rPr>
          <w:rFonts w:hint="eastAsia" w:ascii="宋体" w:hAnsi="宋体"/>
          <w:kern w:val="0"/>
          <w:szCs w:val="21"/>
          <w:highlight w:val="none"/>
        </w:rPr>
        <w:t>3</w:t>
      </w:r>
      <w:r>
        <w:rPr>
          <w:rFonts w:ascii="宋体" w:hAnsi="宋体"/>
          <w:kern w:val="0"/>
          <w:szCs w:val="21"/>
          <w:highlight w:val="none"/>
        </w:rPr>
        <w:t>本项目合同勘察费包含：</w:t>
      </w:r>
      <w:r>
        <w:rPr>
          <w:rFonts w:ascii="宋体" w:hAnsi="宋体"/>
          <w:kern w:val="0"/>
          <w:szCs w:val="21"/>
          <w:highlight w:val="none"/>
          <w:u w:val="single"/>
        </w:rPr>
        <w:tab/>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12.1.</w:t>
      </w:r>
      <w:r>
        <w:rPr>
          <w:rFonts w:hint="eastAsia" w:ascii="宋体" w:hAnsi="宋体"/>
          <w:kern w:val="0"/>
          <w:szCs w:val="21"/>
          <w:highlight w:val="none"/>
        </w:rPr>
        <w:t>4</w:t>
      </w:r>
      <w:r>
        <w:rPr>
          <w:rFonts w:ascii="宋体" w:hAnsi="宋体"/>
          <w:kern w:val="0"/>
          <w:szCs w:val="21"/>
          <w:highlight w:val="none"/>
        </w:rPr>
        <w:t>发包人要求</w:t>
      </w:r>
      <w:r>
        <w:rPr>
          <w:rFonts w:hint="eastAsia" w:ascii="宋体" w:hAnsi="宋体"/>
          <w:kern w:val="0"/>
          <w:szCs w:val="21"/>
          <w:highlight w:val="none"/>
        </w:rPr>
        <w:t>勘察</w:t>
      </w:r>
      <w:r>
        <w:rPr>
          <w:rFonts w:ascii="宋体" w:hAnsi="宋体"/>
          <w:kern w:val="0"/>
          <w:szCs w:val="21"/>
          <w:highlight w:val="none"/>
        </w:rPr>
        <w:t>人进行外出考察、试验检测、专项咨询或专家评审的相应费用</w:t>
      </w:r>
      <w:r>
        <w:rPr>
          <w:rFonts w:ascii="宋体" w:hAnsi="宋体"/>
          <w:kern w:val="0"/>
          <w:szCs w:val="21"/>
          <w:highlight w:val="none"/>
          <w:u w:val="single"/>
        </w:rPr>
        <w:t xml:space="preserve">  （是/否） </w:t>
      </w:r>
      <w:r>
        <w:rPr>
          <w:rFonts w:ascii="宋体" w:hAnsi="宋体"/>
          <w:kern w:val="0"/>
          <w:szCs w:val="21"/>
          <w:highlight w:val="none"/>
        </w:rPr>
        <w:t>包含在本项目合同</w:t>
      </w:r>
      <w:r>
        <w:rPr>
          <w:rFonts w:hint="eastAsia" w:ascii="宋体" w:hAnsi="宋体"/>
          <w:kern w:val="0"/>
          <w:szCs w:val="21"/>
          <w:highlight w:val="none"/>
        </w:rPr>
        <w:t>勘察</w:t>
      </w:r>
      <w:r>
        <w:rPr>
          <w:rFonts w:ascii="宋体" w:hAnsi="宋体"/>
          <w:kern w:val="0"/>
          <w:szCs w:val="21"/>
          <w:highlight w:val="none"/>
        </w:rPr>
        <w:t>费中。</w:t>
      </w:r>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12.</w:t>
      </w:r>
      <w:r>
        <w:rPr>
          <w:rFonts w:hint="eastAsia" w:ascii="宋体" w:hAnsi="宋体"/>
          <w:bCs/>
          <w:szCs w:val="21"/>
          <w:highlight w:val="none"/>
        </w:rPr>
        <w:t>4费用结算</w:t>
      </w:r>
    </w:p>
    <w:p>
      <w:pPr>
        <w:keepNext w:val="0"/>
        <w:keepLines w:val="0"/>
        <w:widowControl/>
        <w:tabs>
          <w:tab w:val="left" w:pos="9072"/>
          <w:tab w:val="left" w:pos="9781"/>
        </w:tabs>
        <w:adjustRightInd w:val="0"/>
        <w:snapToGrid w:val="0"/>
        <w:spacing w:before="0" w:after="0" w:line="360" w:lineRule="auto"/>
        <w:ind w:right="120" w:rightChars="57" w:firstLine="487" w:firstLineChars="232"/>
        <w:jc w:val="left"/>
        <w:outlineLvl w:val="9"/>
        <w:rPr>
          <w:rFonts w:ascii="宋体" w:hAnsi="宋体"/>
          <w:kern w:val="0"/>
          <w:szCs w:val="21"/>
          <w:highlight w:val="none"/>
        </w:rPr>
      </w:pPr>
      <w:r>
        <w:rPr>
          <w:rFonts w:hint="eastAsia" w:ascii="宋体" w:hAnsi="宋体"/>
          <w:kern w:val="0"/>
          <w:szCs w:val="21"/>
          <w:highlight w:val="none"/>
        </w:rPr>
        <w:t>12.4.2</w:t>
      </w:r>
      <w:r>
        <w:rPr>
          <w:rFonts w:ascii="宋体" w:hAnsi="宋体"/>
          <w:kern w:val="0"/>
          <w:szCs w:val="21"/>
          <w:highlight w:val="none"/>
        </w:rPr>
        <w:t>双方约定按以下方式支付：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发包人以</w:t>
      </w:r>
      <w:r>
        <w:rPr>
          <w:rFonts w:ascii="宋体" w:hAnsi="宋体"/>
          <w:kern w:val="0"/>
          <w:szCs w:val="21"/>
          <w:highlight w:val="none"/>
          <w:u w:val="single"/>
        </w:rPr>
        <w:t>（</w:t>
      </w:r>
      <w:r>
        <w:rPr>
          <w:rFonts w:hint="eastAsia" w:ascii="宋体" w:hAnsi="宋体"/>
          <w:kern w:val="0"/>
          <w:szCs w:val="21"/>
          <w:highlight w:val="none"/>
          <w:u w:val="single"/>
        </w:rPr>
        <w:t>承兑汇票/转账支票</w:t>
      </w:r>
      <w:r>
        <w:rPr>
          <w:rFonts w:ascii="宋体" w:hAnsi="宋体"/>
          <w:kern w:val="0"/>
          <w:szCs w:val="21"/>
          <w:highlight w:val="none"/>
          <w:u w:val="single"/>
        </w:rPr>
        <w:t>）</w:t>
      </w:r>
      <w:r>
        <w:rPr>
          <w:rFonts w:ascii="宋体" w:hAnsi="宋体"/>
          <w:kern w:val="0"/>
          <w:szCs w:val="21"/>
          <w:highlight w:val="none"/>
        </w:rPr>
        <w:t>支付给</w:t>
      </w:r>
      <w:r>
        <w:rPr>
          <w:rFonts w:hint="eastAsia" w:ascii="宋体" w:hAnsi="宋体"/>
          <w:kern w:val="0"/>
          <w:szCs w:val="21"/>
          <w:highlight w:val="none"/>
        </w:rPr>
        <w:t>勘察</w:t>
      </w:r>
      <w:r>
        <w:rPr>
          <w:rFonts w:ascii="宋体" w:hAnsi="宋体"/>
          <w:kern w:val="0"/>
          <w:szCs w:val="21"/>
          <w:highlight w:val="none"/>
        </w:rPr>
        <w:t>人，</w:t>
      </w:r>
      <w:r>
        <w:rPr>
          <w:rFonts w:hint="eastAsia" w:ascii="宋体" w:hAnsi="宋体"/>
          <w:kern w:val="0"/>
          <w:szCs w:val="21"/>
          <w:highlight w:val="none"/>
        </w:rPr>
        <w:t>勘察</w:t>
      </w:r>
      <w:r>
        <w:rPr>
          <w:rFonts w:ascii="宋体" w:hAnsi="宋体"/>
          <w:kern w:val="0"/>
          <w:szCs w:val="21"/>
          <w:highlight w:val="none"/>
        </w:rPr>
        <w:t>人应当于每次支付前向发包人提交增值税专用发票。否则，发包人有权延期付款，并不承担逾期付款的违约责任。同时，</w:t>
      </w:r>
      <w:r>
        <w:rPr>
          <w:rFonts w:hint="eastAsia" w:ascii="宋体" w:hAnsi="宋体"/>
          <w:kern w:val="0"/>
          <w:szCs w:val="21"/>
          <w:highlight w:val="none"/>
        </w:rPr>
        <w:t>勘察</w:t>
      </w:r>
      <w:r>
        <w:rPr>
          <w:rFonts w:ascii="宋体" w:hAnsi="宋体"/>
          <w:kern w:val="0"/>
          <w:szCs w:val="21"/>
          <w:highlight w:val="none"/>
        </w:rPr>
        <w:t>人不得以此为理由拒绝履行合同义务。</w:t>
      </w:r>
    </w:p>
    <w:p>
      <w:pPr>
        <w:keepNext/>
        <w:keepLines/>
        <w:spacing w:before="120" w:after="120" w:line="360" w:lineRule="auto"/>
        <w:ind w:firstLine="420" w:firstLineChars="200"/>
        <w:outlineLvl w:val="4"/>
        <w:rPr>
          <w:rFonts w:ascii="宋体" w:hAnsi="宋体"/>
          <w:bCs/>
          <w:szCs w:val="21"/>
          <w:highlight w:val="none"/>
        </w:rPr>
      </w:pPr>
      <w:r>
        <w:rPr>
          <w:rFonts w:hint="eastAsia" w:ascii="宋体" w:hAnsi="宋体"/>
          <w:bCs/>
          <w:szCs w:val="21"/>
          <w:highlight w:val="none"/>
        </w:rPr>
        <w:t>12.5 暂列金额</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hint="eastAsia" w:ascii="宋体" w:hAnsi="宋体"/>
          <w:kern w:val="0"/>
          <w:szCs w:val="21"/>
          <w:highlight w:val="none"/>
        </w:rPr>
        <w:t>12.5.1 本合同的暂列金额为</w:t>
      </w:r>
      <w:r>
        <w:rPr>
          <w:rFonts w:hint="eastAsia" w:ascii="宋体" w:hAnsi="宋体"/>
          <w:kern w:val="0"/>
          <w:szCs w:val="21"/>
          <w:highlight w:val="none"/>
          <w:u w:val="single"/>
        </w:rPr>
        <w:t xml:space="preserve">        </w:t>
      </w:r>
      <w:r>
        <w:rPr>
          <w:rFonts w:hint="eastAsia" w:ascii="宋体" w:hAnsi="宋体"/>
          <w:kern w:val="0"/>
          <w:szCs w:val="21"/>
          <w:highlight w:val="none"/>
        </w:rPr>
        <w:t>。</w:t>
      </w:r>
    </w:p>
    <w:p>
      <w:pPr>
        <w:keepNext/>
        <w:keepLines/>
        <w:tabs>
          <w:tab w:val="left" w:pos="8931"/>
        </w:tabs>
        <w:spacing w:before="120" w:after="120" w:line="413" w:lineRule="auto"/>
        <w:ind w:firstLine="108"/>
        <w:outlineLvl w:val="2"/>
        <w:rPr>
          <w:rFonts w:ascii="宋体" w:hAnsi="宋体"/>
          <w:sz w:val="32"/>
          <w:szCs w:val="20"/>
          <w:highlight w:val="none"/>
        </w:rPr>
      </w:pPr>
      <w:bookmarkStart w:id="1839" w:name="_Toc536463102"/>
      <w:bookmarkStart w:id="1840" w:name="_Toc18102"/>
      <w:bookmarkStart w:id="1841" w:name="_Toc5898"/>
      <w:bookmarkStart w:id="1842" w:name="_Toc75857099"/>
      <w:bookmarkStart w:id="1843" w:name="_Toc532384190"/>
      <w:bookmarkStart w:id="1844" w:name="_Toc2"/>
      <w:bookmarkStart w:id="1845" w:name="_Toc23195"/>
      <w:bookmarkStart w:id="1846" w:name="_Toc11295"/>
      <w:r>
        <w:rPr>
          <w:rFonts w:ascii="宋体" w:hAnsi="宋体"/>
          <w:sz w:val="32"/>
          <w:szCs w:val="20"/>
          <w:highlight w:val="none"/>
        </w:rPr>
        <w:t>13.不可抗力</w:t>
      </w:r>
      <w:bookmarkEnd w:id="1839"/>
      <w:bookmarkEnd w:id="1840"/>
      <w:bookmarkEnd w:id="1841"/>
      <w:bookmarkEnd w:id="1842"/>
      <w:bookmarkEnd w:id="1843"/>
      <w:bookmarkEnd w:id="1844"/>
      <w:bookmarkEnd w:id="1845"/>
      <w:bookmarkEnd w:id="1846"/>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13.1不可抗力的确认</w:t>
      </w:r>
    </w:p>
    <w:p>
      <w:pPr>
        <w:widowControl/>
        <w:tabs>
          <w:tab w:val="left" w:pos="8475"/>
          <w:tab w:val="left" w:pos="9781"/>
        </w:tabs>
        <w:adjustRightInd w:val="0"/>
        <w:snapToGrid w:val="0"/>
        <w:spacing w:line="360" w:lineRule="auto"/>
        <w:ind w:right="120" w:rightChars="57" w:firstLine="426" w:firstLineChars="203"/>
        <w:jc w:val="left"/>
        <w:rPr>
          <w:rFonts w:ascii="宋体" w:hAnsi="宋体"/>
          <w:kern w:val="0"/>
          <w:szCs w:val="21"/>
          <w:highlight w:val="none"/>
        </w:rPr>
      </w:pPr>
      <w:r>
        <w:rPr>
          <w:rFonts w:ascii="宋体" w:hAnsi="宋体"/>
          <w:kern w:val="0"/>
          <w:szCs w:val="21"/>
          <w:highlight w:val="none"/>
        </w:rPr>
        <w:t>除通用合同条款约定的不可抗力事件之外，视为不可抗力的其他情形：</w:t>
      </w:r>
      <w:r>
        <w:rPr>
          <w:rFonts w:ascii="宋体" w:hAnsi="宋体"/>
          <w:kern w:val="0"/>
          <w:szCs w:val="21"/>
          <w:highlight w:val="none"/>
          <w:u w:val="single"/>
        </w:rPr>
        <w:tab/>
      </w:r>
      <w:r>
        <w:rPr>
          <w:rFonts w:ascii="宋体" w:hAnsi="宋体"/>
          <w:kern w:val="0"/>
          <w:szCs w:val="21"/>
          <w:highlight w:val="none"/>
        </w:rPr>
        <w:t>。</w:t>
      </w:r>
    </w:p>
    <w:p>
      <w:pPr>
        <w:keepNext/>
        <w:keepLines/>
        <w:tabs>
          <w:tab w:val="left" w:pos="8931"/>
        </w:tabs>
        <w:spacing w:before="120" w:after="120" w:line="413" w:lineRule="auto"/>
        <w:ind w:firstLine="108"/>
        <w:outlineLvl w:val="2"/>
        <w:rPr>
          <w:rFonts w:ascii="宋体" w:hAnsi="宋体"/>
          <w:sz w:val="32"/>
          <w:szCs w:val="20"/>
          <w:highlight w:val="none"/>
        </w:rPr>
      </w:pPr>
      <w:bookmarkStart w:id="1847" w:name="_Toc75857100"/>
      <w:bookmarkStart w:id="1848" w:name="_Toc1242"/>
      <w:bookmarkStart w:id="1849" w:name="_Toc11984"/>
      <w:bookmarkStart w:id="1850" w:name="_Toc2994"/>
      <w:bookmarkStart w:id="1851" w:name="_Toc536463103"/>
      <w:bookmarkStart w:id="1852" w:name="_Toc15701"/>
      <w:bookmarkStart w:id="1853" w:name="_Toc4139"/>
      <w:r>
        <w:rPr>
          <w:rFonts w:ascii="宋体" w:hAnsi="宋体"/>
          <w:sz w:val="32"/>
          <w:szCs w:val="20"/>
          <w:highlight w:val="none"/>
        </w:rPr>
        <w:t>14.违约</w:t>
      </w:r>
      <w:bookmarkEnd w:id="1847"/>
      <w:bookmarkEnd w:id="1848"/>
      <w:bookmarkEnd w:id="1849"/>
      <w:bookmarkEnd w:id="1850"/>
      <w:bookmarkEnd w:id="1851"/>
      <w:bookmarkEnd w:id="1852"/>
      <w:bookmarkEnd w:id="1853"/>
    </w:p>
    <w:p>
      <w:pPr>
        <w:keepNext/>
        <w:keepLines/>
        <w:spacing w:before="120" w:after="120" w:line="360" w:lineRule="auto"/>
        <w:ind w:firstLine="420" w:firstLineChars="200"/>
        <w:outlineLvl w:val="4"/>
        <w:rPr>
          <w:rFonts w:ascii="宋体" w:hAnsi="宋体"/>
          <w:bCs/>
          <w:szCs w:val="21"/>
          <w:highlight w:val="none"/>
        </w:rPr>
      </w:pPr>
      <w:r>
        <w:rPr>
          <w:rFonts w:ascii="宋体" w:hAnsi="宋体"/>
          <w:bCs/>
          <w:szCs w:val="21"/>
          <w:highlight w:val="none"/>
        </w:rPr>
        <w:t xml:space="preserve">14.1 </w:t>
      </w:r>
      <w:r>
        <w:rPr>
          <w:rFonts w:hint="eastAsia" w:ascii="宋体" w:hAnsi="宋体"/>
          <w:kern w:val="0"/>
          <w:szCs w:val="21"/>
          <w:highlight w:val="none"/>
        </w:rPr>
        <w:t>勘察</w:t>
      </w:r>
      <w:r>
        <w:rPr>
          <w:rFonts w:ascii="宋体" w:hAnsi="宋体"/>
          <w:bCs/>
          <w:szCs w:val="21"/>
          <w:highlight w:val="none"/>
        </w:rPr>
        <w:t>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14.1.</w:t>
      </w:r>
      <w:r>
        <w:rPr>
          <w:rFonts w:hint="eastAsia" w:ascii="宋体" w:hAnsi="宋体"/>
          <w:kern w:val="0"/>
          <w:szCs w:val="21"/>
          <w:highlight w:val="none"/>
        </w:rPr>
        <w:t>2</w:t>
      </w:r>
      <w:r>
        <w:rPr>
          <w:rFonts w:ascii="宋体" w:hAnsi="宋体"/>
          <w:kern w:val="0"/>
          <w:szCs w:val="21"/>
          <w:highlight w:val="none"/>
        </w:rPr>
        <w:t xml:space="preserve"> </w:t>
      </w:r>
      <w:r>
        <w:rPr>
          <w:rFonts w:hint="eastAsia" w:ascii="宋体" w:hAnsi="宋体"/>
          <w:kern w:val="0"/>
          <w:szCs w:val="21"/>
          <w:highlight w:val="none"/>
        </w:rPr>
        <w:t>勘察</w:t>
      </w:r>
      <w:r>
        <w:rPr>
          <w:rFonts w:ascii="宋体" w:hAnsi="宋体"/>
          <w:kern w:val="0"/>
          <w:szCs w:val="21"/>
          <w:highlight w:val="none"/>
        </w:rPr>
        <w:t>人未按合同条款要求，发生违约情况时</w:t>
      </w:r>
      <w:r>
        <w:rPr>
          <w:rFonts w:hint="eastAsia" w:ascii="宋体" w:hAnsi="宋体"/>
          <w:kern w:val="0"/>
          <w:szCs w:val="21"/>
          <w:highlight w:val="none"/>
        </w:rPr>
        <w:t>，</w:t>
      </w:r>
      <w:r>
        <w:rPr>
          <w:rFonts w:ascii="宋体" w:hAnsi="宋体"/>
          <w:kern w:val="0"/>
          <w:szCs w:val="21"/>
          <w:highlight w:val="none"/>
        </w:rPr>
        <w:t>将根据以下约定进行相应的处罚：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14.1.</w:t>
      </w:r>
      <w:r>
        <w:rPr>
          <w:rFonts w:hint="eastAsia" w:ascii="宋体" w:hAnsi="宋体"/>
          <w:kern w:val="0"/>
          <w:szCs w:val="21"/>
          <w:highlight w:val="none"/>
        </w:rPr>
        <w:t>2</w:t>
      </w:r>
      <w:r>
        <w:rPr>
          <w:rFonts w:ascii="宋体" w:hAnsi="宋体"/>
          <w:kern w:val="0"/>
          <w:szCs w:val="21"/>
          <w:highlight w:val="none"/>
        </w:rPr>
        <w:t>.1项目主要</w:t>
      </w:r>
      <w:r>
        <w:rPr>
          <w:rFonts w:hint="eastAsia" w:ascii="宋体" w:hAnsi="宋体"/>
          <w:kern w:val="0"/>
          <w:szCs w:val="21"/>
          <w:highlight w:val="none"/>
        </w:rPr>
        <w:t>勘察</w:t>
      </w:r>
      <w:r>
        <w:rPr>
          <w:rFonts w:ascii="宋体" w:hAnsi="宋体"/>
          <w:kern w:val="0"/>
          <w:szCs w:val="21"/>
          <w:highlight w:val="none"/>
        </w:rPr>
        <w:t>人员配备，违反合同文件及相关约定</w:t>
      </w:r>
    </w:p>
    <w:p>
      <w:pPr>
        <w:widowControl/>
        <w:numPr>
          <w:ilvl w:val="255"/>
          <w:numId w:val="0"/>
        </w:numPr>
        <w:tabs>
          <w:tab w:val="left" w:pos="9072"/>
          <w:tab w:val="left" w:pos="9781"/>
        </w:tabs>
        <w:adjustRightInd w:val="0"/>
        <w:snapToGrid w:val="0"/>
        <w:spacing w:line="360" w:lineRule="auto"/>
        <w:ind w:right="120" w:rightChars="57" w:firstLine="420" w:firstLineChars="200"/>
        <w:jc w:val="left"/>
        <w:rPr>
          <w:rFonts w:hint="eastAsia" w:ascii="宋体" w:hAnsi="宋体"/>
          <w:kern w:val="0"/>
          <w:szCs w:val="21"/>
          <w:highlight w:val="none"/>
        </w:rPr>
      </w:pPr>
      <w:r>
        <w:rPr>
          <w:rFonts w:hint="eastAsia" w:ascii="宋体" w:hAnsi="宋体"/>
          <w:kern w:val="0"/>
          <w:szCs w:val="21"/>
          <w:highlight w:val="none"/>
        </w:rPr>
        <w:t>（1）经发包人同意，更换主要勘察人员的，按照以下方式承担违约责任：</w:t>
      </w:r>
    </w:p>
    <w:p>
      <w:pPr>
        <w:widowControl/>
        <w:numPr>
          <w:ilvl w:val="255"/>
          <w:numId w:val="0"/>
        </w:numPr>
        <w:tabs>
          <w:tab w:val="left" w:pos="9072"/>
          <w:tab w:val="left" w:pos="9781"/>
        </w:tabs>
        <w:adjustRightInd w:val="0"/>
        <w:snapToGrid w:val="0"/>
        <w:spacing w:line="360" w:lineRule="auto"/>
        <w:ind w:right="120" w:rightChars="57" w:firstLine="420" w:firstLineChars="200"/>
        <w:jc w:val="left"/>
        <w:rPr>
          <w:rFonts w:hint="eastAsia" w:ascii="宋体" w:hAnsi="宋体"/>
          <w:kern w:val="0"/>
          <w:szCs w:val="21"/>
          <w:highlight w:val="none"/>
        </w:rPr>
      </w:pPr>
      <w:r>
        <w:rPr>
          <w:rFonts w:hint="eastAsia" w:ascii="宋体" w:hAnsi="宋体"/>
          <w:kern w:val="0"/>
          <w:szCs w:val="21"/>
          <w:highlight w:val="none"/>
        </w:rPr>
        <w:t>①更换项目负责人的，勘察人每更换一次向发包人支付违约金</w:t>
      </w:r>
      <w:r>
        <w:rPr>
          <w:rFonts w:hint="eastAsia" w:ascii="宋体" w:hAnsi="宋体"/>
          <w:kern w:val="0"/>
          <w:szCs w:val="21"/>
          <w:highlight w:val="none"/>
          <w:u w:val="single"/>
        </w:rPr>
        <w:t xml:space="preserve">        </w:t>
      </w:r>
      <w:r>
        <w:rPr>
          <w:rFonts w:hint="eastAsia" w:ascii="宋体" w:hAnsi="宋体"/>
          <w:kern w:val="0"/>
          <w:szCs w:val="21"/>
          <w:highlight w:val="none"/>
        </w:rPr>
        <w:t>元(不超过签约合同价的0.5%)；</w:t>
      </w:r>
    </w:p>
    <w:p>
      <w:pPr>
        <w:widowControl/>
        <w:numPr>
          <w:ilvl w:val="255"/>
          <w:numId w:val="0"/>
        </w:numPr>
        <w:tabs>
          <w:tab w:val="left" w:pos="9072"/>
          <w:tab w:val="left" w:pos="9781"/>
        </w:tabs>
        <w:adjustRightInd w:val="0"/>
        <w:snapToGrid w:val="0"/>
        <w:spacing w:line="360" w:lineRule="auto"/>
        <w:ind w:right="120" w:rightChars="57" w:firstLine="420" w:firstLineChars="200"/>
        <w:jc w:val="left"/>
        <w:rPr>
          <w:rFonts w:hint="eastAsia" w:ascii="宋体" w:hAnsi="宋体"/>
          <w:kern w:val="0"/>
          <w:szCs w:val="21"/>
          <w:highlight w:val="none"/>
        </w:rPr>
      </w:pPr>
      <w:r>
        <w:rPr>
          <w:rFonts w:hint="eastAsia" w:ascii="宋体" w:hAnsi="宋体"/>
          <w:kern w:val="0"/>
          <w:szCs w:val="21"/>
          <w:highlight w:val="none"/>
        </w:rPr>
        <w:t>②更换除项目负责人外的其他主要勘察人员的，每更换一人，勘察人向发包人支付违约金</w:t>
      </w:r>
      <w:r>
        <w:rPr>
          <w:rFonts w:hint="eastAsia" w:ascii="宋体" w:hAnsi="宋体"/>
          <w:kern w:val="0"/>
          <w:szCs w:val="21"/>
          <w:highlight w:val="none"/>
          <w:u w:val="single"/>
        </w:rPr>
        <w:t xml:space="preserve">   </w:t>
      </w:r>
      <w:r>
        <w:rPr>
          <w:rFonts w:hint="eastAsia" w:ascii="宋体" w:hAnsi="宋体"/>
          <w:kern w:val="0"/>
          <w:szCs w:val="21"/>
          <w:highlight w:val="none"/>
        </w:rPr>
        <w:t>元(不超过签约合同价的0.3%)。</w:t>
      </w:r>
    </w:p>
    <w:p>
      <w:pPr>
        <w:widowControl/>
        <w:numPr>
          <w:ilvl w:val="255"/>
          <w:numId w:val="0"/>
        </w:numPr>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w:t>
      </w:r>
      <w:r>
        <w:rPr>
          <w:rFonts w:hint="eastAsia" w:ascii="宋体" w:hAnsi="宋体"/>
          <w:kern w:val="0"/>
          <w:szCs w:val="21"/>
          <w:highlight w:val="none"/>
          <w:lang w:val="en-US" w:eastAsia="zh-CN"/>
        </w:rPr>
        <w:t>2</w:t>
      </w:r>
      <w:r>
        <w:rPr>
          <w:rFonts w:hint="eastAsia" w:ascii="宋体" w:hAnsi="宋体"/>
          <w:kern w:val="0"/>
          <w:szCs w:val="21"/>
          <w:highlight w:val="none"/>
        </w:rPr>
        <w:t>）</w:t>
      </w:r>
      <w:r>
        <w:rPr>
          <w:rFonts w:ascii="宋体" w:hAnsi="宋体"/>
          <w:kern w:val="0"/>
          <w:szCs w:val="21"/>
          <w:highlight w:val="none"/>
        </w:rPr>
        <w:t>未经发包人同意，擅自更换主要</w:t>
      </w:r>
      <w:r>
        <w:rPr>
          <w:rFonts w:hint="eastAsia" w:ascii="宋体" w:hAnsi="宋体"/>
          <w:kern w:val="0"/>
          <w:szCs w:val="21"/>
          <w:highlight w:val="none"/>
        </w:rPr>
        <w:t>勘察</w:t>
      </w:r>
      <w:r>
        <w:rPr>
          <w:rFonts w:ascii="宋体" w:hAnsi="宋体"/>
          <w:kern w:val="0"/>
          <w:szCs w:val="21"/>
          <w:highlight w:val="none"/>
        </w:rPr>
        <w:t>人员的，按照以下方式承担违约责任：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fldChar w:fldCharType="begin"/>
      </w:r>
      <w:r>
        <w:rPr>
          <w:rFonts w:ascii="宋体" w:hAnsi="宋体"/>
          <w:kern w:val="0"/>
          <w:szCs w:val="21"/>
          <w:highlight w:val="none"/>
        </w:rPr>
        <w:instrText xml:space="preserve"> = 1 \* GB3 </w:instrText>
      </w:r>
      <w:r>
        <w:rPr>
          <w:rFonts w:ascii="宋体" w:hAnsi="宋体"/>
          <w:kern w:val="0"/>
          <w:szCs w:val="21"/>
          <w:highlight w:val="none"/>
        </w:rPr>
        <w:fldChar w:fldCharType="separate"/>
      </w:r>
      <w:r>
        <w:rPr>
          <w:rFonts w:hint="eastAsia" w:ascii="宋体" w:hAnsi="宋体" w:cs="宋体"/>
          <w:kern w:val="0"/>
          <w:szCs w:val="21"/>
          <w:highlight w:val="none"/>
        </w:rPr>
        <w:t>①</w:t>
      </w:r>
      <w:r>
        <w:rPr>
          <w:rFonts w:ascii="宋体" w:hAnsi="宋体"/>
          <w:kern w:val="0"/>
          <w:szCs w:val="21"/>
          <w:highlight w:val="none"/>
        </w:rPr>
        <w:fldChar w:fldCharType="end"/>
      </w:r>
      <w:r>
        <w:rPr>
          <w:rFonts w:ascii="宋体" w:hAnsi="宋体"/>
          <w:kern w:val="0"/>
          <w:szCs w:val="21"/>
          <w:highlight w:val="none"/>
        </w:rPr>
        <w:t>擅自更换项目负责人的，</w:t>
      </w:r>
      <w:r>
        <w:rPr>
          <w:rFonts w:hint="eastAsia" w:ascii="宋体" w:hAnsi="宋体"/>
          <w:kern w:val="0"/>
          <w:szCs w:val="21"/>
          <w:highlight w:val="none"/>
        </w:rPr>
        <w:t>勘察</w:t>
      </w:r>
      <w:r>
        <w:rPr>
          <w:rFonts w:ascii="宋体" w:hAnsi="宋体"/>
          <w:kern w:val="0"/>
          <w:szCs w:val="21"/>
          <w:highlight w:val="none"/>
        </w:rPr>
        <w:t>人每更换一次向发包人支付违约金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的1%)；</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擅自更换除项目负责人外的其他主要</w:t>
      </w:r>
      <w:r>
        <w:rPr>
          <w:rFonts w:hint="eastAsia" w:ascii="宋体" w:hAnsi="宋体"/>
          <w:kern w:val="0"/>
          <w:szCs w:val="21"/>
          <w:highlight w:val="none"/>
        </w:rPr>
        <w:t>勘察</w:t>
      </w:r>
      <w:r>
        <w:rPr>
          <w:rFonts w:ascii="宋体" w:hAnsi="宋体"/>
          <w:kern w:val="0"/>
          <w:szCs w:val="21"/>
          <w:highlight w:val="none"/>
        </w:rPr>
        <w:t>人员的，每更换一人，</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的0.5%)；</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③</w:t>
      </w:r>
      <w:r>
        <w:rPr>
          <w:rFonts w:ascii="宋体" w:hAnsi="宋体"/>
          <w:kern w:val="0"/>
          <w:szCs w:val="21"/>
          <w:highlight w:val="none"/>
        </w:rPr>
        <w:t>未经发包人同意，擅自更换项目主要</w:t>
      </w:r>
      <w:r>
        <w:rPr>
          <w:rFonts w:hint="eastAsia" w:ascii="宋体" w:hAnsi="宋体"/>
          <w:kern w:val="0"/>
          <w:szCs w:val="21"/>
          <w:highlight w:val="none"/>
        </w:rPr>
        <w:t>勘察</w:t>
      </w:r>
      <w:r>
        <w:rPr>
          <w:rFonts w:ascii="宋体" w:hAnsi="宋体"/>
          <w:kern w:val="0"/>
          <w:szCs w:val="21"/>
          <w:highlight w:val="none"/>
        </w:rPr>
        <w:t>人员超过三次的，发包人有权终止合同。</w:t>
      </w:r>
      <w:r>
        <w:rPr>
          <w:rFonts w:hint="eastAsia" w:ascii="宋体" w:hAnsi="宋体"/>
          <w:kern w:val="0"/>
          <w:szCs w:val="21"/>
          <w:highlight w:val="none"/>
        </w:rPr>
        <w:t>勘察</w:t>
      </w:r>
      <w:r>
        <w:rPr>
          <w:rFonts w:ascii="宋体" w:hAnsi="宋体"/>
          <w:kern w:val="0"/>
          <w:szCs w:val="21"/>
          <w:highlight w:val="none"/>
        </w:rPr>
        <w:t>人应承担由此给发包人造成的经济损失。</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w:t>
      </w:r>
      <w:r>
        <w:rPr>
          <w:rFonts w:hint="eastAsia" w:ascii="宋体" w:hAnsi="宋体"/>
          <w:kern w:val="0"/>
          <w:szCs w:val="21"/>
          <w:highlight w:val="none"/>
          <w:lang w:val="en-US" w:eastAsia="zh-CN"/>
        </w:rPr>
        <w:t>3</w:t>
      </w:r>
      <w:r>
        <w:rPr>
          <w:rFonts w:ascii="宋体" w:hAnsi="宋体"/>
          <w:kern w:val="0"/>
          <w:szCs w:val="21"/>
          <w:highlight w:val="none"/>
        </w:rPr>
        <w:t>）因下列原因之一，发包人有权要求更换项目主要</w:t>
      </w:r>
      <w:r>
        <w:rPr>
          <w:rFonts w:hint="eastAsia" w:ascii="宋体" w:hAnsi="宋体"/>
          <w:kern w:val="0"/>
          <w:szCs w:val="21"/>
          <w:highlight w:val="none"/>
        </w:rPr>
        <w:t>勘察</w:t>
      </w:r>
      <w:r>
        <w:rPr>
          <w:rFonts w:ascii="宋体" w:hAnsi="宋体"/>
          <w:kern w:val="0"/>
          <w:szCs w:val="21"/>
          <w:highlight w:val="none"/>
        </w:rPr>
        <w:t>人员。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fldChar w:fldCharType="begin"/>
      </w:r>
      <w:r>
        <w:rPr>
          <w:rFonts w:ascii="宋体" w:hAnsi="宋体"/>
          <w:kern w:val="0"/>
          <w:szCs w:val="21"/>
          <w:highlight w:val="none"/>
        </w:rPr>
        <w:instrText xml:space="preserve"> = 1 \* GB3 </w:instrText>
      </w:r>
      <w:r>
        <w:rPr>
          <w:rFonts w:ascii="宋体" w:hAnsi="宋体"/>
          <w:kern w:val="0"/>
          <w:szCs w:val="21"/>
          <w:highlight w:val="none"/>
        </w:rPr>
        <w:fldChar w:fldCharType="separate"/>
      </w:r>
      <w:r>
        <w:rPr>
          <w:rFonts w:hint="eastAsia" w:ascii="宋体" w:hAnsi="宋体" w:cs="宋体"/>
          <w:kern w:val="0"/>
          <w:szCs w:val="21"/>
          <w:highlight w:val="none"/>
        </w:rPr>
        <w:t>①</w:t>
      </w:r>
      <w:r>
        <w:rPr>
          <w:rFonts w:ascii="宋体" w:hAnsi="宋体"/>
          <w:kern w:val="0"/>
          <w:szCs w:val="21"/>
          <w:highlight w:val="none"/>
        </w:rPr>
        <w:fldChar w:fldCharType="end"/>
      </w:r>
      <w:r>
        <w:rPr>
          <w:rFonts w:ascii="宋体" w:hAnsi="宋体"/>
          <w:kern w:val="0"/>
          <w:szCs w:val="21"/>
          <w:highlight w:val="none"/>
        </w:rPr>
        <w:t>严重过失行为的；</w:t>
      </w:r>
      <w:r>
        <w:rPr>
          <w:rFonts w:hint="eastAsia" w:ascii="宋体" w:hAnsi="宋体" w:cs="宋体"/>
          <w:kern w:val="0"/>
          <w:szCs w:val="21"/>
          <w:highlight w:val="none"/>
        </w:rPr>
        <w:t>②</w:t>
      </w:r>
      <w:r>
        <w:rPr>
          <w:rFonts w:ascii="宋体" w:hAnsi="宋体"/>
          <w:kern w:val="0"/>
          <w:szCs w:val="21"/>
          <w:highlight w:val="none"/>
        </w:rPr>
        <w:t>有违法行为不能履行职责的；</w:t>
      </w:r>
      <w:r>
        <w:rPr>
          <w:rFonts w:hint="eastAsia" w:ascii="宋体" w:hAnsi="宋体" w:cs="宋体"/>
          <w:kern w:val="0"/>
          <w:szCs w:val="21"/>
          <w:highlight w:val="none"/>
        </w:rPr>
        <w:t>③</w:t>
      </w:r>
      <w:r>
        <w:rPr>
          <w:rFonts w:ascii="宋体" w:hAnsi="宋体"/>
          <w:kern w:val="0"/>
          <w:szCs w:val="21"/>
          <w:highlight w:val="none"/>
        </w:rPr>
        <w:t>涉嫌犯罪的；</w:t>
      </w:r>
      <w:r>
        <w:rPr>
          <w:rFonts w:hint="eastAsia" w:ascii="宋体" w:hAnsi="宋体" w:cs="宋体"/>
          <w:kern w:val="0"/>
          <w:szCs w:val="21"/>
          <w:highlight w:val="none"/>
        </w:rPr>
        <w:t>④</w:t>
      </w:r>
      <w:r>
        <w:rPr>
          <w:rFonts w:ascii="宋体" w:hAnsi="宋体"/>
          <w:kern w:val="0"/>
          <w:szCs w:val="21"/>
          <w:highlight w:val="none"/>
        </w:rPr>
        <w:t>不能胜任岗位职责的；</w:t>
      </w:r>
      <w:r>
        <w:rPr>
          <w:rFonts w:hint="eastAsia" w:ascii="宋体" w:hAnsi="宋体" w:cs="宋体"/>
          <w:kern w:val="0"/>
          <w:szCs w:val="21"/>
          <w:highlight w:val="none"/>
        </w:rPr>
        <w:t>⑤</w:t>
      </w:r>
      <w:r>
        <w:rPr>
          <w:rFonts w:ascii="宋体" w:hAnsi="宋体"/>
          <w:kern w:val="0"/>
          <w:szCs w:val="21"/>
          <w:highlight w:val="none"/>
        </w:rPr>
        <w:t>严重违反职业道德的；</w:t>
      </w:r>
      <w:r>
        <w:rPr>
          <w:rFonts w:hint="eastAsia" w:ascii="宋体" w:hAnsi="宋体" w:cs="宋体"/>
          <w:kern w:val="0"/>
          <w:szCs w:val="21"/>
          <w:highlight w:val="none"/>
        </w:rPr>
        <w:t>⑥</w:t>
      </w:r>
      <w:r>
        <w:rPr>
          <w:rFonts w:ascii="宋体" w:hAnsi="宋体"/>
          <w:kern w:val="0"/>
          <w:szCs w:val="21"/>
          <w:highlight w:val="none"/>
        </w:rPr>
        <w:t>其他不能履约的情形；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发包人要求更换项目主要</w:t>
      </w:r>
      <w:r>
        <w:rPr>
          <w:rFonts w:hint="eastAsia" w:ascii="宋体" w:hAnsi="宋体"/>
          <w:kern w:val="0"/>
          <w:szCs w:val="21"/>
          <w:highlight w:val="none"/>
        </w:rPr>
        <w:t>勘察</w:t>
      </w:r>
      <w:r>
        <w:rPr>
          <w:rFonts w:ascii="宋体" w:hAnsi="宋体"/>
          <w:kern w:val="0"/>
          <w:szCs w:val="21"/>
          <w:highlight w:val="none"/>
        </w:rPr>
        <w:t>人员的，</w:t>
      </w:r>
      <w:r>
        <w:rPr>
          <w:rFonts w:hint="eastAsia" w:ascii="宋体" w:hAnsi="宋体"/>
          <w:kern w:val="0"/>
          <w:szCs w:val="21"/>
          <w:highlight w:val="none"/>
        </w:rPr>
        <w:t>勘察</w:t>
      </w:r>
      <w:r>
        <w:rPr>
          <w:rFonts w:ascii="宋体" w:hAnsi="宋体"/>
          <w:kern w:val="0"/>
          <w:szCs w:val="21"/>
          <w:highlight w:val="none"/>
        </w:rPr>
        <w:t>人应向发包人承担下述违约责任：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fldChar w:fldCharType="begin"/>
      </w:r>
      <w:r>
        <w:rPr>
          <w:rFonts w:ascii="宋体" w:hAnsi="宋体"/>
          <w:kern w:val="0"/>
          <w:szCs w:val="21"/>
          <w:highlight w:val="none"/>
        </w:rPr>
        <w:instrText xml:space="preserve"> = 1 \* GB3 </w:instrText>
      </w:r>
      <w:r>
        <w:rPr>
          <w:rFonts w:ascii="宋体" w:hAnsi="宋体"/>
          <w:kern w:val="0"/>
          <w:szCs w:val="21"/>
          <w:highlight w:val="none"/>
        </w:rPr>
        <w:fldChar w:fldCharType="separate"/>
      </w:r>
      <w:r>
        <w:rPr>
          <w:rFonts w:hint="eastAsia" w:ascii="宋体" w:hAnsi="宋体" w:cs="宋体"/>
          <w:kern w:val="0"/>
          <w:szCs w:val="21"/>
          <w:highlight w:val="none"/>
        </w:rPr>
        <w:t>①</w:t>
      </w:r>
      <w:r>
        <w:rPr>
          <w:rFonts w:ascii="宋体" w:hAnsi="宋体"/>
          <w:kern w:val="0"/>
          <w:szCs w:val="21"/>
          <w:highlight w:val="none"/>
        </w:rPr>
        <w:fldChar w:fldCharType="end"/>
      </w:r>
      <w:r>
        <w:rPr>
          <w:rFonts w:ascii="宋体" w:hAnsi="宋体"/>
          <w:kern w:val="0"/>
          <w:szCs w:val="21"/>
          <w:highlight w:val="none"/>
        </w:rPr>
        <w:t>更换项目负责人的，</w:t>
      </w:r>
      <w:r>
        <w:rPr>
          <w:rFonts w:hint="eastAsia" w:ascii="宋体" w:hAnsi="宋体"/>
          <w:kern w:val="0"/>
          <w:szCs w:val="21"/>
          <w:highlight w:val="none"/>
        </w:rPr>
        <w:t>勘察</w:t>
      </w:r>
      <w:r>
        <w:rPr>
          <w:rFonts w:ascii="宋体" w:hAnsi="宋体"/>
          <w:kern w:val="0"/>
          <w:szCs w:val="21"/>
          <w:highlight w:val="none"/>
        </w:rPr>
        <w:t>人每更换一次向发包人支付违约金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的1%)；</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更换除项目负责人外的其他主要</w:t>
      </w:r>
      <w:r>
        <w:rPr>
          <w:rFonts w:hint="eastAsia" w:ascii="宋体" w:hAnsi="宋体"/>
          <w:kern w:val="0"/>
          <w:szCs w:val="21"/>
          <w:highlight w:val="none"/>
        </w:rPr>
        <w:t>勘察</w:t>
      </w:r>
      <w:r>
        <w:rPr>
          <w:rFonts w:ascii="宋体" w:hAnsi="宋体"/>
          <w:kern w:val="0"/>
          <w:szCs w:val="21"/>
          <w:highlight w:val="none"/>
        </w:rPr>
        <w:t>人员的，每更换一名</w:t>
      </w:r>
      <w:r>
        <w:rPr>
          <w:rFonts w:hint="eastAsia" w:ascii="宋体" w:hAnsi="宋体"/>
          <w:kern w:val="0"/>
          <w:szCs w:val="21"/>
          <w:highlight w:val="none"/>
        </w:rPr>
        <w:t>勘察人</w:t>
      </w:r>
      <w:r>
        <w:rPr>
          <w:rFonts w:ascii="宋体" w:hAnsi="宋体"/>
          <w:kern w:val="0"/>
          <w:szCs w:val="21"/>
          <w:highlight w:val="none"/>
        </w:rPr>
        <w:t>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 xml:space="preserve">的0.5%)； </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③</w:t>
      </w:r>
      <w:r>
        <w:rPr>
          <w:rFonts w:ascii="宋体" w:hAnsi="宋体"/>
          <w:kern w:val="0"/>
          <w:szCs w:val="21"/>
          <w:highlight w:val="none"/>
        </w:rPr>
        <w:t>因</w:t>
      </w:r>
      <w:r>
        <w:rPr>
          <w:rFonts w:hint="eastAsia" w:ascii="宋体" w:hAnsi="宋体"/>
          <w:kern w:val="0"/>
          <w:szCs w:val="21"/>
          <w:highlight w:val="none"/>
        </w:rPr>
        <w:t>勘察</w:t>
      </w:r>
      <w:r>
        <w:rPr>
          <w:rFonts w:ascii="宋体" w:hAnsi="宋体"/>
          <w:kern w:val="0"/>
          <w:szCs w:val="21"/>
          <w:highlight w:val="none"/>
        </w:rPr>
        <w:t>人原因，导致发包人要求更换项目主要</w:t>
      </w:r>
      <w:r>
        <w:rPr>
          <w:rFonts w:hint="eastAsia" w:ascii="宋体" w:hAnsi="宋体"/>
          <w:kern w:val="0"/>
          <w:szCs w:val="21"/>
          <w:highlight w:val="none"/>
        </w:rPr>
        <w:t>勘察</w:t>
      </w:r>
      <w:r>
        <w:rPr>
          <w:rFonts w:ascii="宋体" w:hAnsi="宋体"/>
          <w:kern w:val="0"/>
          <w:szCs w:val="21"/>
          <w:highlight w:val="none"/>
        </w:rPr>
        <w:t>人员变更超过三次的，发包人有权终止合同。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14.1.</w:t>
      </w:r>
      <w:r>
        <w:rPr>
          <w:rFonts w:hint="eastAsia" w:ascii="宋体" w:hAnsi="宋体"/>
          <w:kern w:val="0"/>
          <w:szCs w:val="21"/>
          <w:highlight w:val="none"/>
        </w:rPr>
        <w:t>2</w:t>
      </w:r>
      <w:r>
        <w:rPr>
          <w:rFonts w:ascii="宋体" w:hAnsi="宋体"/>
          <w:kern w:val="0"/>
          <w:szCs w:val="21"/>
          <w:highlight w:val="none"/>
        </w:rPr>
        <w:t xml:space="preserve">.2 </w:t>
      </w:r>
      <w:r>
        <w:rPr>
          <w:rFonts w:hint="eastAsia" w:ascii="宋体" w:hAnsi="宋体"/>
          <w:kern w:val="0"/>
          <w:szCs w:val="21"/>
          <w:highlight w:val="none"/>
        </w:rPr>
        <w:t>勘察</w:t>
      </w:r>
      <w:r>
        <w:rPr>
          <w:rFonts w:ascii="宋体" w:hAnsi="宋体"/>
          <w:kern w:val="0"/>
          <w:szCs w:val="21"/>
          <w:highlight w:val="none"/>
        </w:rPr>
        <w:t>人提交</w:t>
      </w:r>
      <w:r>
        <w:rPr>
          <w:rFonts w:hint="eastAsia" w:ascii="宋体" w:hAnsi="宋体"/>
          <w:kern w:val="0"/>
          <w:szCs w:val="21"/>
          <w:highlight w:val="none"/>
        </w:rPr>
        <w:t>勘察</w:t>
      </w:r>
      <w:r>
        <w:rPr>
          <w:rFonts w:ascii="宋体" w:hAnsi="宋体"/>
          <w:kern w:val="0"/>
          <w:szCs w:val="21"/>
          <w:highlight w:val="none"/>
        </w:rPr>
        <w:t>成果，违反合同约定期限及相关规定</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（1）因</w:t>
      </w:r>
      <w:r>
        <w:rPr>
          <w:rFonts w:hint="eastAsia" w:ascii="宋体" w:hAnsi="宋体"/>
          <w:kern w:val="0"/>
          <w:szCs w:val="21"/>
          <w:highlight w:val="none"/>
        </w:rPr>
        <w:t>勘察</w:t>
      </w:r>
      <w:r>
        <w:rPr>
          <w:rFonts w:ascii="宋体" w:hAnsi="宋体"/>
          <w:kern w:val="0"/>
          <w:szCs w:val="21"/>
          <w:highlight w:val="none"/>
        </w:rPr>
        <w:t>人原因，延迟提交</w:t>
      </w:r>
      <w:r>
        <w:rPr>
          <w:rFonts w:hint="eastAsia" w:ascii="宋体" w:hAnsi="宋体"/>
          <w:kern w:val="0"/>
          <w:szCs w:val="21"/>
          <w:highlight w:val="none"/>
        </w:rPr>
        <w:t>勘察</w:t>
      </w:r>
      <w:r>
        <w:rPr>
          <w:rFonts w:ascii="宋体" w:hAnsi="宋体"/>
          <w:kern w:val="0"/>
          <w:szCs w:val="21"/>
          <w:highlight w:val="none"/>
        </w:rPr>
        <w:t>成果或变更</w:t>
      </w:r>
      <w:r>
        <w:rPr>
          <w:rFonts w:hint="eastAsia" w:ascii="宋体" w:hAnsi="宋体"/>
          <w:kern w:val="0"/>
          <w:szCs w:val="21"/>
          <w:highlight w:val="none"/>
        </w:rPr>
        <w:t>勘察报告、</w:t>
      </w:r>
      <w:r>
        <w:rPr>
          <w:rFonts w:ascii="宋体" w:hAnsi="宋体"/>
          <w:kern w:val="0"/>
          <w:szCs w:val="21"/>
          <w:highlight w:val="none"/>
        </w:rPr>
        <w:t>图纸及意见的，</w:t>
      </w:r>
      <w:r>
        <w:rPr>
          <w:rFonts w:hint="eastAsia" w:ascii="宋体" w:hAnsi="宋体"/>
          <w:kern w:val="0"/>
          <w:szCs w:val="21"/>
          <w:highlight w:val="none"/>
        </w:rPr>
        <w:t>勘察</w:t>
      </w:r>
      <w:r>
        <w:rPr>
          <w:rFonts w:ascii="宋体" w:hAnsi="宋体"/>
          <w:kern w:val="0"/>
          <w:szCs w:val="21"/>
          <w:highlight w:val="none"/>
        </w:rPr>
        <w:t>人应向发包人承担下述违约责任：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fldChar w:fldCharType="begin"/>
      </w:r>
      <w:r>
        <w:rPr>
          <w:rFonts w:ascii="宋体" w:hAnsi="宋体"/>
          <w:kern w:val="0"/>
          <w:szCs w:val="21"/>
          <w:highlight w:val="none"/>
        </w:rPr>
        <w:instrText xml:space="preserve"> = 1 \* GB3 </w:instrText>
      </w:r>
      <w:r>
        <w:rPr>
          <w:rFonts w:ascii="宋体" w:hAnsi="宋体"/>
          <w:kern w:val="0"/>
          <w:szCs w:val="21"/>
          <w:highlight w:val="none"/>
        </w:rPr>
        <w:fldChar w:fldCharType="separate"/>
      </w:r>
      <w:r>
        <w:rPr>
          <w:rFonts w:hint="eastAsia" w:ascii="宋体" w:hAnsi="宋体" w:cs="宋体"/>
          <w:kern w:val="0"/>
          <w:szCs w:val="21"/>
          <w:highlight w:val="none"/>
        </w:rPr>
        <w:t>①</w:t>
      </w:r>
      <w:r>
        <w:rPr>
          <w:rFonts w:ascii="宋体" w:hAnsi="宋体"/>
          <w:kern w:val="0"/>
          <w:szCs w:val="21"/>
          <w:highlight w:val="none"/>
        </w:rPr>
        <w:fldChar w:fldCharType="end"/>
      </w:r>
      <w:r>
        <w:rPr>
          <w:rFonts w:ascii="宋体" w:hAnsi="宋体"/>
          <w:kern w:val="0"/>
          <w:szCs w:val="21"/>
          <w:highlight w:val="none"/>
        </w:rPr>
        <w:t>第一次延迟提交</w:t>
      </w:r>
      <w:r>
        <w:rPr>
          <w:rFonts w:hint="eastAsia" w:ascii="宋体" w:hAnsi="宋体"/>
          <w:kern w:val="0"/>
          <w:szCs w:val="21"/>
          <w:highlight w:val="none"/>
        </w:rPr>
        <w:t>勘察</w:t>
      </w:r>
      <w:r>
        <w:rPr>
          <w:rFonts w:ascii="宋体" w:hAnsi="宋体"/>
          <w:kern w:val="0"/>
          <w:szCs w:val="21"/>
          <w:highlight w:val="none"/>
        </w:rPr>
        <w:t>成果或变更</w:t>
      </w:r>
      <w:r>
        <w:rPr>
          <w:rFonts w:hint="eastAsia" w:ascii="宋体" w:hAnsi="宋体"/>
          <w:kern w:val="0"/>
          <w:szCs w:val="21"/>
          <w:highlight w:val="none"/>
        </w:rPr>
        <w:t>勘察报告、</w:t>
      </w:r>
      <w:r>
        <w:rPr>
          <w:rFonts w:ascii="宋体" w:hAnsi="宋体"/>
          <w:kern w:val="0"/>
          <w:szCs w:val="21"/>
          <w:highlight w:val="none"/>
        </w:rPr>
        <w:t>图纸及意见的，每逾期一天</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ascii="宋体" w:hAnsi="宋体"/>
          <w:kern w:val="0"/>
          <w:szCs w:val="21"/>
          <w:highlight w:val="none"/>
        </w:rPr>
        <w:t>签约合同价的0.2%)；影响开工时间或工程进度的，</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ascii="宋体" w:hAnsi="宋体"/>
          <w:kern w:val="0"/>
          <w:szCs w:val="21"/>
          <w:highlight w:val="none"/>
        </w:rPr>
        <w:t>签约合同价的5%)，且发包人有权要求</w:t>
      </w:r>
      <w:r>
        <w:rPr>
          <w:rFonts w:hint="eastAsia" w:ascii="宋体" w:hAnsi="宋体"/>
          <w:kern w:val="0"/>
          <w:szCs w:val="21"/>
          <w:highlight w:val="none"/>
        </w:rPr>
        <w:t>勘察</w:t>
      </w:r>
      <w:r>
        <w:rPr>
          <w:rFonts w:ascii="宋体" w:hAnsi="宋体"/>
          <w:kern w:val="0"/>
          <w:szCs w:val="21"/>
          <w:highlight w:val="none"/>
        </w:rPr>
        <w:t>人撤换项目负责人；</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第二次及以上延迟提交</w:t>
      </w:r>
      <w:r>
        <w:rPr>
          <w:rFonts w:hint="eastAsia" w:ascii="宋体" w:hAnsi="宋体"/>
          <w:kern w:val="0"/>
          <w:szCs w:val="21"/>
          <w:highlight w:val="none"/>
        </w:rPr>
        <w:t>勘察</w:t>
      </w:r>
      <w:r>
        <w:rPr>
          <w:rFonts w:ascii="宋体" w:hAnsi="宋体"/>
          <w:kern w:val="0"/>
          <w:szCs w:val="21"/>
          <w:highlight w:val="none"/>
        </w:rPr>
        <w:t>成果或变更</w:t>
      </w:r>
      <w:r>
        <w:rPr>
          <w:rFonts w:hint="eastAsia" w:ascii="宋体" w:hAnsi="宋体"/>
          <w:kern w:val="0"/>
          <w:szCs w:val="21"/>
          <w:highlight w:val="none"/>
        </w:rPr>
        <w:t>勘察报告、</w:t>
      </w:r>
      <w:r>
        <w:rPr>
          <w:rFonts w:ascii="宋体" w:hAnsi="宋体"/>
          <w:kern w:val="0"/>
          <w:szCs w:val="21"/>
          <w:highlight w:val="none"/>
        </w:rPr>
        <w:t>图纸及意见的，每逾期一天</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ascii="宋体" w:hAnsi="宋体"/>
          <w:kern w:val="0"/>
          <w:szCs w:val="21"/>
          <w:highlight w:val="none"/>
        </w:rPr>
        <w:t>签约合同价的0.5%)；影响开工时间或工程进度的，可根据情况拒付全部或部分</w:t>
      </w:r>
      <w:r>
        <w:rPr>
          <w:rFonts w:hint="eastAsia" w:ascii="宋体" w:hAnsi="宋体"/>
          <w:kern w:val="0"/>
          <w:szCs w:val="21"/>
          <w:highlight w:val="none"/>
        </w:rPr>
        <w:t>勘察</w:t>
      </w:r>
      <w:r>
        <w:rPr>
          <w:rFonts w:ascii="宋体" w:hAnsi="宋体"/>
          <w:kern w:val="0"/>
          <w:szCs w:val="21"/>
          <w:highlight w:val="none"/>
        </w:rPr>
        <w:t>费用，同时发包人有权终止合同。</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（2）</w:t>
      </w:r>
      <w:r>
        <w:rPr>
          <w:rFonts w:hint="eastAsia" w:ascii="宋体" w:hAnsi="宋体"/>
          <w:kern w:val="0"/>
          <w:szCs w:val="21"/>
          <w:highlight w:val="none"/>
        </w:rPr>
        <w:t>勘察</w:t>
      </w:r>
      <w:r>
        <w:rPr>
          <w:rFonts w:ascii="宋体" w:hAnsi="宋体"/>
          <w:kern w:val="0"/>
          <w:szCs w:val="21"/>
          <w:highlight w:val="none"/>
        </w:rPr>
        <w:t>人出现</w:t>
      </w:r>
      <w:r>
        <w:rPr>
          <w:rFonts w:hint="eastAsia" w:ascii="宋体" w:hAnsi="宋体"/>
          <w:kern w:val="0"/>
          <w:szCs w:val="21"/>
          <w:highlight w:val="none"/>
        </w:rPr>
        <w:t>勘察</w:t>
      </w:r>
      <w:r>
        <w:rPr>
          <w:rFonts w:ascii="宋体" w:hAnsi="宋体"/>
          <w:kern w:val="0"/>
          <w:szCs w:val="21"/>
          <w:highlight w:val="none"/>
        </w:rPr>
        <w:t>成果文件未盖章、责任人未签名或签名不全、盖章不规范，</w:t>
      </w:r>
      <w:r>
        <w:rPr>
          <w:rFonts w:hint="eastAsia" w:ascii="宋体" w:hAnsi="宋体"/>
          <w:kern w:val="0"/>
          <w:szCs w:val="21"/>
          <w:highlight w:val="none"/>
        </w:rPr>
        <w:t>勘察</w:t>
      </w:r>
      <w:r>
        <w:rPr>
          <w:rFonts w:ascii="宋体" w:hAnsi="宋体"/>
          <w:kern w:val="0"/>
          <w:szCs w:val="21"/>
          <w:highlight w:val="none"/>
        </w:rPr>
        <w:t>人应向发包人承担下述违约责任：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fldChar w:fldCharType="begin"/>
      </w:r>
      <w:r>
        <w:rPr>
          <w:rFonts w:ascii="宋体" w:hAnsi="宋体"/>
          <w:kern w:val="0"/>
          <w:szCs w:val="21"/>
          <w:highlight w:val="none"/>
        </w:rPr>
        <w:instrText xml:space="preserve"> = 1 \* GB3 </w:instrText>
      </w:r>
      <w:r>
        <w:rPr>
          <w:rFonts w:ascii="宋体" w:hAnsi="宋体"/>
          <w:kern w:val="0"/>
          <w:szCs w:val="21"/>
          <w:highlight w:val="none"/>
        </w:rPr>
        <w:fldChar w:fldCharType="separate"/>
      </w:r>
      <w:r>
        <w:rPr>
          <w:rFonts w:hint="eastAsia" w:ascii="宋体" w:hAnsi="宋体" w:cs="宋体"/>
          <w:kern w:val="0"/>
          <w:szCs w:val="21"/>
          <w:highlight w:val="none"/>
        </w:rPr>
        <w:t>①</w:t>
      </w:r>
      <w:r>
        <w:rPr>
          <w:rFonts w:ascii="宋体" w:hAnsi="宋体"/>
          <w:kern w:val="0"/>
          <w:szCs w:val="21"/>
          <w:highlight w:val="none"/>
        </w:rPr>
        <w:fldChar w:fldCharType="end"/>
      </w:r>
      <w:r>
        <w:rPr>
          <w:rFonts w:ascii="宋体" w:hAnsi="宋体"/>
          <w:kern w:val="0"/>
          <w:szCs w:val="21"/>
          <w:highlight w:val="none"/>
        </w:rPr>
        <w:t>重新提交并向发包人支付违约金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ascii="宋体" w:hAnsi="宋体"/>
          <w:kern w:val="0"/>
          <w:szCs w:val="21"/>
          <w:highlight w:val="none"/>
        </w:rPr>
        <w:t>签约合同价的0.25%)；</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两次重新提交并向发包人支付违约金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ascii="宋体" w:hAnsi="宋体"/>
          <w:kern w:val="0"/>
          <w:szCs w:val="21"/>
          <w:highlight w:val="none"/>
        </w:rPr>
        <w:t>签约合同价的0.5%)；</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③</w:t>
      </w:r>
      <w:r>
        <w:rPr>
          <w:rFonts w:ascii="宋体" w:hAnsi="宋体"/>
          <w:kern w:val="0"/>
          <w:szCs w:val="21"/>
          <w:highlight w:val="none"/>
        </w:rPr>
        <w:t>连续出现三次及以上出现</w:t>
      </w:r>
      <w:r>
        <w:rPr>
          <w:rFonts w:hint="eastAsia" w:ascii="宋体" w:hAnsi="宋体"/>
          <w:kern w:val="0"/>
          <w:szCs w:val="21"/>
          <w:highlight w:val="none"/>
        </w:rPr>
        <w:t>勘察</w:t>
      </w:r>
      <w:r>
        <w:rPr>
          <w:rFonts w:ascii="宋体" w:hAnsi="宋体"/>
          <w:kern w:val="0"/>
          <w:szCs w:val="21"/>
          <w:highlight w:val="none"/>
        </w:rPr>
        <w:t>成果文件未盖章、责任人未签名或签名不全、盖章不规范的情形，发包人有权终止合同；</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（3）</w:t>
      </w:r>
      <w:r>
        <w:rPr>
          <w:rFonts w:hint="eastAsia" w:ascii="宋体" w:hAnsi="宋体"/>
          <w:kern w:val="0"/>
          <w:szCs w:val="21"/>
          <w:highlight w:val="none"/>
        </w:rPr>
        <w:t>勘察</w:t>
      </w:r>
      <w:r>
        <w:rPr>
          <w:rFonts w:ascii="宋体" w:hAnsi="宋体"/>
          <w:kern w:val="0"/>
          <w:szCs w:val="21"/>
          <w:highlight w:val="none"/>
        </w:rPr>
        <w:t>人对提交的</w:t>
      </w:r>
      <w:r>
        <w:rPr>
          <w:rFonts w:hint="eastAsia" w:ascii="宋体" w:hAnsi="宋体"/>
          <w:kern w:val="0"/>
          <w:szCs w:val="21"/>
          <w:highlight w:val="none"/>
        </w:rPr>
        <w:t>勘察</w:t>
      </w:r>
      <w:r>
        <w:rPr>
          <w:rFonts w:ascii="宋体" w:hAnsi="宋体"/>
          <w:kern w:val="0"/>
          <w:szCs w:val="21"/>
          <w:highlight w:val="none"/>
        </w:rPr>
        <w:t>成果弄虚作假、提供虚假成果资料，被查证属实：</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fldChar w:fldCharType="begin"/>
      </w:r>
      <w:r>
        <w:rPr>
          <w:rFonts w:ascii="宋体" w:hAnsi="宋体"/>
          <w:kern w:val="0"/>
          <w:szCs w:val="21"/>
          <w:highlight w:val="none"/>
        </w:rPr>
        <w:instrText xml:space="preserve"> = 1 \* GB3 </w:instrText>
      </w:r>
      <w:r>
        <w:rPr>
          <w:rFonts w:ascii="宋体" w:hAnsi="宋体"/>
          <w:kern w:val="0"/>
          <w:szCs w:val="21"/>
          <w:highlight w:val="none"/>
        </w:rPr>
        <w:fldChar w:fldCharType="separate"/>
      </w:r>
      <w:r>
        <w:rPr>
          <w:rFonts w:hint="eastAsia" w:ascii="宋体" w:hAnsi="宋体" w:cs="宋体"/>
          <w:kern w:val="0"/>
          <w:szCs w:val="21"/>
          <w:highlight w:val="none"/>
        </w:rPr>
        <w:t>①</w:t>
      </w:r>
      <w:r>
        <w:rPr>
          <w:rFonts w:ascii="宋体" w:hAnsi="宋体"/>
          <w:kern w:val="0"/>
          <w:szCs w:val="21"/>
          <w:highlight w:val="none"/>
        </w:rPr>
        <w:fldChar w:fldCharType="end"/>
      </w:r>
      <w:r>
        <w:rPr>
          <w:rFonts w:ascii="宋体" w:hAnsi="宋体"/>
          <w:kern w:val="0"/>
          <w:szCs w:val="21"/>
          <w:highlight w:val="none"/>
        </w:rPr>
        <w:t>未造成不良后果，并限时纠正，</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的5%)；</w:t>
      </w:r>
    </w:p>
    <w:p>
      <w:pPr>
        <w:widowControl/>
        <w:tabs>
          <w:tab w:val="left" w:pos="9072"/>
          <w:tab w:val="left" w:pos="9781"/>
        </w:tabs>
        <w:spacing w:line="360" w:lineRule="auto"/>
        <w:ind w:right="120" w:rightChars="57" w:firstLine="420" w:firstLineChars="200"/>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造成不良后果，发包人有权要求撤换项目负责人，追究</w:t>
      </w:r>
      <w:r>
        <w:rPr>
          <w:rFonts w:hint="eastAsia" w:ascii="宋体" w:hAnsi="宋体"/>
          <w:kern w:val="0"/>
          <w:szCs w:val="21"/>
          <w:highlight w:val="none"/>
        </w:rPr>
        <w:t>勘察</w:t>
      </w:r>
      <w:r>
        <w:rPr>
          <w:rFonts w:ascii="宋体" w:hAnsi="宋体"/>
          <w:kern w:val="0"/>
          <w:szCs w:val="21"/>
          <w:highlight w:val="none"/>
        </w:rPr>
        <w:t>人责任，</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的10%)。</w:t>
      </w:r>
    </w:p>
    <w:p>
      <w:pPr>
        <w:widowControl/>
        <w:tabs>
          <w:tab w:val="left" w:pos="9072"/>
          <w:tab w:val="left" w:pos="9781"/>
        </w:tabs>
        <w:spacing w:line="360" w:lineRule="auto"/>
        <w:ind w:left="199" w:leftChars="95" w:right="120" w:rightChars="57" w:firstLine="210" w:firstLineChars="100"/>
        <w:jc w:val="left"/>
        <w:rPr>
          <w:rFonts w:ascii="宋体" w:hAnsi="宋体"/>
          <w:kern w:val="0"/>
          <w:szCs w:val="21"/>
          <w:highlight w:val="none"/>
        </w:rPr>
      </w:pPr>
      <w:r>
        <w:rPr>
          <w:rFonts w:ascii="宋体" w:hAnsi="宋体"/>
          <w:kern w:val="0"/>
          <w:szCs w:val="21"/>
          <w:highlight w:val="none"/>
        </w:rPr>
        <w:t>（4）因</w:t>
      </w:r>
      <w:r>
        <w:rPr>
          <w:rFonts w:hint="eastAsia" w:ascii="宋体" w:hAnsi="宋体"/>
          <w:kern w:val="0"/>
          <w:szCs w:val="21"/>
          <w:highlight w:val="none"/>
        </w:rPr>
        <w:t>勘察</w:t>
      </w:r>
      <w:r>
        <w:rPr>
          <w:rFonts w:ascii="宋体" w:hAnsi="宋体"/>
          <w:kern w:val="0"/>
          <w:szCs w:val="21"/>
          <w:highlight w:val="none"/>
        </w:rPr>
        <w:t>人过失引起的设计变更，造成工程投资增加超过概算5%的，视情节轻重扣除</w:t>
      </w:r>
      <w:r>
        <w:rPr>
          <w:rFonts w:hint="eastAsia" w:ascii="宋体" w:hAnsi="宋体"/>
          <w:kern w:val="0"/>
          <w:szCs w:val="21"/>
          <w:highlight w:val="none"/>
          <w:u w:val="single"/>
          <w:lang w:val="en-US" w:eastAsia="zh-CN"/>
        </w:rPr>
        <w:t xml:space="preserve">  </w:t>
      </w:r>
      <w:r>
        <w:rPr>
          <w:rFonts w:ascii="宋体" w:hAnsi="宋体"/>
          <w:kern w:val="0"/>
          <w:szCs w:val="21"/>
          <w:highlight w:val="none"/>
          <w:u w:val="single"/>
        </w:rPr>
        <w:t xml:space="preserve"> %</w:t>
      </w:r>
      <w:r>
        <w:rPr>
          <w:rFonts w:hint="eastAsia" w:ascii="宋体" w:hAnsi="宋体"/>
          <w:kern w:val="0"/>
          <w:szCs w:val="21"/>
          <w:highlight w:val="none"/>
          <w:u w:val="none"/>
          <w:lang w:eastAsia="zh-CN"/>
        </w:rPr>
        <w:t>（</w:t>
      </w:r>
      <w:r>
        <w:rPr>
          <w:rFonts w:hint="eastAsia" w:ascii="宋体" w:hAnsi="宋体"/>
          <w:kern w:val="0"/>
          <w:szCs w:val="21"/>
          <w:highlight w:val="none"/>
          <w:u w:val="none"/>
          <w:lang w:val="en-US" w:eastAsia="zh-CN"/>
        </w:rPr>
        <w:t>不超过签约合同价的</w:t>
      </w:r>
      <w:r>
        <w:rPr>
          <w:rFonts w:ascii="宋体" w:hAnsi="宋体"/>
          <w:kern w:val="0"/>
          <w:szCs w:val="21"/>
          <w:highlight w:val="none"/>
          <w:u w:val="none"/>
        </w:rPr>
        <w:t>30%</w:t>
      </w:r>
      <w:r>
        <w:rPr>
          <w:rFonts w:ascii="宋体" w:hAnsi="宋体"/>
          <w:kern w:val="0"/>
          <w:szCs w:val="21"/>
          <w:highlight w:val="none"/>
        </w:rPr>
        <w:t>）的</w:t>
      </w:r>
      <w:r>
        <w:rPr>
          <w:rFonts w:hint="eastAsia" w:ascii="宋体" w:hAnsi="宋体"/>
          <w:kern w:val="0"/>
          <w:szCs w:val="21"/>
          <w:highlight w:val="none"/>
        </w:rPr>
        <w:t>勘察</w:t>
      </w:r>
      <w:r>
        <w:rPr>
          <w:rFonts w:ascii="宋体" w:hAnsi="宋体"/>
          <w:kern w:val="0"/>
          <w:szCs w:val="21"/>
          <w:highlight w:val="none"/>
        </w:rPr>
        <w:t>费，并报主管部门予以处罚。</w:t>
      </w:r>
    </w:p>
    <w:p>
      <w:pPr>
        <w:widowControl/>
        <w:tabs>
          <w:tab w:val="left" w:pos="9072"/>
          <w:tab w:val="left" w:pos="9781"/>
        </w:tabs>
        <w:spacing w:line="360" w:lineRule="auto"/>
        <w:ind w:left="67" w:leftChars="32" w:right="120" w:rightChars="57" w:firstLine="420" w:firstLineChars="200"/>
        <w:jc w:val="left"/>
        <w:rPr>
          <w:rFonts w:ascii="宋体" w:hAnsi="宋体"/>
          <w:kern w:val="0"/>
          <w:szCs w:val="21"/>
          <w:highlight w:val="none"/>
        </w:rPr>
      </w:pPr>
      <w:r>
        <w:rPr>
          <w:rFonts w:ascii="宋体" w:hAnsi="宋体"/>
          <w:kern w:val="0"/>
          <w:szCs w:val="21"/>
          <w:highlight w:val="none"/>
        </w:rPr>
        <w:t>（5）</w:t>
      </w:r>
      <w:r>
        <w:rPr>
          <w:rFonts w:hint="eastAsia" w:ascii="宋体" w:hAnsi="宋体"/>
          <w:kern w:val="0"/>
          <w:szCs w:val="21"/>
          <w:highlight w:val="none"/>
        </w:rPr>
        <w:t>勘察</w:t>
      </w:r>
      <w:r>
        <w:rPr>
          <w:rFonts w:ascii="宋体" w:hAnsi="宋体"/>
          <w:kern w:val="0"/>
          <w:szCs w:val="21"/>
          <w:highlight w:val="none"/>
        </w:rPr>
        <w:t>人转包、违法分包或者未经发包人同意擅自分包的。一经查实，</w:t>
      </w:r>
      <w:r>
        <w:rPr>
          <w:rFonts w:hint="eastAsia" w:ascii="宋体" w:hAnsi="宋体"/>
          <w:kern w:val="0"/>
          <w:szCs w:val="21"/>
          <w:highlight w:val="none"/>
        </w:rPr>
        <w:t>勘察</w:t>
      </w:r>
      <w:r>
        <w:rPr>
          <w:rFonts w:ascii="宋体" w:hAnsi="宋体"/>
          <w:kern w:val="0"/>
          <w:szCs w:val="21"/>
          <w:highlight w:val="none"/>
        </w:rPr>
        <w:t>人的履约保证金不予退还，</w:t>
      </w:r>
      <w:r>
        <w:rPr>
          <w:rFonts w:hint="eastAsia" w:ascii="宋体" w:hAnsi="宋体"/>
          <w:kern w:val="0"/>
          <w:szCs w:val="21"/>
          <w:highlight w:val="none"/>
        </w:rPr>
        <w:t>勘察</w:t>
      </w:r>
      <w:r>
        <w:rPr>
          <w:rFonts w:ascii="宋体" w:hAnsi="宋体"/>
          <w:kern w:val="0"/>
          <w:szCs w:val="21"/>
          <w:highlight w:val="none"/>
        </w:rPr>
        <w:t>人另向发包人支付</w:t>
      </w:r>
      <w:r>
        <w:rPr>
          <w:rFonts w:hint="eastAsia" w:ascii="宋体" w:hAnsi="宋体"/>
          <w:kern w:val="0"/>
          <w:szCs w:val="21"/>
          <w:highlight w:val="none"/>
        </w:rPr>
        <w:t>签约</w:t>
      </w:r>
      <w:r>
        <w:rPr>
          <w:rFonts w:ascii="宋体" w:hAnsi="宋体"/>
          <w:kern w:val="0"/>
          <w:szCs w:val="21"/>
          <w:highlight w:val="none"/>
        </w:rPr>
        <w:t>合同价的</w:t>
      </w:r>
      <w:r>
        <w:rPr>
          <w:rFonts w:hint="eastAsia" w:ascii="宋体" w:hAnsi="宋体"/>
          <w:kern w:val="0"/>
          <w:szCs w:val="21"/>
          <w:highlight w:val="none"/>
          <w:u w:val="single"/>
          <w:lang w:val="en-US" w:eastAsia="zh-CN"/>
        </w:rPr>
        <w:t xml:space="preserve">   </w:t>
      </w:r>
      <w:r>
        <w:rPr>
          <w:rFonts w:ascii="宋体" w:hAnsi="宋体"/>
          <w:kern w:val="0"/>
          <w:szCs w:val="21"/>
          <w:highlight w:val="none"/>
          <w:u w:val="single"/>
        </w:rPr>
        <w:t>%</w:t>
      </w:r>
      <w:r>
        <w:rPr>
          <w:rFonts w:ascii="宋体" w:hAnsi="宋体"/>
          <w:kern w:val="0"/>
          <w:szCs w:val="21"/>
          <w:highlight w:val="none"/>
        </w:rPr>
        <w:t>（</w:t>
      </w:r>
      <w:r>
        <w:rPr>
          <w:rFonts w:hint="eastAsia" w:ascii="宋体" w:hAnsi="宋体"/>
          <w:kern w:val="0"/>
          <w:szCs w:val="21"/>
          <w:highlight w:val="none"/>
          <w:u w:val="none"/>
          <w:lang w:val="en-US" w:eastAsia="zh-CN"/>
        </w:rPr>
        <w:t>不超过签约合同价的</w:t>
      </w:r>
      <w:r>
        <w:rPr>
          <w:rFonts w:ascii="宋体" w:hAnsi="宋体"/>
          <w:kern w:val="0"/>
          <w:szCs w:val="21"/>
          <w:highlight w:val="none"/>
          <w:u w:val="none"/>
        </w:rPr>
        <w:t>30%</w:t>
      </w:r>
      <w:r>
        <w:rPr>
          <w:rFonts w:ascii="宋体" w:hAnsi="宋体"/>
          <w:kern w:val="0"/>
          <w:szCs w:val="21"/>
          <w:highlight w:val="none"/>
        </w:rPr>
        <w:t>）违约金，同时发包人报请相关行政监管部门对</w:t>
      </w:r>
      <w:r>
        <w:rPr>
          <w:rFonts w:hint="eastAsia" w:ascii="宋体" w:hAnsi="宋体"/>
          <w:kern w:val="0"/>
          <w:szCs w:val="21"/>
          <w:highlight w:val="none"/>
        </w:rPr>
        <w:t>勘察</w:t>
      </w:r>
      <w:r>
        <w:rPr>
          <w:rFonts w:ascii="宋体" w:hAnsi="宋体"/>
          <w:kern w:val="0"/>
          <w:szCs w:val="21"/>
          <w:highlight w:val="none"/>
        </w:rPr>
        <w:t>人进行罚款、限制投标、降低资质等处罚、公开曝光，记入不良行为记录，且发包人有权单方解除合同。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（6）</w:t>
      </w:r>
      <w:r>
        <w:rPr>
          <w:rFonts w:hint="eastAsia" w:ascii="宋体" w:hAnsi="宋体"/>
          <w:kern w:val="0"/>
          <w:szCs w:val="21"/>
          <w:highlight w:val="none"/>
        </w:rPr>
        <w:t>勘察</w:t>
      </w:r>
      <w:r>
        <w:rPr>
          <w:rFonts w:ascii="宋体" w:hAnsi="宋体"/>
          <w:kern w:val="0"/>
          <w:szCs w:val="21"/>
          <w:highlight w:val="none"/>
        </w:rPr>
        <w:t>人串通或参与串通其他参建方，谋取非法利益的，由监察部门、主管部门给予处罚，构成犯罪的，移交司法机关处理。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14.1.</w:t>
      </w:r>
      <w:r>
        <w:rPr>
          <w:rFonts w:hint="eastAsia" w:ascii="宋体" w:hAnsi="宋体"/>
          <w:kern w:val="0"/>
          <w:szCs w:val="21"/>
          <w:highlight w:val="none"/>
        </w:rPr>
        <w:t>2</w:t>
      </w:r>
      <w:r>
        <w:rPr>
          <w:rFonts w:ascii="宋体" w:hAnsi="宋体"/>
          <w:kern w:val="0"/>
          <w:szCs w:val="21"/>
          <w:highlight w:val="none"/>
        </w:rPr>
        <w:t>.3</w:t>
      </w:r>
      <w:r>
        <w:rPr>
          <w:rFonts w:hint="eastAsia" w:ascii="宋体" w:hAnsi="宋体"/>
          <w:kern w:val="0"/>
          <w:szCs w:val="21"/>
          <w:highlight w:val="none"/>
        </w:rPr>
        <w:t>勘察</w:t>
      </w:r>
      <w:r>
        <w:rPr>
          <w:rFonts w:ascii="宋体" w:hAnsi="宋体"/>
          <w:kern w:val="0"/>
          <w:szCs w:val="21"/>
          <w:highlight w:val="none"/>
        </w:rPr>
        <w:t>人提交</w:t>
      </w:r>
      <w:r>
        <w:rPr>
          <w:rFonts w:hint="eastAsia" w:ascii="宋体" w:hAnsi="宋体"/>
          <w:kern w:val="0"/>
          <w:szCs w:val="21"/>
          <w:highlight w:val="none"/>
        </w:rPr>
        <w:t>勘察</w:t>
      </w:r>
      <w:r>
        <w:rPr>
          <w:rFonts w:ascii="宋体" w:hAnsi="宋体"/>
          <w:kern w:val="0"/>
          <w:szCs w:val="21"/>
          <w:highlight w:val="none"/>
        </w:rPr>
        <w:t>成果，存在明显不合理，较大缺漏项及</w:t>
      </w:r>
      <w:r>
        <w:rPr>
          <w:rFonts w:hint="eastAsia" w:ascii="宋体" w:hAnsi="宋体"/>
          <w:kern w:val="0"/>
          <w:szCs w:val="21"/>
          <w:highlight w:val="none"/>
        </w:rPr>
        <w:t>勘察</w:t>
      </w:r>
      <w:r>
        <w:rPr>
          <w:rFonts w:ascii="宋体" w:hAnsi="宋体"/>
          <w:kern w:val="0"/>
          <w:szCs w:val="21"/>
          <w:highlight w:val="none"/>
        </w:rPr>
        <w:t>错误</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（1）经专家评审时，发现</w:t>
      </w:r>
      <w:r>
        <w:rPr>
          <w:rFonts w:hint="eastAsia" w:ascii="宋体" w:hAnsi="宋体"/>
          <w:kern w:val="0"/>
          <w:szCs w:val="21"/>
          <w:highlight w:val="none"/>
        </w:rPr>
        <w:t>勘察</w:t>
      </w:r>
      <w:r>
        <w:rPr>
          <w:rFonts w:ascii="宋体" w:hAnsi="宋体"/>
          <w:kern w:val="0"/>
          <w:szCs w:val="21"/>
          <w:highlight w:val="none"/>
        </w:rPr>
        <w:t>有存在明显不合理或存在较大缺漏项及错误，导致送审的</w:t>
      </w:r>
      <w:r>
        <w:rPr>
          <w:rFonts w:hint="eastAsia" w:ascii="宋体" w:hAnsi="宋体"/>
          <w:kern w:val="0"/>
          <w:szCs w:val="21"/>
          <w:highlight w:val="none"/>
        </w:rPr>
        <w:t>勘察</w:t>
      </w:r>
      <w:r>
        <w:rPr>
          <w:rFonts w:ascii="宋体" w:hAnsi="宋体"/>
          <w:kern w:val="0"/>
          <w:szCs w:val="21"/>
          <w:highlight w:val="none"/>
        </w:rPr>
        <w:t>报告调整较大，</w:t>
      </w:r>
      <w:r>
        <w:rPr>
          <w:rFonts w:hint="eastAsia" w:ascii="宋体" w:hAnsi="宋体"/>
          <w:kern w:val="0"/>
          <w:szCs w:val="21"/>
          <w:highlight w:val="none"/>
        </w:rPr>
        <w:t>勘察</w:t>
      </w:r>
      <w:r>
        <w:rPr>
          <w:rFonts w:ascii="宋体" w:hAnsi="宋体"/>
          <w:kern w:val="0"/>
          <w:szCs w:val="21"/>
          <w:highlight w:val="none"/>
        </w:rPr>
        <w:t>人负责补充或修改，最终概算调整超过上报概算5%的，且视情节轻重扣除该阶段</w:t>
      </w:r>
      <w:r>
        <w:rPr>
          <w:rFonts w:ascii="宋体" w:hAnsi="宋体"/>
          <w:kern w:val="0"/>
          <w:szCs w:val="21"/>
          <w:highlight w:val="none"/>
          <w:u w:val="single"/>
        </w:rPr>
        <w:t xml:space="preserve"> </w:t>
      </w:r>
      <w:r>
        <w:rPr>
          <w:rFonts w:hint="eastAsia" w:ascii="宋体" w:hAnsi="宋体"/>
          <w:kern w:val="0"/>
          <w:szCs w:val="21"/>
          <w:highlight w:val="none"/>
          <w:u w:val="single"/>
          <w:lang w:val="en-US" w:eastAsia="zh-CN"/>
        </w:rPr>
        <w:t xml:space="preserve">   </w:t>
      </w:r>
      <w:r>
        <w:rPr>
          <w:rFonts w:ascii="宋体" w:hAnsi="宋体"/>
          <w:kern w:val="0"/>
          <w:szCs w:val="21"/>
          <w:highlight w:val="none"/>
          <w:u w:val="single"/>
        </w:rPr>
        <w:t xml:space="preserve"> %</w:t>
      </w:r>
      <w:r>
        <w:rPr>
          <w:rFonts w:ascii="宋体" w:hAnsi="宋体"/>
          <w:kern w:val="0"/>
          <w:szCs w:val="21"/>
          <w:highlight w:val="none"/>
        </w:rPr>
        <w:t>（</w:t>
      </w:r>
      <w:r>
        <w:rPr>
          <w:rFonts w:hint="eastAsia" w:ascii="宋体" w:hAnsi="宋体"/>
          <w:kern w:val="0"/>
          <w:szCs w:val="21"/>
          <w:highlight w:val="none"/>
          <w:u w:val="none"/>
          <w:lang w:val="en-US" w:eastAsia="zh-CN"/>
        </w:rPr>
        <w:t>不超过签约合同价的</w:t>
      </w:r>
      <w:r>
        <w:rPr>
          <w:rFonts w:ascii="宋体" w:hAnsi="宋体"/>
          <w:kern w:val="0"/>
          <w:szCs w:val="21"/>
          <w:highlight w:val="none"/>
          <w:u w:val="none"/>
        </w:rPr>
        <w:t>30 %</w:t>
      </w:r>
      <w:r>
        <w:rPr>
          <w:rFonts w:ascii="宋体" w:hAnsi="宋体"/>
          <w:kern w:val="0"/>
          <w:szCs w:val="21"/>
          <w:highlight w:val="none"/>
        </w:rPr>
        <w:t>）的</w:t>
      </w:r>
      <w:r>
        <w:rPr>
          <w:rFonts w:hint="eastAsia" w:ascii="宋体" w:hAnsi="宋体"/>
          <w:kern w:val="0"/>
          <w:szCs w:val="21"/>
          <w:highlight w:val="none"/>
        </w:rPr>
        <w:t>勘察</w:t>
      </w:r>
      <w:r>
        <w:rPr>
          <w:rFonts w:ascii="宋体" w:hAnsi="宋体"/>
          <w:kern w:val="0"/>
          <w:szCs w:val="21"/>
          <w:highlight w:val="none"/>
        </w:rPr>
        <w:t>费，并记入履约不良行为记录。</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（2）对审核通过的施工图纸进行定期抽查，发现仍有设计明显不合理或缺漏项及错误的，</w:t>
      </w:r>
      <w:r>
        <w:rPr>
          <w:rFonts w:hint="eastAsia" w:ascii="宋体" w:hAnsi="宋体"/>
          <w:kern w:val="0"/>
          <w:szCs w:val="21"/>
          <w:highlight w:val="none"/>
        </w:rPr>
        <w:t>勘察人</w:t>
      </w:r>
      <w:r>
        <w:rPr>
          <w:rFonts w:ascii="宋体" w:hAnsi="宋体"/>
          <w:kern w:val="0"/>
          <w:szCs w:val="21"/>
          <w:highlight w:val="none"/>
        </w:rPr>
        <w:t>负责补充或修改。同时，每发现一次，</w:t>
      </w:r>
      <w:r>
        <w:rPr>
          <w:rFonts w:hint="eastAsia" w:ascii="宋体" w:hAnsi="宋体"/>
          <w:kern w:val="0"/>
          <w:szCs w:val="21"/>
          <w:highlight w:val="none"/>
        </w:rPr>
        <w:t>勘察人</w:t>
      </w:r>
      <w:r>
        <w:rPr>
          <w:rFonts w:ascii="宋体" w:hAnsi="宋体"/>
          <w:kern w:val="0"/>
          <w:szCs w:val="21"/>
          <w:highlight w:val="none"/>
        </w:rPr>
        <w:t>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的0.5%)。</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（3）未经业主同意，</w:t>
      </w:r>
      <w:r>
        <w:rPr>
          <w:rFonts w:hint="eastAsia" w:ascii="宋体" w:hAnsi="宋体"/>
          <w:kern w:val="0"/>
          <w:szCs w:val="21"/>
          <w:highlight w:val="none"/>
        </w:rPr>
        <w:t>勘察</w:t>
      </w:r>
      <w:r>
        <w:rPr>
          <w:rFonts w:ascii="宋体" w:hAnsi="宋体"/>
          <w:kern w:val="0"/>
          <w:szCs w:val="21"/>
          <w:highlight w:val="none"/>
        </w:rPr>
        <w:t>人私下调整</w:t>
      </w:r>
      <w:r>
        <w:rPr>
          <w:rFonts w:hint="eastAsia" w:ascii="宋体" w:hAnsi="宋体"/>
          <w:kern w:val="0"/>
          <w:szCs w:val="21"/>
          <w:highlight w:val="none"/>
        </w:rPr>
        <w:t>勘察</w:t>
      </w:r>
      <w:r>
        <w:rPr>
          <w:rFonts w:ascii="宋体" w:hAnsi="宋体"/>
          <w:kern w:val="0"/>
          <w:szCs w:val="21"/>
          <w:highlight w:val="none"/>
        </w:rPr>
        <w:t>报告的，应向发包人支付违约金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的1%)，并接受主管部门的处理；情节严重的，发包人有权解除或终止合同。</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（4）工程施工阶段，发现</w:t>
      </w:r>
      <w:r>
        <w:rPr>
          <w:rFonts w:hint="eastAsia" w:ascii="宋体" w:hAnsi="宋体"/>
          <w:kern w:val="0"/>
          <w:szCs w:val="21"/>
          <w:highlight w:val="none"/>
        </w:rPr>
        <w:t>勘察</w:t>
      </w:r>
      <w:r>
        <w:rPr>
          <w:rFonts w:ascii="宋体" w:hAnsi="宋体"/>
          <w:kern w:val="0"/>
          <w:szCs w:val="21"/>
          <w:highlight w:val="none"/>
        </w:rPr>
        <w:t>人的</w:t>
      </w:r>
      <w:r>
        <w:rPr>
          <w:rFonts w:hint="eastAsia" w:ascii="宋体" w:hAnsi="宋体"/>
          <w:kern w:val="0"/>
          <w:szCs w:val="21"/>
          <w:highlight w:val="none"/>
        </w:rPr>
        <w:t>勘察成果</w:t>
      </w:r>
      <w:r>
        <w:rPr>
          <w:rFonts w:ascii="宋体" w:hAnsi="宋体"/>
          <w:kern w:val="0"/>
          <w:szCs w:val="21"/>
          <w:highlight w:val="none"/>
        </w:rPr>
        <w:t>文件有缺漏项或</w:t>
      </w:r>
      <w:r>
        <w:rPr>
          <w:rFonts w:hint="eastAsia" w:ascii="宋体" w:hAnsi="宋体"/>
          <w:kern w:val="0"/>
          <w:szCs w:val="21"/>
          <w:highlight w:val="none"/>
        </w:rPr>
        <w:t>勘察</w:t>
      </w:r>
      <w:r>
        <w:rPr>
          <w:rFonts w:ascii="宋体" w:hAnsi="宋体"/>
          <w:kern w:val="0"/>
          <w:szCs w:val="21"/>
          <w:highlight w:val="none"/>
        </w:rPr>
        <w:t>错误的，</w:t>
      </w:r>
      <w:r>
        <w:rPr>
          <w:rFonts w:hint="eastAsia" w:ascii="宋体" w:hAnsi="宋体"/>
          <w:kern w:val="0"/>
          <w:szCs w:val="21"/>
          <w:highlight w:val="none"/>
        </w:rPr>
        <w:t>勘察</w:t>
      </w:r>
      <w:r>
        <w:rPr>
          <w:rFonts w:ascii="宋体" w:hAnsi="宋体"/>
          <w:kern w:val="0"/>
          <w:szCs w:val="21"/>
          <w:highlight w:val="none"/>
        </w:rPr>
        <w:t>人除负责补充或修改外，还应视情节严重程度，并接受违约处理：</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①</w:t>
      </w:r>
      <w:r>
        <w:rPr>
          <w:rFonts w:hint="eastAsia" w:ascii="宋体" w:hAnsi="宋体"/>
          <w:kern w:val="0"/>
          <w:szCs w:val="21"/>
          <w:highlight w:val="none"/>
        </w:rPr>
        <w:t>勘察成果</w:t>
      </w:r>
      <w:r>
        <w:rPr>
          <w:rFonts w:ascii="宋体" w:hAnsi="宋体"/>
          <w:kern w:val="0"/>
          <w:szCs w:val="21"/>
          <w:highlight w:val="none"/>
        </w:rPr>
        <w:t>文件本身存在漏项、缺项、错误而产生设计变更，</w:t>
      </w:r>
      <w:r>
        <w:rPr>
          <w:rFonts w:hint="eastAsia" w:ascii="宋体" w:hAnsi="宋体"/>
          <w:kern w:val="0"/>
          <w:szCs w:val="21"/>
          <w:highlight w:val="none"/>
        </w:rPr>
        <w:t>勘察</w:t>
      </w:r>
      <w:r>
        <w:rPr>
          <w:rFonts w:ascii="宋体" w:hAnsi="宋体"/>
          <w:kern w:val="0"/>
          <w:szCs w:val="21"/>
          <w:highlight w:val="none"/>
        </w:rPr>
        <w:t>人负责补充修改，当设计变更造成工程</w:t>
      </w:r>
      <w:r>
        <w:rPr>
          <w:rFonts w:hint="eastAsia" w:ascii="宋体" w:hAnsi="宋体"/>
          <w:kern w:val="0"/>
          <w:szCs w:val="21"/>
          <w:highlight w:val="none"/>
        </w:rPr>
        <w:t>造价</w:t>
      </w:r>
      <w:r>
        <w:rPr>
          <w:rFonts w:ascii="宋体" w:hAnsi="宋体"/>
          <w:kern w:val="0"/>
          <w:szCs w:val="21"/>
          <w:highlight w:val="none"/>
        </w:rPr>
        <w:t>累计变更超过施工合同总价5%的，</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的10%)。</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由于</w:t>
      </w:r>
      <w:r>
        <w:rPr>
          <w:rFonts w:hint="eastAsia" w:ascii="宋体" w:hAnsi="宋体"/>
          <w:kern w:val="0"/>
          <w:szCs w:val="21"/>
          <w:highlight w:val="none"/>
        </w:rPr>
        <w:t>勘察</w:t>
      </w:r>
      <w:r>
        <w:rPr>
          <w:rFonts w:ascii="宋体" w:hAnsi="宋体"/>
          <w:kern w:val="0"/>
          <w:szCs w:val="21"/>
          <w:highlight w:val="none"/>
        </w:rPr>
        <w:t>人的原因，造成工程质量事故的，</w:t>
      </w:r>
      <w:r>
        <w:rPr>
          <w:rFonts w:hint="eastAsia" w:ascii="宋体" w:hAnsi="宋体"/>
          <w:kern w:val="0"/>
          <w:szCs w:val="21"/>
          <w:highlight w:val="none"/>
        </w:rPr>
        <w:t>勘察</w:t>
      </w:r>
      <w:r>
        <w:rPr>
          <w:rFonts w:ascii="宋体" w:hAnsi="宋体"/>
          <w:kern w:val="0"/>
          <w:szCs w:val="21"/>
          <w:highlight w:val="none"/>
        </w:rPr>
        <w:t>人除向发包人支付违约金</w:t>
      </w:r>
      <w:r>
        <w:rPr>
          <w:rFonts w:ascii="宋体" w:hAnsi="宋体"/>
          <w:kern w:val="0"/>
          <w:szCs w:val="21"/>
          <w:highlight w:val="none"/>
          <w:u w:val="single"/>
        </w:rPr>
        <w:t xml:space="preserve">     </w:t>
      </w:r>
      <w:r>
        <w:rPr>
          <w:rFonts w:ascii="宋体" w:hAnsi="宋体"/>
          <w:kern w:val="0"/>
          <w:szCs w:val="21"/>
          <w:highlight w:val="none"/>
        </w:rPr>
        <w:t>元 (</w:t>
      </w:r>
      <w:r>
        <w:rPr>
          <w:rFonts w:hint="eastAsia" w:ascii="宋体" w:hAnsi="宋体"/>
          <w:kern w:val="0"/>
          <w:szCs w:val="21"/>
          <w:highlight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的50%)、采取补救措施、向发包人承担直接经济损失外，还需按照相关规定承担其他法律责任。</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14.1.</w:t>
      </w:r>
      <w:r>
        <w:rPr>
          <w:rFonts w:hint="eastAsia" w:ascii="宋体" w:hAnsi="宋体"/>
          <w:kern w:val="0"/>
          <w:szCs w:val="21"/>
          <w:highlight w:val="none"/>
        </w:rPr>
        <w:t>2</w:t>
      </w:r>
      <w:r>
        <w:rPr>
          <w:rFonts w:ascii="宋体" w:hAnsi="宋体"/>
          <w:kern w:val="0"/>
          <w:szCs w:val="21"/>
          <w:highlight w:val="none"/>
        </w:rPr>
        <w:t>.4项目服务期内，</w:t>
      </w:r>
      <w:r>
        <w:rPr>
          <w:rFonts w:hint="eastAsia" w:ascii="宋体" w:hAnsi="宋体"/>
          <w:kern w:val="0"/>
          <w:szCs w:val="21"/>
          <w:highlight w:val="none"/>
        </w:rPr>
        <w:t>勘察</w:t>
      </w:r>
      <w:r>
        <w:rPr>
          <w:rFonts w:ascii="宋体" w:hAnsi="宋体"/>
          <w:kern w:val="0"/>
          <w:szCs w:val="21"/>
          <w:highlight w:val="none"/>
        </w:rPr>
        <w:t>人未按要求提供相应服务</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w:t>
      </w:r>
      <w:r>
        <w:rPr>
          <w:rFonts w:hint="eastAsia" w:ascii="宋体" w:hAnsi="宋体"/>
          <w:kern w:val="0"/>
          <w:szCs w:val="21"/>
          <w:highlight w:val="none"/>
        </w:rPr>
        <w:t>勘察</w:t>
      </w:r>
      <w:r>
        <w:rPr>
          <w:rFonts w:ascii="宋体" w:hAnsi="宋体"/>
          <w:kern w:val="0"/>
          <w:szCs w:val="21"/>
          <w:highlight w:val="none"/>
        </w:rPr>
        <w:t>人须根据发包人要求，积极配合完成</w:t>
      </w:r>
      <w:r>
        <w:rPr>
          <w:rFonts w:hint="eastAsia" w:ascii="宋体" w:hAnsi="宋体"/>
          <w:kern w:val="0"/>
          <w:szCs w:val="21"/>
          <w:highlight w:val="none"/>
        </w:rPr>
        <w:t>勘察</w:t>
      </w:r>
      <w:r>
        <w:rPr>
          <w:rFonts w:ascii="宋体" w:hAnsi="宋体"/>
          <w:kern w:val="0"/>
          <w:szCs w:val="21"/>
          <w:highlight w:val="none"/>
        </w:rPr>
        <w:t>方案汇报及审批工作，专题会议项目负责人或专业负责人缺席参会的按照下列方式处理：</w:t>
      </w:r>
    </w:p>
    <w:p>
      <w:pPr>
        <w:widowControl/>
        <w:tabs>
          <w:tab w:val="left" w:pos="9072"/>
          <w:tab w:val="left" w:pos="9781"/>
        </w:tabs>
        <w:spacing w:line="360" w:lineRule="auto"/>
        <w:ind w:right="120" w:rightChars="57" w:firstLine="525" w:firstLineChars="250"/>
        <w:jc w:val="left"/>
        <w:rPr>
          <w:rFonts w:ascii="宋体" w:hAnsi="宋体"/>
          <w:kern w:val="0"/>
          <w:szCs w:val="21"/>
          <w:highlight w:val="none"/>
        </w:rPr>
      </w:pPr>
      <w:r>
        <w:rPr>
          <w:rFonts w:hint="eastAsia" w:ascii="宋体" w:hAnsi="宋体" w:cs="宋体"/>
          <w:kern w:val="0"/>
          <w:szCs w:val="21"/>
          <w:highlight w:val="none"/>
        </w:rPr>
        <w:t>①</w:t>
      </w:r>
      <w:r>
        <w:rPr>
          <w:rFonts w:ascii="宋体" w:hAnsi="宋体"/>
          <w:spacing w:val="-6"/>
          <w:kern w:val="0"/>
          <w:szCs w:val="21"/>
          <w:highlight w:val="none"/>
        </w:rPr>
        <w:t>第一次缺席参会的，</w:t>
      </w:r>
      <w:r>
        <w:rPr>
          <w:rFonts w:hint="eastAsia" w:ascii="宋体" w:hAnsi="宋体"/>
          <w:kern w:val="0"/>
          <w:szCs w:val="21"/>
          <w:highlight w:val="none"/>
        </w:rPr>
        <w:t>勘察</w:t>
      </w:r>
      <w:r>
        <w:rPr>
          <w:rFonts w:ascii="宋体" w:hAnsi="宋体"/>
          <w:spacing w:val="-6"/>
          <w:kern w:val="0"/>
          <w:szCs w:val="21"/>
          <w:highlight w:val="none"/>
        </w:rPr>
        <w:t>人应向发包人支付违约金</w:t>
      </w:r>
      <w:r>
        <w:rPr>
          <w:rFonts w:hint="eastAsia" w:ascii="宋体" w:hAnsi="宋体"/>
          <w:spacing w:val="-6"/>
          <w:kern w:val="0"/>
          <w:szCs w:val="21"/>
          <w:highlight w:val="none"/>
          <w:u w:val="single"/>
          <w:lang w:val="en-US" w:eastAsia="zh-CN"/>
        </w:rPr>
        <w:t xml:space="preserve">        </w:t>
      </w:r>
      <w:r>
        <w:rPr>
          <w:rFonts w:ascii="宋体" w:hAnsi="宋体"/>
          <w:spacing w:val="-6"/>
          <w:kern w:val="0"/>
          <w:szCs w:val="21"/>
          <w:highlight w:val="none"/>
        </w:rPr>
        <w:t>(</w:t>
      </w:r>
      <w:r>
        <w:rPr>
          <w:rFonts w:hint="eastAsia" w:ascii="宋体" w:hAnsi="宋体"/>
          <w:spacing w:val="-6"/>
          <w:kern w:val="0"/>
          <w:szCs w:val="21"/>
          <w:highlight w:val="none"/>
          <w:u w:val="none"/>
          <w:lang w:val="en-US" w:eastAsia="zh-CN"/>
        </w:rPr>
        <w:t>不超过</w:t>
      </w:r>
      <w:r>
        <w:rPr>
          <w:rFonts w:ascii="宋体" w:hAnsi="宋体"/>
          <w:spacing w:val="-6"/>
          <w:kern w:val="0"/>
          <w:szCs w:val="21"/>
          <w:highlight w:val="none"/>
          <w:u w:val="none"/>
        </w:rPr>
        <w:t>5000</w:t>
      </w:r>
      <w:r>
        <w:rPr>
          <w:rFonts w:ascii="宋体" w:hAnsi="宋体"/>
          <w:spacing w:val="-6"/>
          <w:kern w:val="0"/>
          <w:szCs w:val="21"/>
          <w:highlight w:val="none"/>
          <w:u w:val="single"/>
        </w:rPr>
        <w:t>)</w:t>
      </w:r>
      <w:r>
        <w:rPr>
          <w:rFonts w:ascii="宋体" w:hAnsi="宋体"/>
          <w:spacing w:val="-6"/>
          <w:kern w:val="0"/>
          <w:szCs w:val="21"/>
          <w:highlight w:val="none"/>
        </w:rPr>
        <w:t>元；</w:t>
      </w:r>
    </w:p>
    <w:p>
      <w:pPr>
        <w:widowControl/>
        <w:tabs>
          <w:tab w:val="left" w:pos="9072"/>
          <w:tab w:val="left" w:pos="9781"/>
        </w:tabs>
        <w:spacing w:line="360" w:lineRule="auto"/>
        <w:ind w:right="120" w:rightChars="57" w:firstLine="495" w:firstLineChars="250"/>
        <w:jc w:val="left"/>
        <w:rPr>
          <w:rFonts w:ascii="宋体" w:hAnsi="宋体"/>
          <w:spacing w:val="-6"/>
          <w:kern w:val="0"/>
          <w:szCs w:val="21"/>
          <w:highlight w:val="none"/>
        </w:rPr>
      </w:pPr>
      <w:r>
        <w:rPr>
          <w:rFonts w:hint="eastAsia" w:ascii="宋体" w:hAnsi="宋体" w:cs="宋体"/>
          <w:spacing w:val="-6"/>
          <w:kern w:val="0"/>
          <w:szCs w:val="21"/>
          <w:highlight w:val="none"/>
        </w:rPr>
        <w:t>②</w:t>
      </w:r>
      <w:r>
        <w:rPr>
          <w:rFonts w:ascii="宋体" w:hAnsi="宋体"/>
          <w:spacing w:val="-6"/>
          <w:kern w:val="0"/>
          <w:szCs w:val="21"/>
          <w:highlight w:val="none"/>
        </w:rPr>
        <w:t>第二次缺席参会的，</w:t>
      </w:r>
      <w:r>
        <w:rPr>
          <w:rFonts w:hint="eastAsia" w:ascii="宋体" w:hAnsi="宋体"/>
          <w:kern w:val="0"/>
          <w:szCs w:val="21"/>
          <w:highlight w:val="none"/>
        </w:rPr>
        <w:t>勘察</w:t>
      </w:r>
      <w:r>
        <w:rPr>
          <w:rFonts w:ascii="宋体" w:hAnsi="宋体"/>
          <w:spacing w:val="-6"/>
          <w:kern w:val="0"/>
          <w:szCs w:val="21"/>
          <w:highlight w:val="none"/>
        </w:rPr>
        <w:t>人应向发包人支付违约金</w:t>
      </w:r>
      <w:r>
        <w:rPr>
          <w:rFonts w:hint="eastAsia" w:ascii="宋体" w:hAnsi="宋体"/>
          <w:spacing w:val="-6"/>
          <w:kern w:val="0"/>
          <w:szCs w:val="21"/>
          <w:highlight w:val="none"/>
          <w:u w:val="single"/>
          <w:lang w:val="en-US" w:eastAsia="zh-CN"/>
        </w:rPr>
        <w:t xml:space="preserve">        </w:t>
      </w:r>
      <w:r>
        <w:rPr>
          <w:rFonts w:ascii="宋体" w:hAnsi="宋体"/>
          <w:spacing w:val="-6"/>
          <w:kern w:val="0"/>
          <w:szCs w:val="21"/>
          <w:highlight w:val="none"/>
        </w:rPr>
        <w:t>(</w:t>
      </w:r>
      <w:r>
        <w:rPr>
          <w:rFonts w:hint="eastAsia" w:ascii="宋体" w:hAnsi="宋体"/>
          <w:spacing w:val="-6"/>
          <w:kern w:val="0"/>
          <w:szCs w:val="21"/>
          <w:highlight w:val="none"/>
          <w:u w:val="none"/>
          <w:lang w:val="en-US" w:eastAsia="zh-CN"/>
        </w:rPr>
        <w:t>不超过</w:t>
      </w:r>
      <w:r>
        <w:rPr>
          <w:rFonts w:ascii="宋体" w:hAnsi="宋体"/>
          <w:spacing w:val="-6"/>
          <w:kern w:val="0"/>
          <w:szCs w:val="21"/>
          <w:highlight w:val="none"/>
          <w:u w:val="none"/>
        </w:rPr>
        <w:t>10000)</w:t>
      </w:r>
      <w:r>
        <w:rPr>
          <w:rFonts w:ascii="宋体" w:hAnsi="宋体"/>
          <w:spacing w:val="-6"/>
          <w:kern w:val="0"/>
          <w:szCs w:val="21"/>
          <w:highlight w:val="none"/>
        </w:rPr>
        <w:t>元；</w:t>
      </w:r>
    </w:p>
    <w:p>
      <w:pPr>
        <w:widowControl/>
        <w:tabs>
          <w:tab w:val="left" w:pos="9072"/>
          <w:tab w:val="left" w:pos="9781"/>
        </w:tabs>
        <w:spacing w:line="360" w:lineRule="auto"/>
        <w:ind w:right="120" w:rightChars="57" w:firstLine="525" w:firstLineChars="250"/>
        <w:jc w:val="left"/>
        <w:rPr>
          <w:rFonts w:ascii="宋体" w:hAnsi="宋体"/>
          <w:kern w:val="0"/>
          <w:szCs w:val="21"/>
          <w:highlight w:val="none"/>
        </w:rPr>
      </w:pPr>
      <w:r>
        <w:rPr>
          <w:rFonts w:hint="eastAsia" w:ascii="宋体" w:hAnsi="宋体" w:cs="宋体"/>
          <w:kern w:val="0"/>
          <w:szCs w:val="21"/>
          <w:highlight w:val="none"/>
        </w:rPr>
        <w:t>③</w:t>
      </w:r>
      <w:r>
        <w:rPr>
          <w:rFonts w:ascii="宋体" w:hAnsi="宋体"/>
          <w:kern w:val="0"/>
          <w:szCs w:val="21"/>
          <w:highlight w:val="none"/>
        </w:rPr>
        <w:t>第三次缺席参会的，</w:t>
      </w:r>
      <w:r>
        <w:rPr>
          <w:rFonts w:hint="eastAsia" w:ascii="宋体" w:hAnsi="宋体"/>
          <w:kern w:val="0"/>
          <w:szCs w:val="21"/>
          <w:highlight w:val="none"/>
        </w:rPr>
        <w:t>勘察</w:t>
      </w:r>
      <w:r>
        <w:rPr>
          <w:rFonts w:ascii="宋体" w:hAnsi="宋体"/>
          <w:kern w:val="0"/>
          <w:szCs w:val="21"/>
          <w:highlight w:val="none"/>
        </w:rPr>
        <w:t>人除按照发包人要求更换项目负责人外，还应向发包人支付违约金</w:t>
      </w:r>
      <w:r>
        <w:rPr>
          <w:rFonts w:hint="eastAsia" w:ascii="宋体" w:hAnsi="宋体"/>
          <w:spacing w:val="-6"/>
          <w:kern w:val="0"/>
          <w:szCs w:val="21"/>
          <w:highlight w:val="none"/>
          <w:u w:val="single"/>
          <w:lang w:val="en-US" w:eastAsia="zh-CN"/>
        </w:rPr>
        <w:t xml:space="preserve">        </w:t>
      </w:r>
      <w:r>
        <w:rPr>
          <w:rFonts w:ascii="宋体" w:hAnsi="宋体"/>
          <w:spacing w:val="-6"/>
          <w:kern w:val="0"/>
          <w:szCs w:val="21"/>
          <w:highlight w:val="none"/>
        </w:rPr>
        <w:t>(</w:t>
      </w:r>
      <w:r>
        <w:rPr>
          <w:rFonts w:hint="eastAsia" w:ascii="宋体" w:hAnsi="宋体"/>
          <w:spacing w:val="-6"/>
          <w:kern w:val="0"/>
          <w:szCs w:val="21"/>
          <w:highlight w:val="none"/>
          <w:u w:val="none"/>
          <w:lang w:val="en-US" w:eastAsia="zh-CN"/>
        </w:rPr>
        <w:t>不超过</w:t>
      </w:r>
      <w:r>
        <w:rPr>
          <w:rFonts w:ascii="宋体" w:hAnsi="宋体"/>
          <w:kern w:val="0"/>
          <w:szCs w:val="21"/>
          <w:highlight w:val="none"/>
          <w:u w:val="none"/>
        </w:rPr>
        <w:t>20000)</w:t>
      </w:r>
      <w:r>
        <w:rPr>
          <w:rFonts w:ascii="宋体" w:hAnsi="宋体"/>
          <w:kern w:val="0"/>
          <w:szCs w:val="21"/>
          <w:highlight w:val="none"/>
        </w:rPr>
        <w:t>元（发包人可采取递增比例的方式确定）。</w:t>
      </w:r>
    </w:p>
    <w:p>
      <w:pPr>
        <w:widowControl/>
        <w:tabs>
          <w:tab w:val="left" w:pos="9072"/>
          <w:tab w:val="left" w:pos="9781"/>
        </w:tabs>
        <w:spacing w:line="360" w:lineRule="auto"/>
        <w:ind w:right="120" w:rightChars="57" w:firstLine="525" w:firstLineChars="250"/>
        <w:jc w:val="left"/>
        <w:rPr>
          <w:rFonts w:ascii="宋体" w:hAnsi="宋体"/>
          <w:kern w:val="0"/>
          <w:szCs w:val="21"/>
          <w:highlight w:val="none"/>
        </w:rPr>
      </w:pPr>
      <w:r>
        <w:rPr>
          <w:rFonts w:ascii="宋体" w:hAnsi="宋体"/>
          <w:kern w:val="0"/>
          <w:szCs w:val="21"/>
          <w:highlight w:val="none"/>
        </w:rPr>
        <w:t>（2）施工服务期内，</w:t>
      </w:r>
      <w:r>
        <w:rPr>
          <w:rFonts w:hint="eastAsia" w:ascii="宋体" w:hAnsi="宋体"/>
          <w:kern w:val="0"/>
          <w:szCs w:val="21"/>
          <w:highlight w:val="none"/>
        </w:rPr>
        <w:t>勘察</w:t>
      </w:r>
      <w:r>
        <w:rPr>
          <w:rFonts w:ascii="宋体" w:hAnsi="宋体"/>
          <w:kern w:val="0"/>
          <w:szCs w:val="21"/>
          <w:highlight w:val="none"/>
        </w:rPr>
        <w:t>人指定的现场</w:t>
      </w:r>
      <w:r>
        <w:rPr>
          <w:rFonts w:hint="eastAsia" w:ascii="宋体" w:hAnsi="宋体"/>
          <w:kern w:val="0"/>
          <w:szCs w:val="21"/>
          <w:highlight w:val="none"/>
        </w:rPr>
        <w:t>勘察</w:t>
      </w:r>
      <w:r>
        <w:rPr>
          <w:rFonts w:ascii="宋体" w:hAnsi="宋体"/>
          <w:kern w:val="0"/>
          <w:szCs w:val="21"/>
          <w:highlight w:val="none"/>
        </w:rPr>
        <w:t>服务人员达不到现场工作要求的，应在（</w:t>
      </w:r>
      <w:r>
        <w:rPr>
          <w:rFonts w:ascii="宋体" w:hAnsi="宋体"/>
          <w:kern w:val="0"/>
          <w:szCs w:val="21"/>
          <w:highlight w:val="none"/>
          <w:u w:val="single"/>
        </w:rPr>
        <w:t>4~24）</w:t>
      </w:r>
      <w:r>
        <w:rPr>
          <w:rFonts w:ascii="宋体" w:hAnsi="宋体"/>
          <w:kern w:val="0"/>
          <w:szCs w:val="21"/>
          <w:highlight w:val="none"/>
        </w:rPr>
        <w:t>小时内另行指派能解决问题的现场</w:t>
      </w:r>
      <w:r>
        <w:rPr>
          <w:rFonts w:hint="eastAsia" w:ascii="宋体" w:hAnsi="宋体"/>
          <w:kern w:val="0"/>
          <w:szCs w:val="21"/>
          <w:highlight w:val="none"/>
        </w:rPr>
        <w:t>勘察</w:t>
      </w:r>
      <w:r>
        <w:rPr>
          <w:rFonts w:ascii="宋体" w:hAnsi="宋体"/>
          <w:kern w:val="0"/>
          <w:szCs w:val="21"/>
          <w:highlight w:val="none"/>
        </w:rPr>
        <w:t>服务人员到达现场，并向发包人支付违约金</w:t>
      </w:r>
      <w:r>
        <w:rPr>
          <w:rFonts w:hint="eastAsia" w:ascii="宋体" w:hAnsi="宋体"/>
          <w:spacing w:val="-6"/>
          <w:kern w:val="0"/>
          <w:szCs w:val="21"/>
          <w:highlight w:val="none"/>
          <w:u w:val="single"/>
          <w:lang w:val="en-US" w:eastAsia="zh-CN"/>
        </w:rPr>
        <w:t xml:space="preserve">        </w:t>
      </w:r>
      <w:r>
        <w:rPr>
          <w:rFonts w:ascii="宋体" w:hAnsi="宋体"/>
          <w:spacing w:val="-6"/>
          <w:kern w:val="0"/>
          <w:szCs w:val="21"/>
          <w:highlight w:val="none"/>
        </w:rPr>
        <w:t>(</w:t>
      </w:r>
      <w:r>
        <w:rPr>
          <w:rFonts w:hint="eastAsia" w:ascii="宋体" w:hAnsi="宋体"/>
          <w:spacing w:val="-6"/>
          <w:kern w:val="0"/>
          <w:szCs w:val="21"/>
          <w:highlight w:val="none"/>
          <w:u w:val="none"/>
          <w:lang w:val="en-US" w:eastAsia="zh-CN"/>
        </w:rPr>
        <w:t>不超过</w:t>
      </w:r>
      <w:r>
        <w:rPr>
          <w:rFonts w:ascii="宋体" w:hAnsi="宋体"/>
          <w:kern w:val="0"/>
          <w:szCs w:val="21"/>
          <w:highlight w:val="none"/>
          <w:u w:val="none"/>
        </w:rPr>
        <w:t>5000)</w:t>
      </w:r>
      <w:r>
        <w:rPr>
          <w:rFonts w:ascii="宋体" w:hAnsi="宋体"/>
          <w:kern w:val="0"/>
          <w:szCs w:val="21"/>
          <w:highlight w:val="none"/>
        </w:rPr>
        <w:t>元。</w:t>
      </w:r>
    </w:p>
    <w:p>
      <w:pPr>
        <w:widowControl/>
        <w:tabs>
          <w:tab w:val="left" w:pos="9072"/>
          <w:tab w:val="left" w:pos="9781"/>
        </w:tabs>
        <w:spacing w:line="360" w:lineRule="auto"/>
        <w:ind w:right="120" w:rightChars="57" w:firstLine="525" w:firstLineChars="250"/>
        <w:jc w:val="left"/>
        <w:rPr>
          <w:rFonts w:ascii="宋体" w:hAnsi="宋体"/>
          <w:kern w:val="0"/>
          <w:szCs w:val="21"/>
          <w:highlight w:val="none"/>
        </w:rPr>
      </w:pPr>
      <w:r>
        <w:rPr>
          <w:rFonts w:ascii="宋体" w:hAnsi="宋体"/>
          <w:kern w:val="0"/>
          <w:szCs w:val="21"/>
          <w:highlight w:val="none"/>
        </w:rPr>
        <w:t>（3）项目负责人在施工关键节点和出现关键性技术问题时，应及时赶到现场。否则，视为</w:t>
      </w:r>
      <w:r>
        <w:rPr>
          <w:rFonts w:hint="eastAsia" w:ascii="宋体" w:hAnsi="宋体"/>
          <w:kern w:val="0"/>
          <w:szCs w:val="21"/>
          <w:highlight w:val="none"/>
        </w:rPr>
        <w:t>勘察</w:t>
      </w:r>
      <w:r>
        <w:rPr>
          <w:rFonts w:ascii="宋体" w:hAnsi="宋体"/>
          <w:kern w:val="0"/>
          <w:szCs w:val="21"/>
          <w:highlight w:val="none"/>
        </w:rPr>
        <w:t>人违约，每发生一次</w:t>
      </w:r>
      <w:r>
        <w:rPr>
          <w:rFonts w:hint="eastAsia" w:ascii="宋体" w:hAnsi="宋体"/>
          <w:kern w:val="0"/>
          <w:szCs w:val="21"/>
          <w:highlight w:val="none"/>
        </w:rPr>
        <w:t>勘察</w:t>
      </w:r>
      <w:r>
        <w:rPr>
          <w:rFonts w:ascii="宋体" w:hAnsi="宋体"/>
          <w:kern w:val="0"/>
          <w:szCs w:val="21"/>
          <w:highlight w:val="none"/>
        </w:rPr>
        <w:t>人向发包人支付违约金</w:t>
      </w:r>
      <w:r>
        <w:rPr>
          <w:rFonts w:hint="eastAsia" w:ascii="宋体" w:hAnsi="宋体"/>
          <w:spacing w:val="-6"/>
          <w:kern w:val="0"/>
          <w:szCs w:val="21"/>
          <w:highlight w:val="none"/>
          <w:u w:val="single"/>
          <w:lang w:val="en-US" w:eastAsia="zh-CN"/>
        </w:rPr>
        <w:t xml:space="preserve">        </w:t>
      </w:r>
      <w:r>
        <w:rPr>
          <w:rFonts w:ascii="宋体" w:hAnsi="宋体"/>
          <w:spacing w:val="-6"/>
          <w:kern w:val="0"/>
          <w:szCs w:val="21"/>
          <w:highlight w:val="none"/>
        </w:rPr>
        <w:t>(</w:t>
      </w:r>
      <w:r>
        <w:rPr>
          <w:rFonts w:hint="eastAsia" w:ascii="宋体" w:hAnsi="宋体"/>
          <w:spacing w:val="-6"/>
          <w:kern w:val="0"/>
          <w:szCs w:val="21"/>
          <w:highlight w:val="none"/>
          <w:u w:val="none"/>
          <w:lang w:val="en-US" w:eastAsia="zh-CN"/>
        </w:rPr>
        <w:t>不超过</w:t>
      </w:r>
      <w:r>
        <w:rPr>
          <w:rFonts w:ascii="宋体" w:hAnsi="宋体"/>
          <w:kern w:val="0"/>
          <w:szCs w:val="21"/>
          <w:highlight w:val="none"/>
          <w:u w:val="none"/>
        </w:rPr>
        <w:t>10000)</w:t>
      </w:r>
      <w:r>
        <w:rPr>
          <w:rFonts w:ascii="宋体" w:hAnsi="宋体"/>
          <w:kern w:val="0"/>
          <w:szCs w:val="21"/>
          <w:highlight w:val="none"/>
        </w:rPr>
        <w:t>元。</w:t>
      </w:r>
    </w:p>
    <w:p>
      <w:pPr>
        <w:widowControl/>
        <w:tabs>
          <w:tab w:val="left" w:pos="9072"/>
          <w:tab w:val="left" w:pos="9781"/>
        </w:tabs>
        <w:spacing w:line="360" w:lineRule="auto"/>
        <w:ind w:right="120" w:rightChars="57" w:firstLine="525" w:firstLineChars="250"/>
        <w:jc w:val="left"/>
        <w:rPr>
          <w:rFonts w:ascii="宋体" w:hAnsi="宋体"/>
          <w:kern w:val="0"/>
          <w:szCs w:val="21"/>
          <w:highlight w:val="none"/>
        </w:rPr>
      </w:pPr>
      <w:r>
        <w:rPr>
          <w:rFonts w:ascii="宋体" w:hAnsi="宋体"/>
          <w:kern w:val="0"/>
          <w:szCs w:val="21"/>
          <w:highlight w:val="none"/>
        </w:rPr>
        <w:t>（4）</w:t>
      </w:r>
      <w:r>
        <w:rPr>
          <w:rFonts w:hint="eastAsia" w:ascii="宋体" w:hAnsi="宋体"/>
          <w:kern w:val="0"/>
          <w:szCs w:val="21"/>
          <w:highlight w:val="none"/>
        </w:rPr>
        <w:t>勘察</w:t>
      </w:r>
      <w:r>
        <w:rPr>
          <w:rFonts w:ascii="宋体" w:hAnsi="宋体"/>
          <w:kern w:val="0"/>
          <w:szCs w:val="21"/>
          <w:highlight w:val="none"/>
        </w:rPr>
        <w:t>人现场勘查、交底、验收缺位的，应向发包人承担下述违约责任：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①</w:t>
      </w:r>
      <w:r>
        <w:rPr>
          <w:rFonts w:ascii="宋体" w:hAnsi="宋体"/>
          <w:kern w:val="0"/>
          <w:szCs w:val="21"/>
          <w:highlight w:val="none"/>
        </w:rPr>
        <w:t>第一次不到位，</w:t>
      </w:r>
      <w:r>
        <w:rPr>
          <w:rFonts w:hint="eastAsia" w:ascii="宋体" w:hAnsi="宋体"/>
          <w:kern w:val="0"/>
          <w:szCs w:val="21"/>
          <w:highlight w:val="none"/>
        </w:rPr>
        <w:t>勘察</w:t>
      </w:r>
      <w:r>
        <w:rPr>
          <w:rFonts w:ascii="宋体" w:hAnsi="宋体"/>
          <w:kern w:val="0"/>
          <w:szCs w:val="21"/>
          <w:highlight w:val="none"/>
        </w:rPr>
        <w:t>人向发包人支付违约金</w:t>
      </w:r>
      <w:r>
        <w:rPr>
          <w:rFonts w:hint="eastAsia" w:ascii="宋体" w:hAnsi="宋体"/>
          <w:spacing w:val="-6"/>
          <w:kern w:val="0"/>
          <w:szCs w:val="21"/>
          <w:highlight w:val="none"/>
          <w:u w:val="single"/>
          <w:lang w:val="en-US" w:eastAsia="zh-CN"/>
        </w:rPr>
        <w:t xml:space="preserve">        </w:t>
      </w:r>
      <w:r>
        <w:rPr>
          <w:rFonts w:ascii="宋体" w:hAnsi="宋体"/>
          <w:spacing w:val="-6"/>
          <w:kern w:val="0"/>
          <w:szCs w:val="21"/>
          <w:highlight w:val="none"/>
        </w:rPr>
        <w:t>(</w:t>
      </w:r>
      <w:r>
        <w:rPr>
          <w:rFonts w:hint="eastAsia" w:ascii="宋体" w:hAnsi="宋体"/>
          <w:spacing w:val="-6"/>
          <w:kern w:val="0"/>
          <w:szCs w:val="21"/>
          <w:highlight w:val="none"/>
          <w:u w:val="none"/>
          <w:lang w:val="en-US" w:eastAsia="zh-CN"/>
        </w:rPr>
        <w:t>不超过</w:t>
      </w:r>
      <w:r>
        <w:rPr>
          <w:rFonts w:ascii="宋体" w:hAnsi="宋体"/>
          <w:kern w:val="0"/>
          <w:szCs w:val="21"/>
          <w:highlight w:val="none"/>
          <w:u w:val="none"/>
        </w:rPr>
        <w:t>10000)</w:t>
      </w:r>
      <w:r>
        <w:rPr>
          <w:rFonts w:ascii="宋体" w:hAnsi="宋体"/>
          <w:kern w:val="0"/>
          <w:szCs w:val="21"/>
          <w:highlight w:val="none"/>
        </w:rPr>
        <w:t>元。</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第二次及以上每发生一次</w:t>
      </w:r>
      <w:r>
        <w:rPr>
          <w:rFonts w:hint="eastAsia" w:ascii="宋体" w:hAnsi="宋体"/>
          <w:kern w:val="0"/>
          <w:szCs w:val="21"/>
          <w:highlight w:val="none"/>
        </w:rPr>
        <w:t>勘察</w:t>
      </w:r>
      <w:r>
        <w:rPr>
          <w:rFonts w:ascii="宋体" w:hAnsi="宋体"/>
          <w:kern w:val="0"/>
          <w:szCs w:val="21"/>
          <w:highlight w:val="none"/>
        </w:rPr>
        <w:t>人向发包人支付违约金</w:t>
      </w:r>
      <w:r>
        <w:rPr>
          <w:rFonts w:hint="eastAsia" w:ascii="宋体" w:hAnsi="宋体"/>
          <w:spacing w:val="-6"/>
          <w:kern w:val="0"/>
          <w:szCs w:val="21"/>
          <w:highlight w:val="none"/>
          <w:u w:val="single"/>
          <w:lang w:val="en-US" w:eastAsia="zh-CN"/>
        </w:rPr>
        <w:t xml:space="preserve">        </w:t>
      </w:r>
      <w:r>
        <w:rPr>
          <w:rFonts w:ascii="宋体" w:hAnsi="宋体"/>
          <w:spacing w:val="-6"/>
          <w:kern w:val="0"/>
          <w:szCs w:val="21"/>
          <w:highlight w:val="none"/>
        </w:rPr>
        <w:t>(</w:t>
      </w:r>
      <w:r>
        <w:rPr>
          <w:rFonts w:hint="eastAsia" w:ascii="宋体" w:hAnsi="宋体"/>
          <w:spacing w:val="-6"/>
          <w:kern w:val="0"/>
          <w:szCs w:val="21"/>
          <w:highlight w:val="none"/>
          <w:u w:val="none"/>
          <w:lang w:val="en-US" w:eastAsia="zh-CN"/>
        </w:rPr>
        <w:t>不超过</w:t>
      </w:r>
      <w:r>
        <w:rPr>
          <w:rFonts w:ascii="宋体" w:hAnsi="宋体"/>
          <w:kern w:val="0"/>
          <w:szCs w:val="21"/>
          <w:highlight w:val="none"/>
          <w:u w:val="none"/>
        </w:rPr>
        <w:t>20000)</w:t>
      </w:r>
      <w:r>
        <w:rPr>
          <w:rFonts w:ascii="宋体" w:hAnsi="宋体"/>
          <w:kern w:val="0"/>
          <w:szCs w:val="21"/>
          <w:highlight w:val="none"/>
        </w:rPr>
        <w:t>元。</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③</w:t>
      </w:r>
      <w:r>
        <w:rPr>
          <w:rFonts w:ascii="宋体" w:hAnsi="宋体"/>
          <w:kern w:val="0"/>
          <w:szCs w:val="21"/>
          <w:highlight w:val="none"/>
        </w:rPr>
        <w:t>连续发生三次的将书面上报主管部门进行处理。</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（5）</w:t>
      </w:r>
      <w:r>
        <w:rPr>
          <w:rFonts w:hint="eastAsia" w:ascii="宋体" w:hAnsi="宋体"/>
          <w:kern w:val="0"/>
          <w:szCs w:val="21"/>
          <w:highlight w:val="none"/>
        </w:rPr>
        <w:t>勘察</w:t>
      </w:r>
      <w:r>
        <w:rPr>
          <w:rFonts w:ascii="宋体" w:hAnsi="宋体"/>
          <w:kern w:val="0"/>
          <w:szCs w:val="21"/>
          <w:highlight w:val="none"/>
        </w:rPr>
        <w:t>人工程质量问题处理缺位的，应向发包人承担下述违约责任：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①</w:t>
      </w:r>
      <w:r>
        <w:rPr>
          <w:rFonts w:ascii="宋体" w:hAnsi="宋体"/>
          <w:kern w:val="0"/>
          <w:szCs w:val="21"/>
          <w:highlight w:val="none"/>
        </w:rPr>
        <w:t>未造成不良后果，记录在案，</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 (</w:t>
      </w:r>
      <w:r>
        <w:rPr>
          <w:rFonts w:hint="eastAsia" w:ascii="宋体" w:hAnsi="宋体"/>
          <w:spacing w:val="-6"/>
          <w:kern w:val="0"/>
          <w:szCs w:val="21"/>
          <w:highlight w:val="none"/>
          <w:u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 0.05%)。</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造成不良后果，撤换项目负责人，</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 (</w:t>
      </w:r>
      <w:r>
        <w:rPr>
          <w:rFonts w:hint="eastAsia" w:ascii="宋体" w:hAnsi="宋体"/>
          <w:spacing w:val="-6"/>
          <w:kern w:val="0"/>
          <w:szCs w:val="21"/>
          <w:highlight w:val="none"/>
          <w:u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的0.3%)。</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（6）</w:t>
      </w:r>
      <w:r>
        <w:rPr>
          <w:rFonts w:hint="eastAsia" w:ascii="宋体" w:hAnsi="宋体"/>
          <w:kern w:val="0"/>
          <w:szCs w:val="21"/>
          <w:highlight w:val="none"/>
        </w:rPr>
        <w:t>勘察</w:t>
      </w:r>
      <w:r>
        <w:rPr>
          <w:rFonts w:ascii="宋体" w:hAnsi="宋体"/>
          <w:kern w:val="0"/>
          <w:szCs w:val="21"/>
          <w:highlight w:val="none"/>
        </w:rPr>
        <w:t>人未按照规定程序修改、变更</w:t>
      </w:r>
      <w:r>
        <w:rPr>
          <w:rFonts w:hint="eastAsia" w:ascii="宋体" w:hAnsi="宋体"/>
          <w:kern w:val="0"/>
          <w:szCs w:val="21"/>
          <w:highlight w:val="none"/>
        </w:rPr>
        <w:t>勘察</w:t>
      </w:r>
      <w:r>
        <w:rPr>
          <w:rFonts w:ascii="宋体" w:hAnsi="宋体"/>
          <w:kern w:val="0"/>
          <w:szCs w:val="21"/>
          <w:highlight w:val="none"/>
        </w:rPr>
        <w:t>文件的，应向发包人承担下述违约责任：</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①</w:t>
      </w:r>
      <w:r>
        <w:rPr>
          <w:rFonts w:ascii="宋体" w:hAnsi="宋体"/>
          <w:kern w:val="0"/>
          <w:szCs w:val="21"/>
          <w:highlight w:val="none"/>
        </w:rPr>
        <w:t>未造成不良后果的，限时纠正，</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 (</w:t>
      </w:r>
      <w:r>
        <w:rPr>
          <w:rFonts w:hint="eastAsia" w:ascii="宋体" w:hAnsi="宋体"/>
          <w:spacing w:val="-6"/>
          <w:kern w:val="0"/>
          <w:szCs w:val="21"/>
          <w:highlight w:val="none"/>
          <w:u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 0.05%)。</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hint="eastAsia" w:ascii="宋体" w:hAnsi="宋体" w:cs="宋体"/>
          <w:kern w:val="0"/>
          <w:szCs w:val="21"/>
          <w:highlight w:val="none"/>
        </w:rPr>
        <w:t>②</w:t>
      </w:r>
      <w:r>
        <w:rPr>
          <w:rFonts w:ascii="宋体" w:hAnsi="宋体"/>
          <w:kern w:val="0"/>
          <w:szCs w:val="21"/>
          <w:highlight w:val="none"/>
        </w:rPr>
        <w:t>已造成不良后果的，变更不予认可，</w:t>
      </w:r>
      <w:r>
        <w:rPr>
          <w:rFonts w:hint="eastAsia" w:ascii="宋体" w:hAnsi="宋体"/>
          <w:kern w:val="0"/>
          <w:szCs w:val="21"/>
          <w:highlight w:val="none"/>
        </w:rPr>
        <w:t>勘察</w:t>
      </w:r>
      <w:r>
        <w:rPr>
          <w:rFonts w:ascii="宋体" w:hAnsi="宋体"/>
          <w:kern w:val="0"/>
          <w:szCs w:val="21"/>
          <w:highlight w:val="none"/>
        </w:rPr>
        <w:t>人向发包人支付违约金</w:t>
      </w:r>
      <w:r>
        <w:rPr>
          <w:rFonts w:ascii="宋体" w:hAnsi="宋体"/>
          <w:kern w:val="0"/>
          <w:szCs w:val="21"/>
          <w:highlight w:val="none"/>
          <w:u w:val="single"/>
        </w:rPr>
        <w:t xml:space="preserve">     </w:t>
      </w:r>
      <w:r>
        <w:rPr>
          <w:rFonts w:ascii="宋体" w:hAnsi="宋体"/>
          <w:kern w:val="0"/>
          <w:szCs w:val="21"/>
          <w:highlight w:val="none"/>
        </w:rPr>
        <w:t>元 (</w:t>
      </w:r>
      <w:r>
        <w:rPr>
          <w:rFonts w:hint="eastAsia" w:ascii="宋体" w:hAnsi="宋体"/>
          <w:spacing w:val="-6"/>
          <w:kern w:val="0"/>
          <w:szCs w:val="21"/>
          <w:highlight w:val="none"/>
          <w:u w:val="none"/>
          <w:lang w:val="en-US" w:eastAsia="zh-CN"/>
        </w:rPr>
        <w:t>不超过</w:t>
      </w:r>
      <w:r>
        <w:rPr>
          <w:rFonts w:hint="eastAsia" w:ascii="宋体" w:hAnsi="宋体"/>
          <w:kern w:val="0"/>
          <w:szCs w:val="21"/>
          <w:highlight w:val="none"/>
        </w:rPr>
        <w:t>签约合同价</w:t>
      </w:r>
      <w:r>
        <w:rPr>
          <w:rFonts w:ascii="宋体" w:hAnsi="宋体"/>
          <w:kern w:val="0"/>
          <w:szCs w:val="21"/>
          <w:highlight w:val="none"/>
        </w:rPr>
        <w:t>的0.3%)。</w:t>
      </w:r>
    </w:p>
    <w:p>
      <w:pPr>
        <w:keepNext/>
        <w:keepLines/>
        <w:spacing w:before="120" w:after="120" w:line="360" w:lineRule="auto"/>
        <w:ind w:firstLine="420" w:firstLineChars="200"/>
        <w:outlineLvl w:val="4"/>
        <w:rPr>
          <w:rFonts w:ascii="宋体" w:hAnsi="宋体"/>
          <w:bCs/>
          <w:color w:val="FF0000"/>
          <w:szCs w:val="21"/>
          <w:highlight w:val="none"/>
        </w:rPr>
      </w:pPr>
      <w:r>
        <w:rPr>
          <w:rFonts w:ascii="宋体" w:hAnsi="宋体"/>
          <w:bCs/>
          <w:color w:val="FF0000"/>
          <w:szCs w:val="21"/>
          <w:highlight w:val="none"/>
        </w:rPr>
        <w:t>14.2 发包人违约</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14.2.3发包人违约其他情形</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14.2.3.1发包人应按本合同规定的金额和日期向</w:t>
      </w:r>
      <w:r>
        <w:rPr>
          <w:rFonts w:hint="eastAsia" w:ascii="宋体" w:hAnsi="宋体"/>
          <w:kern w:val="0"/>
          <w:szCs w:val="21"/>
          <w:highlight w:val="none"/>
        </w:rPr>
        <w:t>勘察</w:t>
      </w:r>
      <w:r>
        <w:rPr>
          <w:rFonts w:ascii="宋体" w:hAnsi="宋体"/>
          <w:kern w:val="0"/>
          <w:szCs w:val="21"/>
          <w:highlight w:val="none"/>
        </w:rPr>
        <w:t>人支付</w:t>
      </w:r>
      <w:r>
        <w:rPr>
          <w:rFonts w:hint="eastAsia" w:ascii="宋体" w:hAnsi="宋体"/>
          <w:kern w:val="0"/>
          <w:szCs w:val="21"/>
          <w:highlight w:val="none"/>
        </w:rPr>
        <w:t>勘察</w:t>
      </w:r>
      <w:r>
        <w:rPr>
          <w:rFonts w:ascii="宋体" w:hAnsi="宋体"/>
          <w:kern w:val="0"/>
          <w:szCs w:val="21"/>
          <w:highlight w:val="none"/>
        </w:rPr>
        <w:t>费，每逾期支付</w:t>
      </w:r>
      <w:r>
        <w:rPr>
          <w:rFonts w:ascii="宋体" w:hAnsi="宋体"/>
          <w:kern w:val="0"/>
          <w:szCs w:val="21"/>
          <w:highlight w:val="none"/>
          <w:u w:val="single"/>
        </w:rPr>
        <w:t>1</w:t>
      </w:r>
      <w:r>
        <w:rPr>
          <w:rFonts w:ascii="宋体" w:hAnsi="宋体"/>
          <w:kern w:val="0"/>
          <w:szCs w:val="21"/>
          <w:highlight w:val="none"/>
        </w:rPr>
        <w:t>天，应按照当期应付金额的</w:t>
      </w:r>
      <w:r>
        <w:rPr>
          <w:rFonts w:hint="eastAsia" w:ascii="宋体" w:hAnsi="宋体"/>
          <w:color w:val="auto"/>
          <w:kern w:val="0"/>
          <w:szCs w:val="21"/>
          <w:highlight w:val="none"/>
          <w:u w:val="single"/>
          <w:lang w:val="en-US" w:eastAsia="zh-CN"/>
        </w:rPr>
        <w:t xml:space="preserve">      </w:t>
      </w:r>
      <w:r>
        <w:rPr>
          <w:rFonts w:hint="eastAsia" w:ascii="宋体" w:hAnsi="宋体"/>
          <w:color w:val="auto"/>
          <w:kern w:val="0"/>
          <w:szCs w:val="21"/>
          <w:highlight w:val="none"/>
        </w:rPr>
        <w:t>（</w:t>
      </w:r>
      <w:r>
        <w:rPr>
          <w:rFonts w:hint="eastAsia" w:ascii="宋体" w:hAnsi="宋体"/>
          <w:color w:val="auto"/>
          <w:kern w:val="0"/>
          <w:szCs w:val="21"/>
          <w:highlight w:val="none"/>
          <w:u w:val="none"/>
          <w:lang w:val="en-US" w:eastAsia="zh-CN"/>
        </w:rPr>
        <w:t>不超过当期应付金额的</w:t>
      </w:r>
      <w:r>
        <w:rPr>
          <w:rFonts w:ascii="宋体" w:hAnsi="宋体"/>
          <w:kern w:val="0"/>
          <w:szCs w:val="21"/>
          <w:highlight w:val="none"/>
          <w:u w:val="none"/>
        </w:rPr>
        <w:t>0.2%）</w:t>
      </w:r>
      <w:r>
        <w:rPr>
          <w:rFonts w:ascii="宋体" w:hAnsi="宋体"/>
          <w:kern w:val="0"/>
          <w:szCs w:val="21"/>
          <w:highlight w:val="none"/>
        </w:rPr>
        <w:t>向</w:t>
      </w:r>
      <w:r>
        <w:rPr>
          <w:rFonts w:hint="eastAsia" w:ascii="宋体" w:hAnsi="宋体"/>
          <w:kern w:val="0"/>
          <w:szCs w:val="21"/>
          <w:highlight w:val="none"/>
        </w:rPr>
        <w:t>勘察</w:t>
      </w:r>
      <w:r>
        <w:rPr>
          <w:rFonts w:ascii="宋体" w:hAnsi="宋体"/>
          <w:kern w:val="0"/>
          <w:szCs w:val="21"/>
          <w:highlight w:val="none"/>
        </w:rPr>
        <w:t>人支付违约金，且</w:t>
      </w:r>
      <w:r>
        <w:rPr>
          <w:rFonts w:hint="eastAsia" w:ascii="宋体" w:hAnsi="宋体"/>
          <w:kern w:val="0"/>
          <w:szCs w:val="21"/>
          <w:highlight w:val="none"/>
        </w:rPr>
        <w:t>勘察</w:t>
      </w:r>
      <w:r>
        <w:rPr>
          <w:rFonts w:ascii="宋体" w:hAnsi="宋体"/>
          <w:kern w:val="0"/>
          <w:szCs w:val="21"/>
          <w:highlight w:val="none"/>
        </w:rPr>
        <w:t>人提交</w:t>
      </w:r>
      <w:r>
        <w:rPr>
          <w:rFonts w:hint="eastAsia" w:ascii="宋体" w:hAnsi="宋体"/>
          <w:kern w:val="0"/>
          <w:szCs w:val="21"/>
          <w:highlight w:val="none"/>
        </w:rPr>
        <w:t>勘察</w:t>
      </w:r>
      <w:r>
        <w:rPr>
          <w:rFonts w:ascii="宋体" w:hAnsi="宋体"/>
          <w:kern w:val="0"/>
          <w:szCs w:val="21"/>
          <w:highlight w:val="none"/>
        </w:rPr>
        <w:t>文件的时间顺延。逾期超过</w:t>
      </w:r>
      <w:r>
        <w:rPr>
          <w:rFonts w:ascii="宋体" w:hAnsi="宋体"/>
          <w:kern w:val="0"/>
          <w:szCs w:val="21"/>
          <w:highlight w:val="none"/>
          <w:u w:val="single"/>
        </w:rPr>
        <w:t>28天</w:t>
      </w:r>
      <w:r>
        <w:rPr>
          <w:rFonts w:ascii="宋体" w:hAnsi="宋体"/>
          <w:b/>
          <w:kern w:val="0"/>
          <w:szCs w:val="21"/>
          <w:highlight w:val="none"/>
          <w:u w:val="single"/>
        </w:rPr>
        <w:t xml:space="preserve"> </w:t>
      </w:r>
      <w:r>
        <w:rPr>
          <w:rFonts w:ascii="宋体" w:hAnsi="宋体"/>
          <w:kern w:val="0"/>
          <w:szCs w:val="21"/>
          <w:highlight w:val="none"/>
        </w:rPr>
        <w:t>以上时，</w:t>
      </w:r>
      <w:r>
        <w:rPr>
          <w:rFonts w:hint="eastAsia" w:ascii="宋体" w:hAnsi="宋体"/>
          <w:kern w:val="0"/>
          <w:szCs w:val="21"/>
          <w:highlight w:val="none"/>
        </w:rPr>
        <w:t>勘察</w:t>
      </w:r>
      <w:r>
        <w:rPr>
          <w:rFonts w:ascii="宋体" w:hAnsi="宋体"/>
          <w:kern w:val="0"/>
          <w:szCs w:val="21"/>
          <w:highlight w:val="none"/>
        </w:rPr>
        <w:t>人有权暂停履行下阶段工作，并书面通知发包人。</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14.2.3.2在</w:t>
      </w:r>
      <w:r>
        <w:rPr>
          <w:rFonts w:hint="eastAsia" w:ascii="宋体" w:hAnsi="宋体"/>
          <w:kern w:val="0"/>
          <w:szCs w:val="21"/>
          <w:highlight w:val="none"/>
        </w:rPr>
        <w:t>勘察</w:t>
      </w:r>
      <w:r>
        <w:rPr>
          <w:rFonts w:ascii="宋体" w:hAnsi="宋体"/>
          <w:kern w:val="0"/>
          <w:szCs w:val="21"/>
          <w:highlight w:val="none"/>
        </w:rPr>
        <w:t>人已开始</w:t>
      </w:r>
      <w:r>
        <w:rPr>
          <w:rFonts w:hint="eastAsia" w:ascii="宋体" w:hAnsi="宋体"/>
          <w:kern w:val="0"/>
          <w:szCs w:val="21"/>
          <w:highlight w:val="none"/>
        </w:rPr>
        <w:t>勘察</w:t>
      </w:r>
      <w:r>
        <w:rPr>
          <w:rFonts w:ascii="宋体" w:hAnsi="宋体"/>
          <w:kern w:val="0"/>
          <w:szCs w:val="21"/>
          <w:highlight w:val="none"/>
        </w:rPr>
        <w:t>工作，因发包人原因，导致合同不能履行的，</w:t>
      </w:r>
      <w:r>
        <w:rPr>
          <w:rFonts w:hint="eastAsia" w:ascii="宋体" w:hAnsi="宋体"/>
          <w:kern w:val="0"/>
          <w:szCs w:val="21"/>
          <w:highlight w:val="none"/>
        </w:rPr>
        <w:t>勘察</w:t>
      </w:r>
      <w:r>
        <w:rPr>
          <w:rFonts w:ascii="宋体" w:hAnsi="宋体"/>
          <w:kern w:val="0"/>
          <w:szCs w:val="21"/>
          <w:highlight w:val="none"/>
        </w:rPr>
        <w:t>人已完成的</w:t>
      </w:r>
      <w:r>
        <w:rPr>
          <w:rFonts w:hint="eastAsia" w:ascii="宋体" w:hAnsi="宋体"/>
          <w:kern w:val="0"/>
          <w:szCs w:val="21"/>
          <w:highlight w:val="none"/>
        </w:rPr>
        <w:t>勘察</w:t>
      </w:r>
      <w:r>
        <w:rPr>
          <w:rFonts w:ascii="宋体" w:hAnsi="宋体"/>
          <w:kern w:val="0"/>
          <w:szCs w:val="21"/>
          <w:highlight w:val="none"/>
        </w:rPr>
        <w:t>工作不足该阶段的一半时，发包人按该阶段</w:t>
      </w:r>
      <w:r>
        <w:rPr>
          <w:rFonts w:hint="eastAsia" w:ascii="宋体" w:hAnsi="宋体"/>
          <w:kern w:val="0"/>
          <w:szCs w:val="21"/>
          <w:highlight w:val="none"/>
        </w:rPr>
        <w:t>勘察</w:t>
      </w:r>
      <w:r>
        <w:rPr>
          <w:rFonts w:ascii="宋体" w:hAnsi="宋体"/>
          <w:kern w:val="0"/>
          <w:szCs w:val="21"/>
          <w:highlight w:val="none"/>
        </w:rPr>
        <w:t>费的一半支付；超过一半时，发包人按该阶段</w:t>
      </w:r>
      <w:r>
        <w:rPr>
          <w:rFonts w:hint="eastAsia" w:ascii="宋体" w:hAnsi="宋体"/>
          <w:kern w:val="0"/>
          <w:szCs w:val="21"/>
          <w:highlight w:val="none"/>
        </w:rPr>
        <w:t>勘察</w:t>
      </w:r>
      <w:r>
        <w:rPr>
          <w:rFonts w:ascii="宋体" w:hAnsi="宋体"/>
          <w:kern w:val="0"/>
          <w:szCs w:val="21"/>
          <w:highlight w:val="none"/>
        </w:rPr>
        <w:t>费的全部支付。</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（1）</w:t>
      </w:r>
      <w:r>
        <w:rPr>
          <w:rFonts w:ascii="宋体" w:hAnsi="宋体"/>
          <w:kern w:val="0"/>
          <w:szCs w:val="21"/>
          <w:highlight w:val="none"/>
        </w:rPr>
        <w:t>发包人需支付的</w:t>
      </w:r>
      <w:r>
        <w:rPr>
          <w:rFonts w:hint="eastAsia" w:ascii="宋体" w:hAnsi="宋体"/>
          <w:kern w:val="0"/>
          <w:szCs w:val="21"/>
          <w:highlight w:val="none"/>
        </w:rPr>
        <w:t>勘察</w:t>
      </w:r>
      <w:r>
        <w:rPr>
          <w:rFonts w:ascii="宋体" w:hAnsi="宋体"/>
          <w:kern w:val="0"/>
          <w:szCs w:val="21"/>
          <w:highlight w:val="none"/>
        </w:rPr>
        <w:t>费的计费依据按下列方式确定：（下列方式与合同方式对应选择一种）</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hint="eastAsia" w:ascii="宋体" w:hAnsi="宋体"/>
          <w:kern w:val="0"/>
          <w:szCs w:val="21"/>
          <w:highlight w:val="none"/>
        </w:rPr>
        <w:t>Ⅰ.勘察工作：</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ascii="宋体" w:hAnsi="宋体"/>
          <w:kern w:val="0"/>
          <w:szCs w:val="21"/>
          <w:highlight w:val="none"/>
        </w:rPr>
        <w:t>方式</w:t>
      </w:r>
      <w:r>
        <w:rPr>
          <w:rFonts w:hint="eastAsia" w:ascii="宋体" w:hAnsi="宋体"/>
          <w:kern w:val="0"/>
          <w:szCs w:val="21"/>
          <w:highlight w:val="none"/>
        </w:rPr>
        <w:t>一</w:t>
      </w:r>
      <w:r>
        <w:rPr>
          <w:rFonts w:ascii="宋体" w:hAnsi="宋体"/>
          <w:kern w:val="0"/>
          <w:szCs w:val="21"/>
          <w:highlight w:val="none"/>
        </w:rPr>
        <w:t>、</w:t>
      </w:r>
      <w:r>
        <w:rPr>
          <w:rFonts w:hint="eastAsia" w:ascii="宋体" w:hAnsi="宋体"/>
          <w:kern w:val="0"/>
          <w:szCs w:val="21"/>
          <w:highlight w:val="none"/>
        </w:rPr>
        <w:t>勘察费</w:t>
      </w:r>
      <w:r>
        <w:rPr>
          <w:rFonts w:ascii="宋体" w:hAnsi="宋体"/>
          <w:kern w:val="0"/>
          <w:szCs w:val="21"/>
          <w:highlight w:val="none"/>
        </w:rPr>
        <w:t>采用固定总价形式的：</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以签约合同</w:t>
      </w:r>
      <w:r>
        <w:rPr>
          <w:rFonts w:hint="eastAsia" w:ascii="宋体" w:hAnsi="宋体"/>
          <w:kern w:val="0"/>
          <w:szCs w:val="21"/>
          <w:highlight w:val="none"/>
        </w:rPr>
        <w:t>勘察费</w:t>
      </w:r>
      <w:r>
        <w:rPr>
          <w:rFonts w:ascii="宋体" w:hAnsi="宋体"/>
          <w:kern w:val="0"/>
          <w:szCs w:val="21"/>
          <w:highlight w:val="none"/>
        </w:rPr>
        <w:t>为依据。</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ascii="宋体" w:hAnsi="宋体"/>
          <w:kern w:val="0"/>
          <w:szCs w:val="21"/>
          <w:highlight w:val="none"/>
        </w:rPr>
        <w:t>方式</w:t>
      </w:r>
      <w:r>
        <w:rPr>
          <w:rFonts w:hint="eastAsia" w:ascii="宋体" w:hAnsi="宋体"/>
          <w:kern w:val="0"/>
          <w:szCs w:val="21"/>
          <w:highlight w:val="none"/>
        </w:rPr>
        <w:t>二</w:t>
      </w:r>
      <w:r>
        <w:rPr>
          <w:rFonts w:ascii="宋体" w:hAnsi="宋体"/>
          <w:kern w:val="0"/>
          <w:szCs w:val="21"/>
          <w:highlight w:val="none"/>
        </w:rPr>
        <w:t>、</w:t>
      </w:r>
      <w:r>
        <w:rPr>
          <w:rFonts w:hint="eastAsia" w:ascii="宋体" w:hAnsi="宋体"/>
          <w:kern w:val="0"/>
          <w:szCs w:val="21"/>
          <w:highlight w:val="none"/>
        </w:rPr>
        <w:t>勘察费</w:t>
      </w:r>
      <w:r>
        <w:rPr>
          <w:rFonts w:ascii="宋体" w:hAnsi="宋体"/>
          <w:kern w:val="0"/>
          <w:szCs w:val="21"/>
          <w:highlight w:val="none"/>
        </w:rPr>
        <w:t>采用固定单价形式的：</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①初步勘察</w:t>
      </w:r>
      <w:r>
        <w:rPr>
          <w:rFonts w:ascii="宋体" w:hAnsi="宋体"/>
          <w:kern w:val="0"/>
          <w:szCs w:val="21"/>
          <w:highlight w:val="none"/>
        </w:rPr>
        <w:t>阶段合同不能履行的，以</w:t>
      </w:r>
      <w:r>
        <w:rPr>
          <w:rFonts w:hint="eastAsia" w:ascii="宋体" w:hAnsi="宋体"/>
          <w:kern w:val="0"/>
          <w:szCs w:val="21"/>
          <w:highlight w:val="none"/>
        </w:rPr>
        <w:t>勘察费用清单中所列预估工作量</w:t>
      </w:r>
      <w:r>
        <w:rPr>
          <w:rFonts w:ascii="宋体" w:hAnsi="宋体"/>
          <w:kern w:val="0"/>
          <w:szCs w:val="21"/>
          <w:highlight w:val="none"/>
        </w:rPr>
        <w:t>为计费</w:t>
      </w:r>
      <w:r>
        <w:rPr>
          <w:rFonts w:hint="eastAsia" w:ascii="宋体" w:hAnsi="宋体"/>
          <w:kern w:val="0"/>
          <w:szCs w:val="21"/>
          <w:highlight w:val="none"/>
        </w:rPr>
        <w:t>依据</w:t>
      </w:r>
      <w:r>
        <w:rPr>
          <w:rFonts w:ascii="宋体" w:hAnsi="宋体"/>
          <w:kern w:val="0"/>
          <w:szCs w:val="21"/>
          <w:highlight w:val="none"/>
        </w:rPr>
        <w:t xml:space="preserve">。 </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hint="eastAsia" w:ascii="宋体" w:hAnsi="宋体" w:cs="宋体"/>
          <w:kern w:val="0"/>
          <w:szCs w:val="21"/>
          <w:highlight w:val="none"/>
        </w:rPr>
        <w:t>②</w:t>
      </w:r>
      <w:r>
        <w:rPr>
          <w:rFonts w:hint="eastAsia" w:ascii="宋体" w:hAnsi="宋体"/>
          <w:kern w:val="0"/>
          <w:szCs w:val="21"/>
          <w:highlight w:val="none"/>
        </w:rPr>
        <w:t>详细勘察</w:t>
      </w:r>
      <w:r>
        <w:rPr>
          <w:rFonts w:ascii="宋体" w:hAnsi="宋体"/>
          <w:kern w:val="0"/>
          <w:szCs w:val="21"/>
          <w:highlight w:val="none"/>
        </w:rPr>
        <w:t>阶段合同不能履行的，以</w:t>
      </w:r>
      <w:r>
        <w:rPr>
          <w:rFonts w:hint="eastAsia" w:ascii="宋体" w:hAnsi="宋体"/>
          <w:kern w:val="0"/>
          <w:szCs w:val="21"/>
          <w:highlight w:val="none"/>
        </w:rPr>
        <w:t>勘察费用清单中所列预估工作量</w:t>
      </w:r>
      <w:r>
        <w:rPr>
          <w:rFonts w:ascii="宋体" w:hAnsi="宋体"/>
          <w:kern w:val="0"/>
          <w:szCs w:val="21"/>
          <w:highlight w:val="none"/>
        </w:rPr>
        <w:t>为计费</w:t>
      </w:r>
      <w:r>
        <w:rPr>
          <w:rFonts w:hint="eastAsia" w:ascii="宋体" w:hAnsi="宋体"/>
          <w:kern w:val="0"/>
          <w:szCs w:val="21"/>
          <w:highlight w:val="none"/>
        </w:rPr>
        <w:t>依据</w:t>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hint="eastAsia" w:ascii="宋体" w:hAnsi="宋体"/>
          <w:kern w:val="0"/>
          <w:szCs w:val="21"/>
          <w:highlight w:val="none"/>
        </w:rPr>
        <w:t>方式三、勘察费采用固定费率形式的：</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hint="eastAsia" w:ascii="宋体" w:hAnsi="宋体" w:cs="宋体"/>
          <w:kern w:val="0"/>
          <w:szCs w:val="21"/>
          <w:highlight w:val="none"/>
        </w:rPr>
        <w:t>①</w:t>
      </w:r>
      <w:r>
        <w:rPr>
          <w:rFonts w:hint="eastAsia" w:ascii="宋体" w:hAnsi="宋体"/>
          <w:kern w:val="0"/>
          <w:szCs w:val="21"/>
          <w:highlight w:val="none"/>
        </w:rPr>
        <w:t>初步勘察</w:t>
      </w:r>
      <w:r>
        <w:rPr>
          <w:rFonts w:ascii="宋体" w:hAnsi="宋体"/>
          <w:kern w:val="0"/>
          <w:szCs w:val="21"/>
          <w:highlight w:val="none"/>
        </w:rPr>
        <w:t>阶段合同不能履行的，以</w:t>
      </w:r>
      <w:r>
        <w:rPr>
          <w:rFonts w:hint="eastAsia" w:ascii="宋体" w:hAnsi="宋体"/>
          <w:kern w:val="0"/>
          <w:szCs w:val="21"/>
          <w:highlight w:val="none"/>
        </w:rPr>
        <w:t>勘察费用清单中所列预估工作量</w:t>
      </w:r>
      <w:r>
        <w:rPr>
          <w:rFonts w:ascii="宋体" w:hAnsi="宋体"/>
          <w:kern w:val="0"/>
          <w:szCs w:val="21"/>
          <w:highlight w:val="none"/>
        </w:rPr>
        <w:t>为计费</w:t>
      </w:r>
      <w:r>
        <w:rPr>
          <w:rFonts w:hint="eastAsia" w:ascii="宋体" w:hAnsi="宋体"/>
          <w:kern w:val="0"/>
          <w:szCs w:val="21"/>
          <w:highlight w:val="none"/>
        </w:rPr>
        <w:t>依据</w:t>
      </w:r>
      <w:r>
        <w:rPr>
          <w:rFonts w:ascii="宋体" w:hAnsi="宋体"/>
          <w:kern w:val="0"/>
          <w:szCs w:val="21"/>
          <w:highlight w:val="none"/>
        </w:rPr>
        <w:t xml:space="preserve">。 </w:t>
      </w:r>
    </w:p>
    <w:p>
      <w:pPr>
        <w:widowControl/>
        <w:tabs>
          <w:tab w:val="left" w:pos="9072"/>
          <w:tab w:val="left" w:pos="9781"/>
        </w:tabs>
        <w:adjustRightInd w:val="0"/>
        <w:snapToGrid w:val="0"/>
        <w:spacing w:line="360" w:lineRule="auto"/>
        <w:ind w:right="120" w:rightChars="57" w:firstLine="487" w:firstLineChars="232"/>
        <w:jc w:val="left"/>
        <w:rPr>
          <w:rFonts w:ascii="宋体" w:hAnsi="宋体"/>
          <w:kern w:val="0"/>
          <w:szCs w:val="21"/>
          <w:highlight w:val="none"/>
        </w:rPr>
      </w:pPr>
      <w:r>
        <w:rPr>
          <w:rFonts w:hint="eastAsia" w:ascii="宋体" w:hAnsi="宋体" w:cs="宋体"/>
          <w:kern w:val="0"/>
          <w:szCs w:val="21"/>
          <w:highlight w:val="none"/>
        </w:rPr>
        <w:t>②</w:t>
      </w:r>
      <w:r>
        <w:rPr>
          <w:rFonts w:hint="eastAsia" w:ascii="宋体" w:hAnsi="宋体"/>
          <w:kern w:val="0"/>
          <w:szCs w:val="21"/>
          <w:highlight w:val="none"/>
        </w:rPr>
        <w:t>详细勘察</w:t>
      </w:r>
      <w:r>
        <w:rPr>
          <w:rFonts w:ascii="宋体" w:hAnsi="宋体"/>
          <w:kern w:val="0"/>
          <w:szCs w:val="21"/>
          <w:highlight w:val="none"/>
        </w:rPr>
        <w:t>阶段合同不能履行的，以</w:t>
      </w:r>
      <w:r>
        <w:rPr>
          <w:rFonts w:hint="eastAsia" w:ascii="宋体" w:hAnsi="宋体"/>
          <w:kern w:val="0"/>
          <w:szCs w:val="21"/>
          <w:highlight w:val="none"/>
        </w:rPr>
        <w:t>勘察费用清单中所列预估工作量</w:t>
      </w:r>
      <w:r>
        <w:rPr>
          <w:rFonts w:ascii="宋体" w:hAnsi="宋体"/>
          <w:kern w:val="0"/>
          <w:szCs w:val="21"/>
          <w:highlight w:val="none"/>
        </w:rPr>
        <w:t>为计费</w:t>
      </w:r>
      <w:r>
        <w:rPr>
          <w:rFonts w:hint="eastAsia" w:ascii="宋体" w:hAnsi="宋体"/>
          <w:kern w:val="0"/>
          <w:szCs w:val="21"/>
          <w:highlight w:val="none"/>
        </w:rPr>
        <w:t>依据</w:t>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hint="eastAsia" w:ascii="宋体" w:hAnsi="宋体"/>
          <w:kern w:val="0"/>
          <w:szCs w:val="21"/>
          <w:highlight w:val="none"/>
        </w:rPr>
        <w:t>（2）勘察</w:t>
      </w:r>
      <w:r>
        <w:rPr>
          <w:rFonts w:ascii="宋体" w:hAnsi="宋体"/>
          <w:kern w:val="0"/>
          <w:szCs w:val="21"/>
          <w:highlight w:val="none"/>
        </w:rPr>
        <w:t>各阶段工作费用比例：初步</w:t>
      </w:r>
      <w:r>
        <w:rPr>
          <w:rFonts w:hint="eastAsia" w:ascii="宋体" w:hAnsi="宋体"/>
          <w:kern w:val="0"/>
          <w:szCs w:val="21"/>
          <w:highlight w:val="none"/>
        </w:rPr>
        <w:t>勘察</w:t>
      </w:r>
      <w:r>
        <w:rPr>
          <w:rFonts w:ascii="宋体" w:hAnsi="宋体"/>
          <w:kern w:val="0"/>
          <w:szCs w:val="21"/>
          <w:highlight w:val="none"/>
        </w:rPr>
        <w:t>阶段的</w:t>
      </w:r>
      <w:r>
        <w:rPr>
          <w:rFonts w:hint="eastAsia" w:ascii="宋体" w:hAnsi="宋体"/>
          <w:kern w:val="0"/>
          <w:szCs w:val="21"/>
          <w:highlight w:val="none"/>
        </w:rPr>
        <w:t>勘察</w:t>
      </w:r>
      <w:r>
        <w:rPr>
          <w:rFonts w:ascii="宋体" w:hAnsi="宋体"/>
          <w:kern w:val="0"/>
          <w:szCs w:val="21"/>
          <w:highlight w:val="none"/>
        </w:rPr>
        <w:t>费占本合同</w:t>
      </w:r>
      <w:r>
        <w:rPr>
          <w:rFonts w:hint="eastAsia" w:ascii="宋体" w:hAnsi="宋体"/>
          <w:kern w:val="0"/>
          <w:szCs w:val="21"/>
          <w:highlight w:val="none"/>
        </w:rPr>
        <w:t>勘察</w:t>
      </w:r>
      <w:r>
        <w:rPr>
          <w:rFonts w:ascii="宋体" w:hAnsi="宋体"/>
          <w:kern w:val="0"/>
          <w:szCs w:val="21"/>
          <w:highlight w:val="none"/>
        </w:rPr>
        <w:t>费总额的</w:t>
      </w:r>
      <w:r>
        <w:rPr>
          <w:rFonts w:ascii="宋体" w:hAnsi="宋体"/>
          <w:kern w:val="0"/>
          <w:szCs w:val="21"/>
          <w:highlight w:val="none"/>
          <w:u w:val="single"/>
        </w:rPr>
        <w:t xml:space="preserve">     </w:t>
      </w:r>
      <w:r>
        <w:rPr>
          <w:rFonts w:ascii="宋体" w:hAnsi="宋体"/>
          <w:kern w:val="0"/>
          <w:szCs w:val="21"/>
          <w:highlight w:val="none"/>
        </w:rPr>
        <w:t>%,</w:t>
      </w:r>
      <w:r>
        <w:rPr>
          <w:rFonts w:hint="eastAsia" w:ascii="宋体" w:hAnsi="宋体"/>
          <w:kern w:val="0"/>
          <w:szCs w:val="21"/>
          <w:highlight w:val="none"/>
        </w:rPr>
        <w:t>详细</w:t>
      </w:r>
      <w:r>
        <w:rPr>
          <w:rFonts w:ascii="宋体" w:hAnsi="宋体"/>
          <w:kern w:val="0"/>
          <w:szCs w:val="21"/>
          <w:highlight w:val="none"/>
        </w:rPr>
        <w:t>勘察阶段的</w:t>
      </w:r>
      <w:r>
        <w:rPr>
          <w:rFonts w:hint="eastAsia" w:ascii="宋体" w:hAnsi="宋体"/>
          <w:kern w:val="0"/>
          <w:szCs w:val="21"/>
          <w:highlight w:val="none"/>
        </w:rPr>
        <w:t>勘察</w:t>
      </w:r>
      <w:r>
        <w:rPr>
          <w:rFonts w:ascii="宋体" w:hAnsi="宋体"/>
          <w:kern w:val="0"/>
          <w:szCs w:val="21"/>
          <w:highlight w:val="none"/>
        </w:rPr>
        <w:t>费占本合同</w:t>
      </w:r>
      <w:r>
        <w:rPr>
          <w:rFonts w:hint="eastAsia" w:ascii="宋体" w:hAnsi="宋体"/>
          <w:kern w:val="0"/>
          <w:szCs w:val="21"/>
          <w:highlight w:val="none"/>
        </w:rPr>
        <w:t>勘察</w:t>
      </w:r>
      <w:r>
        <w:rPr>
          <w:rFonts w:ascii="宋体" w:hAnsi="宋体"/>
          <w:kern w:val="0"/>
          <w:szCs w:val="21"/>
          <w:highlight w:val="none"/>
        </w:rPr>
        <w:t>费总额的</w:t>
      </w:r>
      <w:r>
        <w:rPr>
          <w:rFonts w:ascii="宋体" w:hAnsi="宋体"/>
          <w:kern w:val="0"/>
          <w:szCs w:val="21"/>
          <w:highlight w:val="none"/>
          <w:u w:val="single"/>
        </w:rPr>
        <w:t xml:space="preserve">      </w:t>
      </w:r>
      <w:r>
        <w:rPr>
          <w:rFonts w:ascii="宋体" w:hAnsi="宋体"/>
          <w:kern w:val="0"/>
          <w:szCs w:val="21"/>
          <w:highlight w:val="none"/>
        </w:rPr>
        <w:t>%。</w:t>
      </w:r>
    </w:p>
    <w:p>
      <w:pPr>
        <w:widowControl/>
        <w:tabs>
          <w:tab w:val="left" w:pos="9072"/>
          <w:tab w:val="left" w:pos="9781"/>
        </w:tabs>
        <w:adjustRightInd w:val="0"/>
        <w:snapToGrid w:val="0"/>
        <w:spacing w:line="360" w:lineRule="auto"/>
        <w:ind w:right="120" w:rightChars="57" w:firstLine="420" w:firstLineChars="200"/>
        <w:jc w:val="left"/>
        <w:rPr>
          <w:rFonts w:ascii="宋体" w:hAnsi="宋体"/>
          <w:snapToGrid w:val="0"/>
          <w:kern w:val="0"/>
          <w:szCs w:val="21"/>
          <w:highlight w:val="none"/>
        </w:rPr>
      </w:pPr>
      <w:r>
        <w:rPr>
          <w:rFonts w:ascii="宋体" w:hAnsi="宋体"/>
          <w:kern w:val="0"/>
          <w:szCs w:val="21"/>
          <w:highlight w:val="none"/>
        </w:rPr>
        <w:t>14.2.3.3发包人逾期提交资料及文件的，超过的期限相应顺延，但不增加</w:t>
      </w:r>
      <w:r>
        <w:rPr>
          <w:rFonts w:hint="eastAsia" w:ascii="宋体" w:hAnsi="宋体"/>
          <w:kern w:val="0"/>
          <w:szCs w:val="21"/>
          <w:highlight w:val="none"/>
        </w:rPr>
        <w:t>勘察</w:t>
      </w:r>
      <w:r>
        <w:rPr>
          <w:rFonts w:ascii="宋体" w:hAnsi="宋体"/>
          <w:kern w:val="0"/>
          <w:szCs w:val="21"/>
          <w:highlight w:val="none"/>
        </w:rPr>
        <w:t>费用。若发包人提供的资料有误或违法违规要求造成</w:t>
      </w:r>
      <w:r>
        <w:rPr>
          <w:rFonts w:hint="eastAsia" w:ascii="宋体" w:hAnsi="宋体"/>
          <w:kern w:val="0"/>
          <w:szCs w:val="21"/>
          <w:highlight w:val="none"/>
        </w:rPr>
        <w:t>勘察</w:t>
      </w:r>
      <w:r>
        <w:rPr>
          <w:rFonts w:ascii="宋体" w:hAnsi="宋体"/>
          <w:kern w:val="0"/>
          <w:szCs w:val="21"/>
          <w:highlight w:val="none"/>
        </w:rPr>
        <w:t>修改，发包人应承担修改部分相应</w:t>
      </w:r>
      <w:r>
        <w:rPr>
          <w:rFonts w:hint="eastAsia" w:ascii="宋体" w:hAnsi="宋体"/>
          <w:kern w:val="0"/>
          <w:szCs w:val="21"/>
          <w:highlight w:val="none"/>
        </w:rPr>
        <w:t>勘察</w:t>
      </w:r>
      <w:r>
        <w:rPr>
          <w:rFonts w:ascii="宋体" w:hAnsi="宋体"/>
          <w:kern w:val="0"/>
          <w:szCs w:val="21"/>
          <w:highlight w:val="none"/>
        </w:rPr>
        <w:t>费（</w:t>
      </w:r>
      <w:r>
        <w:rPr>
          <w:rFonts w:ascii="宋体" w:hAnsi="宋体"/>
          <w:kern w:val="0"/>
          <w:szCs w:val="21"/>
          <w:highlight w:val="none"/>
          <w:u w:val="single"/>
        </w:rPr>
        <w:t>70%~</w:t>
      </w:r>
      <w:r>
        <w:rPr>
          <w:rFonts w:ascii="宋体" w:hAnsi="宋体"/>
          <w:snapToGrid w:val="0"/>
          <w:kern w:val="0"/>
          <w:szCs w:val="21"/>
          <w:highlight w:val="none"/>
          <w:u w:val="single"/>
        </w:rPr>
        <w:t>100%</w:t>
      </w:r>
      <w:r>
        <w:rPr>
          <w:rFonts w:ascii="宋体" w:hAnsi="宋体"/>
          <w:snapToGrid w:val="0"/>
          <w:kern w:val="0"/>
          <w:szCs w:val="21"/>
          <w:highlight w:val="none"/>
        </w:rPr>
        <w:t>）,</w:t>
      </w:r>
      <w:r>
        <w:rPr>
          <w:rFonts w:ascii="宋体" w:hAnsi="宋体"/>
          <w:kern w:val="0"/>
          <w:szCs w:val="21"/>
          <w:highlight w:val="none"/>
        </w:rPr>
        <w:t>超过的期限相应顺延</w:t>
      </w:r>
      <w:r>
        <w:rPr>
          <w:rFonts w:ascii="宋体" w:hAnsi="宋体"/>
          <w:snapToGrid w:val="0"/>
          <w:kern w:val="0"/>
          <w:szCs w:val="21"/>
          <w:highlight w:val="none"/>
        </w:rPr>
        <w:t>。</w:t>
      </w:r>
    </w:p>
    <w:p>
      <w:pPr>
        <w:widowControl/>
        <w:tabs>
          <w:tab w:val="left" w:pos="9072"/>
          <w:tab w:val="left" w:pos="9781"/>
        </w:tabs>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14.2.3.4因发包人原因未能及时办理完毕专用合同条款2.3款的相关许可、核准或备案手续，导致</w:t>
      </w:r>
      <w:r>
        <w:rPr>
          <w:rFonts w:hint="eastAsia" w:ascii="宋体" w:hAnsi="宋体"/>
          <w:kern w:val="0"/>
          <w:szCs w:val="21"/>
          <w:highlight w:val="none"/>
        </w:rPr>
        <w:t>勘察</w:t>
      </w:r>
      <w:r>
        <w:rPr>
          <w:rFonts w:ascii="宋体" w:hAnsi="宋体"/>
          <w:kern w:val="0"/>
          <w:szCs w:val="21"/>
          <w:highlight w:val="none"/>
        </w:rPr>
        <w:t>工作量增加和（或）</w:t>
      </w:r>
      <w:r>
        <w:rPr>
          <w:rFonts w:hint="eastAsia" w:ascii="宋体" w:hAnsi="宋体"/>
          <w:kern w:val="0"/>
          <w:szCs w:val="21"/>
          <w:highlight w:val="none"/>
        </w:rPr>
        <w:t>勘察</w:t>
      </w:r>
      <w:r>
        <w:rPr>
          <w:rFonts w:ascii="宋体" w:hAnsi="宋体"/>
          <w:kern w:val="0"/>
          <w:szCs w:val="21"/>
          <w:highlight w:val="none"/>
        </w:rPr>
        <w:t>周期延长时，由发包人承担由此增加的</w:t>
      </w:r>
      <w:r>
        <w:rPr>
          <w:rFonts w:hint="eastAsia" w:ascii="宋体" w:hAnsi="宋体"/>
          <w:kern w:val="0"/>
          <w:szCs w:val="21"/>
          <w:highlight w:val="none"/>
        </w:rPr>
        <w:t>勘察</w:t>
      </w:r>
      <w:r>
        <w:rPr>
          <w:rFonts w:ascii="宋体" w:hAnsi="宋体"/>
          <w:kern w:val="0"/>
          <w:szCs w:val="21"/>
          <w:highlight w:val="none"/>
        </w:rPr>
        <w:t>费用和（或）延长的</w:t>
      </w:r>
      <w:r>
        <w:rPr>
          <w:rFonts w:hint="eastAsia" w:ascii="宋体" w:hAnsi="宋体"/>
          <w:kern w:val="0"/>
          <w:szCs w:val="21"/>
          <w:highlight w:val="none"/>
        </w:rPr>
        <w:t>勘察</w:t>
      </w:r>
      <w:r>
        <w:rPr>
          <w:rFonts w:ascii="宋体" w:hAnsi="宋体"/>
          <w:kern w:val="0"/>
          <w:szCs w:val="21"/>
          <w:highlight w:val="none"/>
        </w:rPr>
        <w:t>周期。</w:t>
      </w:r>
    </w:p>
    <w:p>
      <w:pPr>
        <w:keepNext/>
        <w:keepLines/>
        <w:tabs>
          <w:tab w:val="left" w:pos="8931"/>
        </w:tabs>
        <w:spacing w:before="120" w:after="120" w:line="413" w:lineRule="auto"/>
        <w:ind w:firstLine="108"/>
        <w:outlineLvl w:val="2"/>
        <w:rPr>
          <w:rFonts w:ascii="宋体" w:hAnsi="宋体"/>
          <w:sz w:val="32"/>
          <w:szCs w:val="20"/>
          <w:highlight w:val="none"/>
        </w:rPr>
      </w:pPr>
      <w:bookmarkStart w:id="1854" w:name="_Toc32338"/>
      <w:bookmarkStart w:id="1855" w:name="_Toc3854"/>
      <w:bookmarkStart w:id="1856" w:name="_Toc536463104"/>
      <w:bookmarkStart w:id="1857" w:name="_Toc75857101"/>
      <w:bookmarkStart w:id="1858" w:name="_Toc833"/>
      <w:bookmarkStart w:id="1859" w:name="_Toc30977"/>
      <w:bookmarkStart w:id="1860" w:name="_Toc6497"/>
      <w:r>
        <w:rPr>
          <w:rFonts w:ascii="宋体" w:hAnsi="宋体"/>
          <w:sz w:val="32"/>
          <w:szCs w:val="20"/>
          <w:highlight w:val="none"/>
        </w:rPr>
        <w:t>15.争议的解决</w:t>
      </w:r>
      <w:bookmarkEnd w:id="1854"/>
      <w:bookmarkEnd w:id="1855"/>
      <w:bookmarkEnd w:id="1856"/>
      <w:bookmarkEnd w:id="1857"/>
      <w:bookmarkEnd w:id="1858"/>
      <w:bookmarkEnd w:id="1859"/>
      <w:bookmarkEnd w:id="1860"/>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因合同履行发生争议的，双方同意按下列第</w:t>
      </w:r>
      <w:r>
        <w:rPr>
          <w:rFonts w:ascii="宋体" w:hAnsi="宋体"/>
          <w:kern w:val="0"/>
          <w:szCs w:val="21"/>
          <w:highlight w:val="none"/>
          <w:u w:val="single"/>
        </w:rPr>
        <w:t xml:space="preserve">     </w:t>
      </w:r>
      <w:r>
        <w:rPr>
          <w:rFonts w:ascii="宋体" w:hAnsi="宋体"/>
          <w:kern w:val="0"/>
          <w:szCs w:val="21"/>
          <w:highlight w:val="none"/>
        </w:rPr>
        <w:t>种方式解决：</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 xml:space="preserve">（1）向 </w:t>
      </w:r>
      <w:r>
        <w:rPr>
          <w:rFonts w:ascii="宋体" w:hAnsi="宋体"/>
          <w:kern w:val="0"/>
          <w:szCs w:val="21"/>
          <w:highlight w:val="none"/>
          <w:u w:val="single"/>
        </w:rPr>
        <w:t>（发包人所在地）</w:t>
      </w:r>
      <w:r>
        <w:rPr>
          <w:rFonts w:ascii="宋体" w:hAnsi="宋体"/>
          <w:kern w:val="0"/>
          <w:szCs w:val="21"/>
          <w:highlight w:val="none"/>
        </w:rPr>
        <w:t>仲裁委员会申请仲裁；</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 xml:space="preserve">（2）向 </w:t>
      </w:r>
      <w:r>
        <w:rPr>
          <w:rFonts w:ascii="宋体" w:hAnsi="宋体"/>
          <w:kern w:val="0"/>
          <w:szCs w:val="21"/>
          <w:highlight w:val="none"/>
          <w:u w:val="single"/>
        </w:rPr>
        <w:t>（发包人所在地）</w:t>
      </w:r>
      <w:r>
        <w:rPr>
          <w:rFonts w:ascii="宋体" w:hAnsi="宋体"/>
          <w:kern w:val="0"/>
          <w:szCs w:val="21"/>
          <w:highlight w:val="none"/>
        </w:rPr>
        <w:t>人民法院起诉。</w:t>
      </w:r>
    </w:p>
    <w:p>
      <w:pPr>
        <w:keepNext/>
        <w:keepLines/>
        <w:tabs>
          <w:tab w:val="left" w:pos="8931"/>
        </w:tabs>
        <w:spacing w:before="120" w:after="120" w:line="413" w:lineRule="auto"/>
        <w:ind w:firstLine="108"/>
        <w:outlineLvl w:val="2"/>
        <w:rPr>
          <w:rFonts w:ascii="宋体" w:hAnsi="宋体"/>
          <w:sz w:val="32"/>
          <w:szCs w:val="20"/>
          <w:highlight w:val="none"/>
        </w:rPr>
      </w:pPr>
      <w:bookmarkStart w:id="1861" w:name="_Toc18846"/>
      <w:bookmarkStart w:id="1862" w:name="_Toc5318"/>
      <w:bookmarkStart w:id="1863" w:name="_Toc15095"/>
      <w:bookmarkStart w:id="1864" w:name="_Toc536463105"/>
      <w:bookmarkStart w:id="1865" w:name="_Toc11027"/>
      <w:bookmarkStart w:id="1866" w:name="_Toc3000"/>
      <w:bookmarkStart w:id="1867" w:name="_Toc75857102"/>
      <w:r>
        <w:rPr>
          <w:rFonts w:ascii="宋体" w:hAnsi="宋体"/>
          <w:sz w:val="32"/>
          <w:szCs w:val="20"/>
          <w:highlight w:val="none"/>
        </w:rPr>
        <w:t>16.合同附件</w:t>
      </w:r>
      <w:bookmarkEnd w:id="1861"/>
      <w:bookmarkEnd w:id="1862"/>
      <w:bookmarkEnd w:id="1863"/>
      <w:bookmarkEnd w:id="1864"/>
      <w:bookmarkEnd w:id="1865"/>
      <w:bookmarkEnd w:id="1866"/>
      <w:bookmarkEnd w:id="1867"/>
    </w:p>
    <w:p>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以下四个附件是本合同的有效组成部分：</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附件一：履约保证金格式</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附件二：廉洁从业合同</w:t>
      </w:r>
    </w:p>
    <w:p>
      <w:pPr>
        <w:widowControl/>
        <w:tabs>
          <w:tab w:val="left" w:pos="9072"/>
          <w:tab w:val="left" w:pos="9781"/>
        </w:tabs>
        <w:adjustRightInd w:val="0"/>
        <w:snapToGrid w:val="0"/>
        <w:spacing w:line="360" w:lineRule="auto"/>
        <w:ind w:right="120" w:rightChars="57" w:firstLine="420" w:firstLineChars="200"/>
        <w:jc w:val="left"/>
        <w:rPr>
          <w:rFonts w:ascii="宋体" w:hAnsi="宋体"/>
          <w:kern w:val="0"/>
          <w:szCs w:val="21"/>
          <w:highlight w:val="none"/>
        </w:rPr>
      </w:pPr>
      <w:r>
        <w:rPr>
          <w:rFonts w:ascii="宋体" w:hAnsi="宋体"/>
          <w:kern w:val="0"/>
          <w:szCs w:val="21"/>
          <w:highlight w:val="none"/>
        </w:rPr>
        <w:t>附件</w:t>
      </w:r>
      <w:r>
        <w:rPr>
          <w:rFonts w:hint="eastAsia" w:ascii="宋体" w:hAnsi="宋体"/>
          <w:kern w:val="0"/>
          <w:szCs w:val="21"/>
          <w:highlight w:val="none"/>
        </w:rPr>
        <w:t>三</w:t>
      </w:r>
      <w:r>
        <w:rPr>
          <w:rFonts w:ascii="宋体" w:hAnsi="宋体"/>
          <w:kern w:val="0"/>
          <w:szCs w:val="21"/>
          <w:highlight w:val="none"/>
        </w:rPr>
        <w:t>：</w:t>
      </w:r>
      <w:r>
        <w:rPr>
          <w:rFonts w:hint="eastAsia" w:ascii="宋体" w:hAnsi="宋体"/>
          <w:kern w:val="0"/>
          <w:szCs w:val="21"/>
          <w:highlight w:val="none"/>
        </w:rPr>
        <w:t>主要</w:t>
      </w:r>
      <w:r>
        <w:rPr>
          <w:rFonts w:ascii="宋体" w:hAnsi="宋体"/>
          <w:kern w:val="0"/>
          <w:szCs w:val="21"/>
          <w:highlight w:val="none"/>
        </w:rPr>
        <w:t>人员汇总表</w:t>
      </w:r>
    </w:p>
    <w:p>
      <w:pPr>
        <w:widowControl/>
        <w:tabs>
          <w:tab w:val="left" w:pos="9072"/>
          <w:tab w:val="left" w:pos="9781"/>
        </w:tabs>
        <w:adjustRightInd w:val="0"/>
        <w:snapToGrid w:val="0"/>
        <w:spacing w:line="360" w:lineRule="auto"/>
        <w:ind w:right="120" w:rightChars="57" w:firstLine="420" w:firstLineChars="200"/>
        <w:jc w:val="left"/>
        <w:rPr>
          <w:rFonts w:ascii="宋体" w:hAnsi="宋体" w:cs="宋体"/>
          <w:kern w:val="0"/>
          <w:szCs w:val="21"/>
          <w:highlight w:val="none"/>
        </w:rPr>
      </w:pPr>
      <w:r>
        <w:rPr>
          <w:rFonts w:hint="eastAsia" w:ascii="宋体" w:hAnsi="宋体"/>
          <w:kern w:val="0"/>
          <w:szCs w:val="21"/>
          <w:highlight w:val="none"/>
        </w:rPr>
        <w:t>附件四：</w:t>
      </w:r>
      <w:r>
        <w:rPr>
          <w:rFonts w:hint="eastAsia" w:ascii="宋体" w:hAnsi="宋体" w:eastAsia="宋体"/>
          <w:kern w:val="0"/>
          <w:sz w:val="21"/>
          <w:szCs w:val="21"/>
          <w:highlight w:val="none"/>
        </w:rPr>
        <w:t>低价风险担保保函示范文本（独立保函）（如有）</w:t>
      </w:r>
    </w:p>
    <w:p>
      <w:pPr>
        <w:pStyle w:val="2"/>
        <w:ind w:firstLine="420" w:firstLineChars="200"/>
        <w:rPr>
          <w:rFonts w:ascii="宋体" w:hAnsi="宋体"/>
          <w:kern w:val="0"/>
          <w:szCs w:val="21"/>
          <w:highlight w:val="none"/>
        </w:rPr>
      </w:pPr>
    </w:p>
    <w:p>
      <w:pPr>
        <w:widowControl/>
        <w:tabs>
          <w:tab w:val="left" w:pos="9072"/>
          <w:tab w:val="left" w:pos="9781"/>
        </w:tabs>
        <w:adjustRightInd w:val="0"/>
        <w:snapToGrid w:val="0"/>
        <w:spacing w:line="360" w:lineRule="auto"/>
        <w:ind w:right="120" w:rightChars="57" w:firstLine="420" w:firstLineChars="200"/>
        <w:jc w:val="center"/>
        <w:outlineLvl w:val="3"/>
        <w:rPr>
          <w:rFonts w:ascii="宋体" w:hAnsi="宋体"/>
          <w:szCs w:val="21"/>
          <w:highlight w:val="none"/>
        </w:rPr>
      </w:pPr>
      <w:r>
        <w:rPr>
          <w:rFonts w:ascii="宋体" w:hAnsi="宋体"/>
          <w:kern w:val="0"/>
          <w:szCs w:val="21"/>
          <w:highlight w:val="none"/>
        </w:rPr>
        <w:br w:type="page"/>
      </w:r>
      <w:bookmarkStart w:id="1868" w:name="page70"/>
      <w:bookmarkEnd w:id="1868"/>
      <w:bookmarkStart w:id="1869" w:name="page71"/>
      <w:bookmarkEnd w:id="1869"/>
      <w:r>
        <w:rPr>
          <w:rFonts w:eastAsia="黑体"/>
          <w:sz w:val="30"/>
          <w:szCs w:val="30"/>
          <w:highlight w:val="none"/>
        </w:rPr>
        <w:t>附件一：履约保证金格式</w:t>
      </w:r>
    </w:p>
    <w:p>
      <w:pPr>
        <w:widowControl/>
        <w:jc w:val="left"/>
        <w:rPr>
          <w:rFonts w:ascii="宋体" w:hAnsi="宋体"/>
          <w:szCs w:val="21"/>
          <w:highlight w:val="none"/>
        </w:rPr>
      </w:pPr>
    </w:p>
    <w:p>
      <w:pPr>
        <w:widowControl/>
        <w:jc w:val="center"/>
        <w:rPr>
          <w:rFonts w:hint="eastAsia" w:ascii="宋体" w:hAnsi="宋体"/>
          <w:sz w:val="24"/>
          <w:szCs w:val="24"/>
          <w:highlight w:val="none"/>
        </w:rPr>
      </w:pPr>
      <w:r>
        <w:rPr>
          <w:rFonts w:hint="eastAsia" w:ascii="宋体" w:hAnsi="宋体"/>
          <w:sz w:val="24"/>
          <w:szCs w:val="24"/>
          <w:highlight w:val="none"/>
        </w:rPr>
        <w:t>履约保函示范文本</w:t>
      </w:r>
    </w:p>
    <w:p>
      <w:pPr>
        <w:widowControl/>
        <w:jc w:val="center"/>
        <w:rPr>
          <w:rFonts w:hint="eastAsia" w:ascii="宋体" w:hAnsi="宋体"/>
          <w:sz w:val="24"/>
          <w:szCs w:val="24"/>
          <w:highlight w:val="none"/>
        </w:rPr>
      </w:pPr>
    </w:p>
    <w:p>
      <w:pPr>
        <w:widowControl/>
        <w:jc w:val="left"/>
        <w:rPr>
          <w:rFonts w:ascii="宋体" w:hAnsi="宋体"/>
          <w:szCs w:val="21"/>
          <w:highlight w:val="none"/>
        </w:rPr>
      </w:pPr>
      <w:r>
        <w:rPr>
          <w:rFonts w:hint="eastAsia" w:ascii="宋体" w:hAnsi="宋体"/>
          <w:i/>
          <w:szCs w:val="21"/>
          <w:highlight w:val="none"/>
        </w:rPr>
        <w:t>[提示：参照《关于进一步规范工程建设领域工程保函示范文本的通知》渝公管发〔2022〕26号文编制]</w:t>
      </w:r>
      <w:r>
        <w:rPr>
          <w:rFonts w:ascii="宋体" w:hAnsi="宋体"/>
          <w:szCs w:val="21"/>
          <w:highlight w:val="none"/>
        </w:rPr>
        <w:br w:type="page"/>
      </w:r>
    </w:p>
    <w:p>
      <w:pPr>
        <w:widowControl/>
        <w:tabs>
          <w:tab w:val="left" w:pos="9072"/>
          <w:tab w:val="left" w:pos="9781"/>
        </w:tabs>
        <w:adjustRightInd w:val="0"/>
        <w:snapToGrid w:val="0"/>
        <w:spacing w:line="360" w:lineRule="auto"/>
        <w:ind w:right="120" w:rightChars="57" w:firstLine="600" w:firstLineChars="200"/>
        <w:jc w:val="center"/>
        <w:outlineLvl w:val="3"/>
        <w:rPr>
          <w:rFonts w:hint="eastAsia" w:eastAsia="黑体"/>
          <w:sz w:val="30"/>
          <w:szCs w:val="30"/>
          <w:highlight w:val="none"/>
          <w:lang w:eastAsia="zh-CN"/>
        </w:rPr>
      </w:pPr>
      <w:r>
        <w:rPr>
          <w:rFonts w:eastAsia="黑体"/>
          <w:sz w:val="30"/>
          <w:szCs w:val="30"/>
          <w:highlight w:val="none"/>
        </w:rPr>
        <w:t>附件二：廉洁从业合同</w:t>
      </w:r>
    </w:p>
    <w:p>
      <w:pPr>
        <w:widowControl/>
        <w:tabs>
          <w:tab w:val="left" w:pos="9072"/>
          <w:tab w:val="left" w:pos="9781"/>
        </w:tabs>
        <w:snapToGrid w:val="0"/>
        <w:spacing w:line="360" w:lineRule="auto"/>
        <w:ind w:right="120" w:rightChars="57"/>
        <w:jc w:val="center"/>
        <w:rPr>
          <w:rFonts w:ascii="宋体" w:hAnsi="宋体"/>
          <w:kern w:val="0"/>
          <w:szCs w:val="21"/>
          <w:highlight w:val="none"/>
        </w:rPr>
      </w:pPr>
      <w:r>
        <w:rPr>
          <w:rFonts w:hint="eastAsia" w:eastAsia="黑体"/>
          <w:sz w:val="30"/>
          <w:szCs w:val="30"/>
          <w:highlight w:val="none"/>
          <w:lang w:eastAsia="zh-CN"/>
        </w:rPr>
        <w:t>（</w:t>
      </w:r>
      <w:r>
        <w:rPr>
          <w:rFonts w:hint="eastAsia" w:eastAsia="黑体"/>
          <w:sz w:val="30"/>
          <w:szCs w:val="30"/>
          <w:highlight w:val="none"/>
          <w:lang w:val="en-US" w:eastAsia="zh-CN"/>
        </w:rPr>
        <w:t>参考格式</w:t>
      </w:r>
      <w:r>
        <w:rPr>
          <w:rFonts w:hint="eastAsia" w:eastAsia="黑体"/>
          <w:sz w:val="30"/>
          <w:szCs w:val="30"/>
          <w:highlight w:val="none"/>
          <w:lang w:eastAsia="zh-CN"/>
        </w:rPr>
        <w:t>）</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发包人：</w:t>
      </w:r>
      <w:r>
        <w:rPr>
          <w:rFonts w:ascii="宋体" w:hAnsi="宋体"/>
          <w:kern w:val="0"/>
          <w:szCs w:val="21"/>
          <w:highlight w:val="none"/>
          <w:u w:val="single"/>
        </w:rPr>
        <w:t xml:space="preserve">                        </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勘察人：</w:t>
      </w:r>
      <w:r>
        <w:rPr>
          <w:rFonts w:ascii="宋体" w:hAnsi="宋体"/>
          <w:kern w:val="0"/>
          <w:szCs w:val="21"/>
          <w:highlight w:val="none"/>
          <w:u w:val="single"/>
        </w:rPr>
        <w:t xml:space="preserve">                        </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为加强工程建设中的廉政建设，规范工程建设勘察人与发包人双方的各项活动，防止发生各种谋取不正当利益的违法违纪行为，保护国家、集体和当事人的合法权益，根据国家有关工程建设的法律法规和廉政建设责任制规定，特订立廉洁从业合同。</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一、总则</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1、应严格遵守国家关于市场准入、项目招标投标、工程勘察和市场活动的有关法律、法规，相关政策，以及廉政建设的各项规定。</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2、严格执行建设工程勘察合同文件，自觉按合同办事。</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3、业务活动必须坚持公开、公平、公正、诚信、透明的原则（除法律法规另有规定者外），不得为获取不正当的利益，损害国家、集体和对方利益，不得违反工程建设管理、工程勘察的规章制度。</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4、发现对方在业务活动中有违规、违纪、违法行为的，应及时提醒对方，情节严重的，应向其上级主管部门或纪检监察、司法等有关机关举报。</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二、发包人的责任</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发包人的领导和从事该建设工程项目的工作人员在工程建设的事前、事中、事后应遵守以下规定：</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1、发包人及其工作人员不得索要或接受勘察人的礼金、有价证券和贵重物品，不得在勘察人报销任何应由发包人或个人支付的费用。</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2、发包人工作人员不得参加勘察人安排的宴请或可能对公正执行建设管理行为有影响的其他活动；不得接受勘察人提供的通讯工具、交通工具和高档办公用品。</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3、发包人及其工作人员不得要求或接受勘察人为其住房装修、婚丧嫁娶活动、旅游等提供方便。</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4、发包人工作人员的家属、亲戚不得从事与发包人工程有关的材料设备供应、工程分包、劳务等经济活动。</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三、 勘察人的责任</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应与发包人和相关单位保持正常的业务交往，按照有关法律法规和程序开展业务工作。严格执行工程建设的方针、政策，尤其是有关勘察、建筑施工安装的强制性标准和规范，以及勘察法规，认真履行设计职责，并遵守以下规定：</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1、勘察人不得以任何理由向发包人及其工作人员行贿或馈赠礼金、有价证券、贵重礼品。</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2、勘察人不得以任何名义为发包人及其工作人员报销应由发包人单位或个人支付的费用。</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3、勘察人不得以任何理由邀请发包人工作人员外出旅游或安排发包人工作人员参加宴请、健身、娱乐等活动。</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4、勘察人不得与工程承包人联合作假，如计量、验收，提供虚假资料，接收好处或提成。</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5、勘察人不得以任何理由索要或接受工程承包人的礼金、有价证券和贵重物品，不得在工程承包人报销任何应由勘察人或个人支付的费用。</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6、勘察人不准参加有可能影响公正执行公务的工程承包人的宴请、健身、娱乐等活动。</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7、勘察人及其工作人员不得要求或接受工程承包人为其住房装修、婚丧嫁娶活动、旅游等提供方便。</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8、勘察人不准向工程承包人介绍或为配偶、子女、亲属参与同项目工程合同有关的设备、材料、工程分包、劳务等经济活动。不得以任何理由向施工单位推荐分包单位和要求购买与项目工程合同规定以外的材料、设备等。</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9、勘察人及其工作人员应严格按勘察规程办事，不得为谋取私利向发包人人员非法行贿，私下串通，损害发包人利益，同时必须履行向发包人承诺的上述其他的廉政义务。</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10、勘察人如果发现发包人工作人员有违反廉政规定的行为，应向发包人组织或上级单位举报。发包人均不得找任何借口对勘察人进行报复。</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四、违约责任及相关处罚</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1、发包人工作人员有违反本合同第一、二条责任行为的，按照管理权限，依据有关法律法规和规定给予党纪、政纪处分或组织处理；涉嫌犯罪的，移交司法机关追究刑事责任；给勘察人单位造成经济损失的，应予以赔偿。</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2、勘察人工作人员有违反本合同第一、三条责任行为的，将自觉接受发包人相应的处罚，具体内容如下：</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2.1 发现勘察人接受工程承包人的宴请或娱乐活动，第一次给予警告；发现第二次，参与宴请或娱乐活动的勘察人员写出书面检查，并接受</w:t>
      </w:r>
      <w:r>
        <w:rPr>
          <w:rFonts w:ascii="宋体" w:hAnsi="宋体"/>
          <w:kern w:val="0"/>
          <w:szCs w:val="21"/>
          <w:highlight w:val="none"/>
          <w:u w:val="single"/>
        </w:rPr>
        <w:t>500</w:t>
      </w:r>
      <w:r>
        <w:rPr>
          <w:rFonts w:ascii="宋体" w:hAnsi="宋体"/>
          <w:kern w:val="0"/>
          <w:szCs w:val="21"/>
          <w:highlight w:val="none"/>
        </w:rPr>
        <w:t>元/人的经济处罚，勘察项目负责人接受</w:t>
      </w:r>
      <w:r>
        <w:rPr>
          <w:rFonts w:ascii="宋体" w:hAnsi="宋体"/>
          <w:kern w:val="0"/>
          <w:szCs w:val="21"/>
          <w:highlight w:val="none"/>
          <w:u w:val="single"/>
        </w:rPr>
        <w:t>1000</w:t>
      </w:r>
      <w:r>
        <w:rPr>
          <w:rFonts w:ascii="宋体" w:hAnsi="宋体"/>
          <w:kern w:val="0"/>
          <w:szCs w:val="21"/>
          <w:highlight w:val="none"/>
        </w:rPr>
        <w:t>元的经济处罚；发现第三次，参与宴请或娱乐活动的勘察人员清退出场，勘察人接受</w:t>
      </w:r>
      <w:r>
        <w:rPr>
          <w:rFonts w:ascii="宋体" w:hAnsi="宋体"/>
          <w:kern w:val="0"/>
          <w:szCs w:val="21"/>
          <w:highlight w:val="none"/>
          <w:u w:val="single"/>
        </w:rPr>
        <w:t>5000</w:t>
      </w:r>
      <w:r>
        <w:rPr>
          <w:rFonts w:ascii="宋体" w:hAnsi="宋体"/>
          <w:kern w:val="0"/>
          <w:szCs w:val="21"/>
          <w:highlight w:val="none"/>
        </w:rPr>
        <w:t>元的经济处罚。</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2.2 发现勘察人工作人员接受工程承包人为其住房装修、婚丧嫁娶活动、旅游等提供方便的行为，发现一次处罚一次。第一次发现，对勘察人处以</w:t>
      </w:r>
      <w:r>
        <w:rPr>
          <w:rFonts w:ascii="宋体" w:hAnsi="宋体"/>
          <w:kern w:val="0"/>
          <w:szCs w:val="21"/>
          <w:highlight w:val="none"/>
          <w:u w:val="single"/>
        </w:rPr>
        <w:t>2000</w:t>
      </w:r>
      <w:r>
        <w:rPr>
          <w:rFonts w:ascii="宋体" w:hAnsi="宋体"/>
          <w:kern w:val="0"/>
          <w:szCs w:val="21"/>
          <w:highlight w:val="none"/>
        </w:rPr>
        <w:t>元的罚款，对勘察人警告，相关人员写出书面检查；以后每发现一次，对勘察人处以</w:t>
      </w:r>
      <w:r>
        <w:rPr>
          <w:rFonts w:ascii="宋体" w:hAnsi="宋体"/>
          <w:kern w:val="0"/>
          <w:szCs w:val="21"/>
          <w:highlight w:val="none"/>
          <w:u w:val="single"/>
        </w:rPr>
        <w:t>5000</w:t>
      </w:r>
      <w:r>
        <w:rPr>
          <w:rFonts w:ascii="宋体" w:hAnsi="宋体"/>
          <w:kern w:val="0"/>
          <w:szCs w:val="21"/>
          <w:highlight w:val="none"/>
        </w:rPr>
        <w:t>元的罚款，清退相关勘察人员。</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2.3 勘察人不得索要或接受工程承包人的礼金、有价证券和贵重物品。若情况属实，勘察人除了退还所收物品外，还要接受发包人的处罚，即：第一次发现，对勘察人警告，相关人员写出书面检查；第二次发现，对勘察人处以</w:t>
      </w:r>
      <w:r>
        <w:rPr>
          <w:rFonts w:ascii="宋体" w:hAnsi="宋体"/>
          <w:kern w:val="0"/>
          <w:szCs w:val="21"/>
          <w:highlight w:val="none"/>
          <w:u w:val="single"/>
        </w:rPr>
        <w:t>1000</w:t>
      </w:r>
      <w:r>
        <w:rPr>
          <w:rFonts w:ascii="宋体" w:hAnsi="宋体"/>
          <w:kern w:val="0"/>
          <w:szCs w:val="21"/>
          <w:highlight w:val="none"/>
        </w:rPr>
        <w:t xml:space="preserve">元的罚款，清退相关勘察人员。 </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2.4 勘察人不得介绍建筑材料或介绍劳务单位参与工程建设。若情况属实，发现一次处罚一次，每发现一次对勘察人处以</w:t>
      </w:r>
      <w:r>
        <w:rPr>
          <w:rFonts w:ascii="宋体" w:hAnsi="宋体"/>
          <w:kern w:val="0"/>
          <w:szCs w:val="21"/>
          <w:highlight w:val="none"/>
          <w:u w:val="single"/>
        </w:rPr>
        <w:t>5000</w:t>
      </w:r>
      <w:r>
        <w:rPr>
          <w:rFonts w:ascii="宋体" w:hAnsi="宋体"/>
          <w:kern w:val="0"/>
          <w:szCs w:val="21"/>
          <w:highlight w:val="none"/>
        </w:rPr>
        <w:t>元的罚款。</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3、勘察人有违反本合同第一、三条责任行为情节严重的，除接受以上第2条处罚外，还依据有关法律法规和规定给予相关责任人党纪、政纪处分或组织处理；涉嫌犯罪的，移交司法机关追究刑事责任；给发包人单位造成经济损失的，应予以赔偿。</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（以下无正文）</w:t>
      </w:r>
    </w:p>
    <w:p>
      <w:pPr>
        <w:widowControl/>
        <w:spacing w:line="360" w:lineRule="auto"/>
        <w:ind w:firstLine="420" w:firstLineChars="200"/>
        <w:jc w:val="left"/>
        <w:rPr>
          <w:rFonts w:ascii="宋体" w:hAnsi="宋体"/>
          <w:kern w:val="0"/>
          <w:szCs w:val="21"/>
          <w:highlight w:val="none"/>
        </w:rPr>
      </w:pPr>
    </w:p>
    <w:p>
      <w:pPr>
        <w:widowControl/>
        <w:spacing w:line="360" w:lineRule="auto"/>
        <w:ind w:firstLine="420" w:firstLineChars="200"/>
        <w:jc w:val="left"/>
        <w:rPr>
          <w:rFonts w:ascii="宋体" w:hAnsi="宋体"/>
          <w:kern w:val="0"/>
          <w:szCs w:val="21"/>
          <w:highlight w:val="none"/>
        </w:rPr>
      </w:pPr>
    </w:p>
    <w:p>
      <w:pPr>
        <w:widowControl/>
        <w:spacing w:line="360" w:lineRule="auto"/>
        <w:ind w:firstLine="420" w:firstLineChars="200"/>
        <w:jc w:val="left"/>
        <w:rPr>
          <w:rFonts w:ascii="宋体" w:hAnsi="宋体"/>
          <w:kern w:val="0"/>
          <w:szCs w:val="21"/>
          <w:highlight w:val="none"/>
        </w:rPr>
      </w:pPr>
    </w:p>
    <w:p>
      <w:pPr>
        <w:widowControl/>
        <w:spacing w:line="360" w:lineRule="auto"/>
        <w:ind w:firstLine="420" w:firstLineChars="200"/>
        <w:jc w:val="left"/>
        <w:rPr>
          <w:rFonts w:ascii="宋体" w:hAnsi="宋体"/>
          <w:kern w:val="0"/>
          <w:szCs w:val="21"/>
          <w:highlight w:val="none"/>
        </w:rPr>
      </w:pPr>
    </w:p>
    <w:bookmarkEnd w:id="1756"/>
    <w:bookmarkEnd w:id="1757"/>
    <w:bookmarkEnd w:id="1758"/>
    <w:bookmarkEnd w:id="1759"/>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发包人（盖单位</w:t>
      </w:r>
      <w:r>
        <w:rPr>
          <w:rFonts w:hint="eastAsia" w:ascii="宋体" w:hAnsi="宋体"/>
          <w:kern w:val="0"/>
          <w:szCs w:val="21"/>
          <w:highlight w:val="none"/>
          <w:lang w:val="en-US" w:eastAsia="zh-CN"/>
        </w:rPr>
        <w:t>法人</w:t>
      </w:r>
      <w:r>
        <w:rPr>
          <w:rFonts w:ascii="宋体" w:hAnsi="宋体"/>
          <w:kern w:val="0"/>
          <w:szCs w:val="21"/>
          <w:highlight w:val="none"/>
        </w:rPr>
        <w:t xml:space="preserve">章）：                </w:t>
      </w:r>
      <w:r>
        <w:rPr>
          <w:rFonts w:hint="eastAsia" w:ascii="宋体" w:hAnsi="宋体"/>
          <w:kern w:val="0"/>
          <w:szCs w:val="21"/>
          <w:highlight w:val="none"/>
        </w:rPr>
        <w:t xml:space="preserve">    勘察</w:t>
      </w:r>
      <w:r>
        <w:rPr>
          <w:rFonts w:ascii="宋体" w:hAnsi="宋体"/>
          <w:kern w:val="0"/>
          <w:szCs w:val="21"/>
          <w:highlight w:val="none"/>
        </w:rPr>
        <w:t>人（盖单位</w:t>
      </w:r>
      <w:r>
        <w:rPr>
          <w:rFonts w:hint="eastAsia" w:ascii="宋体" w:hAnsi="宋体"/>
          <w:kern w:val="0"/>
          <w:szCs w:val="21"/>
          <w:highlight w:val="none"/>
          <w:lang w:val="en-US" w:eastAsia="zh-CN"/>
        </w:rPr>
        <w:t>法人</w:t>
      </w:r>
      <w:r>
        <w:rPr>
          <w:rFonts w:ascii="宋体" w:hAnsi="宋体"/>
          <w:kern w:val="0"/>
          <w:szCs w:val="21"/>
          <w:highlight w:val="none"/>
        </w:rPr>
        <w:t xml:space="preserve">章）： </w:t>
      </w:r>
      <w:r>
        <w:rPr>
          <w:rFonts w:hint="eastAsia" w:ascii="宋体" w:hAnsi="宋体"/>
          <w:kern w:val="0"/>
          <w:szCs w:val="21"/>
          <w:highlight w:val="none"/>
        </w:rPr>
        <w:t xml:space="preserve">      </w:t>
      </w:r>
    </w:p>
    <w:p>
      <w:pPr>
        <w:pStyle w:val="2"/>
        <w:rPr>
          <w:highlight w:val="none"/>
        </w:rPr>
      </w:pP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法定代表人</w:t>
      </w:r>
      <w:r>
        <w:rPr>
          <w:rFonts w:hint="eastAsia" w:ascii="宋体" w:hAnsi="宋体"/>
          <w:kern w:val="0"/>
          <w:szCs w:val="21"/>
          <w:highlight w:val="none"/>
        </w:rPr>
        <w:t xml:space="preserve">      </w:t>
      </w:r>
      <w:r>
        <w:rPr>
          <w:rFonts w:ascii="宋体" w:hAnsi="宋体"/>
          <w:kern w:val="0"/>
          <w:szCs w:val="21"/>
          <w:highlight w:val="none"/>
        </w:rPr>
        <w:t xml:space="preserve">   </w:t>
      </w:r>
      <w:r>
        <w:rPr>
          <w:rFonts w:hint="eastAsia" w:ascii="宋体" w:hAnsi="宋体"/>
          <w:kern w:val="0"/>
          <w:szCs w:val="21"/>
          <w:highlight w:val="none"/>
        </w:rPr>
        <w:t xml:space="preserve">                     </w:t>
      </w:r>
      <w:r>
        <w:rPr>
          <w:rFonts w:ascii="宋体" w:hAnsi="宋体"/>
          <w:kern w:val="0"/>
          <w:szCs w:val="21"/>
          <w:highlight w:val="none"/>
        </w:rPr>
        <w:t xml:space="preserve">法定代表人 </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或委托代理人（签名）：</w:t>
      </w:r>
      <w:r>
        <w:rPr>
          <w:rFonts w:hint="eastAsia" w:ascii="宋体" w:hAnsi="宋体"/>
          <w:kern w:val="0"/>
          <w:szCs w:val="21"/>
          <w:highlight w:val="none"/>
        </w:rPr>
        <w:t xml:space="preserve">                  </w:t>
      </w:r>
      <w:r>
        <w:rPr>
          <w:rFonts w:ascii="宋体" w:hAnsi="宋体"/>
          <w:kern w:val="0"/>
          <w:szCs w:val="21"/>
          <w:highlight w:val="none"/>
        </w:rPr>
        <w:t xml:space="preserve">或委托代理人（签名）：         </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 xml:space="preserve">联系人：                        </w:t>
      </w:r>
      <w:r>
        <w:rPr>
          <w:rFonts w:hint="eastAsia" w:ascii="宋体" w:hAnsi="宋体"/>
          <w:kern w:val="0"/>
          <w:szCs w:val="21"/>
          <w:highlight w:val="none"/>
        </w:rPr>
        <w:t xml:space="preserve">        </w:t>
      </w:r>
      <w:r>
        <w:rPr>
          <w:rFonts w:ascii="宋体" w:hAnsi="宋体"/>
          <w:kern w:val="0"/>
          <w:szCs w:val="21"/>
          <w:highlight w:val="none"/>
        </w:rPr>
        <w:t>联系人：</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 xml:space="preserve">联系电话：                     </w:t>
      </w:r>
      <w:r>
        <w:rPr>
          <w:rFonts w:hint="eastAsia" w:ascii="宋体" w:hAnsi="宋体"/>
          <w:kern w:val="0"/>
          <w:szCs w:val="21"/>
          <w:highlight w:val="none"/>
        </w:rPr>
        <w:t xml:space="preserve">      </w:t>
      </w:r>
      <w:r>
        <w:rPr>
          <w:rFonts w:ascii="宋体" w:hAnsi="宋体"/>
          <w:kern w:val="0"/>
          <w:szCs w:val="21"/>
          <w:highlight w:val="none"/>
        </w:rPr>
        <w:t xml:space="preserve"> </w:t>
      </w:r>
      <w:r>
        <w:rPr>
          <w:rFonts w:hint="eastAsia" w:ascii="宋体" w:hAnsi="宋体"/>
          <w:kern w:val="0"/>
          <w:szCs w:val="21"/>
          <w:highlight w:val="none"/>
        </w:rPr>
        <w:t xml:space="preserve">  </w:t>
      </w:r>
      <w:r>
        <w:rPr>
          <w:rFonts w:ascii="宋体" w:hAnsi="宋体"/>
          <w:kern w:val="0"/>
          <w:szCs w:val="21"/>
          <w:highlight w:val="none"/>
        </w:rPr>
        <w:t>联系电话：</w:t>
      </w:r>
    </w:p>
    <w:p>
      <w:pPr>
        <w:widowControl/>
        <w:spacing w:line="360" w:lineRule="auto"/>
        <w:ind w:firstLine="2310" w:firstLineChars="1100"/>
        <w:jc w:val="left"/>
        <w:rPr>
          <w:rFonts w:ascii="宋体" w:hAnsi="宋体"/>
          <w:kern w:val="0"/>
          <w:szCs w:val="21"/>
          <w:highlight w:val="none"/>
        </w:rPr>
      </w:pPr>
      <w:r>
        <w:rPr>
          <w:rFonts w:ascii="宋体" w:hAnsi="宋体"/>
          <w:kern w:val="0"/>
          <w:szCs w:val="21"/>
          <w:highlight w:val="none"/>
        </w:rPr>
        <w:t>签约时间：    年   月   日</w:t>
      </w:r>
    </w:p>
    <w:p>
      <w:pPr>
        <w:widowControl/>
        <w:jc w:val="left"/>
        <w:rPr>
          <w:rFonts w:ascii="宋体" w:hAnsi="宋体"/>
          <w:szCs w:val="20"/>
          <w:highlight w:val="none"/>
        </w:rPr>
      </w:pPr>
      <w:r>
        <w:rPr>
          <w:rFonts w:ascii="宋体" w:hAnsi="宋体"/>
          <w:szCs w:val="20"/>
          <w:highlight w:val="none"/>
        </w:rPr>
        <w:br w:type="page"/>
      </w:r>
    </w:p>
    <w:p>
      <w:pPr>
        <w:widowControl/>
        <w:tabs>
          <w:tab w:val="left" w:pos="9072"/>
          <w:tab w:val="left" w:pos="9781"/>
        </w:tabs>
        <w:adjustRightInd w:val="0"/>
        <w:snapToGrid w:val="0"/>
        <w:spacing w:line="360" w:lineRule="auto"/>
        <w:ind w:right="120" w:rightChars="57" w:firstLine="600" w:firstLineChars="200"/>
        <w:jc w:val="center"/>
        <w:outlineLvl w:val="3"/>
        <w:rPr>
          <w:rFonts w:eastAsia="黑体"/>
          <w:sz w:val="30"/>
          <w:szCs w:val="30"/>
          <w:highlight w:val="none"/>
        </w:rPr>
      </w:pPr>
      <w:r>
        <w:rPr>
          <w:rFonts w:eastAsia="黑体"/>
          <w:sz w:val="30"/>
          <w:szCs w:val="30"/>
          <w:highlight w:val="none"/>
        </w:rPr>
        <w:t>附件</w:t>
      </w:r>
      <w:r>
        <w:rPr>
          <w:rFonts w:hint="eastAsia" w:eastAsia="黑体"/>
          <w:sz w:val="30"/>
          <w:szCs w:val="30"/>
          <w:highlight w:val="none"/>
        </w:rPr>
        <w:t>三</w:t>
      </w:r>
      <w:r>
        <w:rPr>
          <w:rFonts w:eastAsia="黑体"/>
          <w:sz w:val="30"/>
          <w:szCs w:val="30"/>
          <w:highlight w:val="none"/>
        </w:rPr>
        <w:t>：</w:t>
      </w:r>
      <w:r>
        <w:rPr>
          <w:rFonts w:hint="eastAsia" w:eastAsia="黑体"/>
          <w:sz w:val="30"/>
          <w:szCs w:val="30"/>
          <w:highlight w:val="none"/>
        </w:rPr>
        <w:t>主要人员汇总表</w:t>
      </w:r>
    </w:p>
    <w:p>
      <w:pPr>
        <w:pStyle w:val="2"/>
        <w:ind w:firstLine="420" w:firstLineChars="200"/>
        <w:rPr>
          <w:highlight w:val="none"/>
          <w:u w:val="single"/>
        </w:rPr>
      </w:pPr>
      <w:r>
        <w:rPr>
          <w:rFonts w:hint="eastAsia"/>
          <w:highlight w:val="none"/>
        </w:rPr>
        <w:t>项目名称：</w:t>
      </w:r>
      <w:r>
        <w:rPr>
          <w:rFonts w:hint="eastAsia"/>
          <w:highlight w:val="none"/>
          <w:u w:val="single"/>
        </w:rPr>
        <w:t xml:space="preserve">                                        </w:t>
      </w:r>
    </w:p>
    <w:tbl>
      <w:tblPr>
        <w:tblStyle w:val="55"/>
        <w:tblW w:w="92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2342"/>
        <w:gridCol w:w="992"/>
        <w:gridCol w:w="795"/>
        <w:gridCol w:w="992"/>
        <w:gridCol w:w="1134"/>
        <w:gridCol w:w="709"/>
        <w:gridCol w:w="850"/>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vMerge w:val="restart"/>
            <w:vAlign w:val="center"/>
          </w:tcPr>
          <w:p>
            <w:pPr>
              <w:spacing w:line="440" w:lineRule="exact"/>
              <w:jc w:val="center"/>
              <w:rPr>
                <w:szCs w:val="22"/>
                <w:highlight w:val="none"/>
              </w:rPr>
            </w:pPr>
            <w:r>
              <w:rPr>
                <w:rFonts w:hint="eastAsia"/>
                <w:szCs w:val="22"/>
                <w:highlight w:val="none"/>
              </w:rPr>
              <w:t>序号</w:t>
            </w:r>
          </w:p>
        </w:tc>
        <w:tc>
          <w:tcPr>
            <w:tcW w:w="2342" w:type="dxa"/>
            <w:vMerge w:val="restart"/>
            <w:vAlign w:val="center"/>
          </w:tcPr>
          <w:p>
            <w:pPr>
              <w:spacing w:line="440" w:lineRule="exact"/>
              <w:jc w:val="center"/>
              <w:rPr>
                <w:szCs w:val="22"/>
                <w:highlight w:val="none"/>
              </w:rPr>
            </w:pPr>
            <w:r>
              <w:rPr>
                <w:rFonts w:hint="eastAsia"/>
                <w:szCs w:val="22"/>
                <w:highlight w:val="none"/>
              </w:rPr>
              <w:t>本项目任职</w:t>
            </w:r>
          </w:p>
        </w:tc>
        <w:tc>
          <w:tcPr>
            <w:tcW w:w="992" w:type="dxa"/>
            <w:vMerge w:val="restart"/>
            <w:vAlign w:val="center"/>
          </w:tcPr>
          <w:p>
            <w:pPr>
              <w:spacing w:line="440" w:lineRule="exact"/>
              <w:jc w:val="center"/>
              <w:rPr>
                <w:szCs w:val="22"/>
                <w:highlight w:val="none"/>
              </w:rPr>
            </w:pPr>
            <w:r>
              <w:rPr>
                <w:rFonts w:hint="eastAsia"/>
                <w:szCs w:val="22"/>
                <w:highlight w:val="none"/>
              </w:rPr>
              <w:t>姓名</w:t>
            </w:r>
          </w:p>
        </w:tc>
        <w:tc>
          <w:tcPr>
            <w:tcW w:w="795" w:type="dxa"/>
            <w:vMerge w:val="restart"/>
            <w:vAlign w:val="center"/>
          </w:tcPr>
          <w:p>
            <w:pPr>
              <w:spacing w:line="440" w:lineRule="exact"/>
              <w:jc w:val="center"/>
              <w:rPr>
                <w:szCs w:val="22"/>
                <w:highlight w:val="none"/>
              </w:rPr>
            </w:pPr>
            <w:r>
              <w:rPr>
                <w:rFonts w:hint="eastAsia"/>
                <w:szCs w:val="22"/>
                <w:highlight w:val="none"/>
              </w:rPr>
              <w:t>职称</w:t>
            </w:r>
          </w:p>
        </w:tc>
        <w:tc>
          <w:tcPr>
            <w:tcW w:w="992" w:type="dxa"/>
            <w:vMerge w:val="restart"/>
            <w:vAlign w:val="center"/>
          </w:tcPr>
          <w:p>
            <w:pPr>
              <w:spacing w:line="440" w:lineRule="exact"/>
              <w:jc w:val="center"/>
              <w:rPr>
                <w:szCs w:val="22"/>
                <w:highlight w:val="none"/>
              </w:rPr>
            </w:pPr>
            <w:r>
              <w:rPr>
                <w:rFonts w:hint="eastAsia"/>
                <w:szCs w:val="22"/>
                <w:highlight w:val="none"/>
              </w:rPr>
              <w:t>专业</w:t>
            </w:r>
          </w:p>
        </w:tc>
        <w:tc>
          <w:tcPr>
            <w:tcW w:w="2693" w:type="dxa"/>
            <w:gridSpan w:val="3"/>
            <w:vAlign w:val="center"/>
          </w:tcPr>
          <w:p>
            <w:pPr>
              <w:spacing w:line="440" w:lineRule="exact"/>
              <w:jc w:val="center"/>
              <w:rPr>
                <w:szCs w:val="22"/>
                <w:highlight w:val="none"/>
              </w:rPr>
            </w:pPr>
            <w:r>
              <w:rPr>
                <w:rFonts w:hint="eastAsia"/>
                <w:szCs w:val="22"/>
                <w:highlight w:val="none"/>
              </w:rPr>
              <w:t>执业或职业资格证明</w:t>
            </w:r>
          </w:p>
        </w:tc>
        <w:tc>
          <w:tcPr>
            <w:tcW w:w="992" w:type="dxa"/>
            <w:vAlign w:val="center"/>
          </w:tcPr>
          <w:p>
            <w:pPr>
              <w:spacing w:line="440" w:lineRule="exact"/>
              <w:jc w:val="center"/>
              <w:rPr>
                <w:szCs w:val="22"/>
                <w:highlight w:val="none"/>
              </w:rPr>
            </w:pPr>
            <w:r>
              <w:rPr>
                <w:rFonts w:hint="eastAsia"/>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vMerge w:val="continue"/>
            <w:vAlign w:val="center"/>
          </w:tcPr>
          <w:p>
            <w:pPr>
              <w:rPr>
                <w:szCs w:val="22"/>
                <w:highlight w:val="none"/>
              </w:rPr>
            </w:pPr>
          </w:p>
        </w:tc>
        <w:tc>
          <w:tcPr>
            <w:tcW w:w="2342" w:type="dxa"/>
            <w:vMerge w:val="continue"/>
          </w:tcPr>
          <w:p>
            <w:pPr>
              <w:rPr>
                <w:szCs w:val="22"/>
                <w:highlight w:val="none"/>
              </w:rPr>
            </w:pPr>
          </w:p>
        </w:tc>
        <w:tc>
          <w:tcPr>
            <w:tcW w:w="992" w:type="dxa"/>
            <w:vMerge w:val="continue"/>
            <w:vAlign w:val="center"/>
          </w:tcPr>
          <w:p>
            <w:pPr>
              <w:rPr>
                <w:szCs w:val="22"/>
                <w:highlight w:val="none"/>
              </w:rPr>
            </w:pPr>
          </w:p>
        </w:tc>
        <w:tc>
          <w:tcPr>
            <w:tcW w:w="795" w:type="dxa"/>
            <w:vMerge w:val="continue"/>
            <w:vAlign w:val="center"/>
          </w:tcPr>
          <w:p>
            <w:pPr>
              <w:rPr>
                <w:szCs w:val="22"/>
                <w:highlight w:val="none"/>
              </w:rPr>
            </w:pPr>
          </w:p>
        </w:tc>
        <w:tc>
          <w:tcPr>
            <w:tcW w:w="992" w:type="dxa"/>
            <w:vMerge w:val="continue"/>
            <w:vAlign w:val="center"/>
          </w:tcPr>
          <w:p>
            <w:pPr>
              <w:spacing w:line="440" w:lineRule="exact"/>
              <w:jc w:val="center"/>
              <w:rPr>
                <w:szCs w:val="22"/>
                <w:highlight w:val="none"/>
              </w:rPr>
            </w:pPr>
          </w:p>
        </w:tc>
        <w:tc>
          <w:tcPr>
            <w:tcW w:w="1134" w:type="dxa"/>
            <w:vAlign w:val="center"/>
          </w:tcPr>
          <w:p>
            <w:pPr>
              <w:spacing w:before="100" w:beforeAutospacing="1" w:after="100" w:afterAutospacing="1" w:line="440" w:lineRule="exact"/>
              <w:jc w:val="center"/>
              <w:rPr>
                <w:szCs w:val="22"/>
                <w:highlight w:val="none"/>
              </w:rPr>
            </w:pPr>
            <w:r>
              <w:rPr>
                <w:rFonts w:hint="eastAsia"/>
                <w:szCs w:val="22"/>
                <w:highlight w:val="none"/>
              </w:rPr>
              <w:t>证书名称</w:t>
            </w:r>
          </w:p>
        </w:tc>
        <w:tc>
          <w:tcPr>
            <w:tcW w:w="709" w:type="dxa"/>
            <w:vAlign w:val="center"/>
          </w:tcPr>
          <w:p>
            <w:pPr>
              <w:spacing w:before="100" w:beforeAutospacing="1" w:after="100" w:afterAutospacing="1" w:line="440" w:lineRule="exact"/>
              <w:jc w:val="center"/>
              <w:rPr>
                <w:szCs w:val="22"/>
                <w:highlight w:val="none"/>
              </w:rPr>
            </w:pPr>
            <w:r>
              <w:rPr>
                <w:rFonts w:hint="eastAsia"/>
                <w:szCs w:val="22"/>
                <w:highlight w:val="none"/>
              </w:rPr>
              <w:t>级别</w:t>
            </w:r>
          </w:p>
        </w:tc>
        <w:tc>
          <w:tcPr>
            <w:tcW w:w="850" w:type="dxa"/>
            <w:vAlign w:val="center"/>
          </w:tcPr>
          <w:p>
            <w:pPr>
              <w:spacing w:before="100" w:beforeAutospacing="1" w:after="100" w:afterAutospacing="1" w:line="440" w:lineRule="exact"/>
              <w:jc w:val="center"/>
              <w:rPr>
                <w:szCs w:val="22"/>
                <w:highlight w:val="none"/>
              </w:rPr>
            </w:pPr>
            <w:r>
              <w:rPr>
                <w:rFonts w:hint="eastAsia"/>
                <w:szCs w:val="22"/>
                <w:highlight w:val="none"/>
              </w:rPr>
              <w:t>证号</w:t>
            </w:r>
          </w:p>
        </w:tc>
        <w:tc>
          <w:tcPr>
            <w:tcW w:w="992" w:type="dxa"/>
            <w:vAlign w:val="center"/>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vAlign w:val="center"/>
          </w:tcPr>
          <w:p>
            <w:pPr>
              <w:spacing w:line="440" w:lineRule="exact"/>
              <w:jc w:val="center"/>
              <w:rPr>
                <w:szCs w:val="22"/>
                <w:highlight w:val="none"/>
              </w:rPr>
            </w:pPr>
            <w:r>
              <w:rPr>
                <w:rFonts w:hint="eastAsia"/>
                <w:szCs w:val="22"/>
                <w:highlight w:val="none"/>
              </w:rPr>
              <w:t>1</w:t>
            </w:r>
          </w:p>
        </w:tc>
        <w:tc>
          <w:tcPr>
            <w:tcW w:w="2342" w:type="dxa"/>
          </w:tcPr>
          <w:p>
            <w:pPr>
              <w:spacing w:line="440" w:lineRule="exact"/>
              <w:jc w:val="center"/>
              <w:rPr>
                <w:szCs w:val="22"/>
                <w:highlight w:val="none"/>
              </w:rPr>
            </w:pPr>
            <w:r>
              <w:rPr>
                <w:szCs w:val="22"/>
                <w:highlight w:val="none"/>
              </w:rPr>
              <w:t>项目负责人</w:t>
            </w:r>
          </w:p>
        </w:tc>
        <w:tc>
          <w:tcPr>
            <w:tcW w:w="992" w:type="dxa"/>
            <w:vAlign w:val="center"/>
          </w:tcPr>
          <w:p>
            <w:pPr>
              <w:spacing w:line="440" w:lineRule="exact"/>
              <w:jc w:val="center"/>
              <w:rPr>
                <w:szCs w:val="22"/>
                <w:highlight w:val="none"/>
              </w:rPr>
            </w:pPr>
          </w:p>
        </w:tc>
        <w:tc>
          <w:tcPr>
            <w:tcW w:w="795" w:type="dxa"/>
            <w:vAlign w:val="center"/>
          </w:tcPr>
          <w:p>
            <w:pPr>
              <w:spacing w:line="440" w:lineRule="exact"/>
              <w:jc w:val="center"/>
              <w:rPr>
                <w:szCs w:val="22"/>
                <w:highlight w:val="none"/>
              </w:rPr>
            </w:pPr>
          </w:p>
        </w:tc>
        <w:tc>
          <w:tcPr>
            <w:tcW w:w="992" w:type="dxa"/>
            <w:vAlign w:val="center"/>
          </w:tcPr>
          <w:p>
            <w:pPr>
              <w:spacing w:line="440" w:lineRule="exact"/>
              <w:jc w:val="center"/>
              <w:rPr>
                <w:szCs w:val="22"/>
                <w:highlight w:val="none"/>
              </w:rPr>
            </w:pPr>
          </w:p>
        </w:tc>
        <w:tc>
          <w:tcPr>
            <w:tcW w:w="1134" w:type="dxa"/>
            <w:vAlign w:val="center"/>
          </w:tcPr>
          <w:p>
            <w:pPr>
              <w:spacing w:line="440" w:lineRule="exact"/>
              <w:jc w:val="center"/>
              <w:rPr>
                <w:szCs w:val="22"/>
                <w:highlight w:val="none"/>
              </w:rPr>
            </w:pPr>
          </w:p>
        </w:tc>
        <w:tc>
          <w:tcPr>
            <w:tcW w:w="709" w:type="dxa"/>
            <w:vAlign w:val="center"/>
          </w:tcPr>
          <w:p>
            <w:pPr>
              <w:spacing w:line="440" w:lineRule="exact"/>
              <w:jc w:val="center"/>
              <w:rPr>
                <w:szCs w:val="22"/>
                <w:highlight w:val="none"/>
              </w:rPr>
            </w:pPr>
          </w:p>
        </w:tc>
        <w:tc>
          <w:tcPr>
            <w:tcW w:w="850" w:type="dxa"/>
            <w:vAlign w:val="center"/>
          </w:tcPr>
          <w:p>
            <w:pPr>
              <w:spacing w:line="440" w:lineRule="exact"/>
              <w:jc w:val="center"/>
              <w:rPr>
                <w:szCs w:val="22"/>
                <w:highlight w:val="none"/>
              </w:rPr>
            </w:pPr>
          </w:p>
        </w:tc>
        <w:tc>
          <w:tcPr>
            <w:tcW w:w="992" w:type="dxa"/>
            <w:vAlign w:val="center"/>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r>
              <w:rPr>
                <w:szCs w:val="22"/>
                <w:highlight w:val="none"/>
              </w:rPr>
              <w:t>……</w:t>
            </w: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 w:type="dxa"/>
          </w:tcPr>
          <w:p>
            <w:pPr>
              <w:spacing w:line="440" w:lineRule="exact"/>
              <w:jc w:val="center"/>
              <w:rPr>
                <w:szCs w:val="22"/>
                <w:highlight w:val="none"/>
              </w:rPr>
            </w:pPr>
          </w:p>
        </w:tc>
        <w:tc>
          <w:tcPr>
            <w:tcW w:w="2342"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79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50" w:type="dxa"/>
          </w:tcPr>
          <w:p>
            <w:pPr>
              <w:spacing w:line="440" w:lineRule="exact"/>
              <w:jc w:val="center"/>
              <w:rPr>
                <w:szCs w:val="22"/>
                <w:highlight w:val="none"/>
              </w:rPr>
            </w:pPr>
          </w:p>
        </w:tc>
        <w:tc>
          <w:tcPr>
            <w:tcW w:w="992" w:type="dxa"/>
          </w:tcPr>
          <w:p>
            <w:pPr>
              <w:spacing w:line="440" w:lineRule="exact"/>
              <w:jc w:val="center"/>
              <w:rPr>
                <w:szCs w:val="22"/>
                <w:highlight w:val="none"/>
              </w:rPr>
            </w:pPr>
          </w:p>
        </w:tc>
      </w:tr>
    </w:tbl>
    <w:p>
      <w:pPr>
        <w:widowControl/>
        <w:ind w:firstLine="420" w:firstLineChars="200"/>
        <w:jc w:val="left"/>
        <w:rPr>
          <w:rFonts w:ascii="宋体" w:hAnsi="宋体"/>
          <w:i/>
          <w:kern w:val="0"/>
          <w:szCs w:val="21"/>
          <w:highlight w:val="none"/>
        </w:rPr>
      </w:pPr>
      <w:r>
        <w:rPr>
          <w:rFonts w:hint="eastAsia" w:ascii="宋体" w:hAnsi="宋体"/>
          <w:i/>
          <w:kern w:val="0"/>
          <w:szCs w:val="21"/>
          <w:highlight w:val="none"/>
        </w:rPr>
        <w:t>（注：主要人员汇总表中项目负责人及相关人员应与投标时已填报的主要人员保持一致，其他专业主要人员应按投标时承诺根据项目实际需求配备。）</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发包人（盖单位</w:t>
      </w:r>
      <w:r>
        <w:rPr>
          <w:rFonts w:hint="eastAsia" w:ascii="宋体" w:hAnsi="宋体"/>
          <w:kern w:val="0"/>
          <w:szCs w:val="21"/>
          <w:highlight w:val="none"/>
          <w:lang w:val="en-US" w:eastAsia="zh-CN"/>
        </w:rPr>
        <w:t>法人</w:t>
      </w:r>
      <w:r>
        <w:rPr>
          <w:rFonts w:ascii="宋体" w:hAnsi="宋体"/>
          <w:kern w:val="0"/>
          <w:szCs w:val="21"/>
          <w:highlight w:val="none"/>
        </w:rPr>
        <w:t xml:space="preserve">章）：                </w:t>
      </w:r>
      <w:r>
        <w:rPr>
          <w:rFonts w:hint="eastAsia" w:ascii="宋体" w:hAnsi="宋体"/>
          <w:kern w:val="0"/>
          <w:szCs w:val="21"/>
          <w:highlight w:val="none"/>
        </w:rPr>
        <w:t xml:space="preserve">    勘察</w:t>
      </w:r>
      <w:r>
        <w:rPr>
          <w:rFonts w:ascii="宋体" w:hAnsi="宋体"/>
          <w:kern w:val="0"/>
          <w:szCs w:val="21"/>
          <w:highlight w:val="none"/>
        </w:rPr>
        <w:t>人（盖单位</w:t>
      </w:r>
      <w:r>
        <w:rPr>
          <w:rFonts w:hint="eastAsia" w:ascii="宋体" w:hAnsi="宋体"/>
          <w:kern w:val="0"/>
          <w:szCs w:val="21"/>
          <w:highlight w:val="none"/>
          <w:lang w:val="en-US" w:eastAsia="zh-CN"/>
        </w:rPr>
        <w:t>法人</w:t>
      </w:r>
      <w:r>
        <w:rPr>
          <w:rFonts w:ascii="宋体" w:hAnsi="宋体"/>
          <w:kern w:val="0"/>
          <w:szCs w:val="21"/>
          <w:highlight w:val="none"/>
        </w:rPr>
        <w:t xml:space="preserve">章）： </w:t>
      </w:r>
      <w:r>
        <w:rPr>
          <w:rFonts w:hint="eastAsia" w:ascii="宋体" w:hAnsi="宋体"/>
          <w:kern w:val="0"/>
          <w:szCs w:val="21"/>
          <w:highlight w:val="none"/>
        </w:rPr>
        <w:t xml:space="preserve">      </w:t>
      </w:r>
    </w:p>
    <w:p>
      <w:pPr>
        <w:pStyle w:val="2"/>
        <w:rPr>
          <w:highlight w:val="none"/>
        </w:rPr>
      </w:pP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法定代表人</w:t>
      </w:r>
      <w:r>
        <w:rPr>
          <w:rFonts w:hint="eastAsia" w:ascii="宋体" w:hAnsi="宋体"/>
          <w:kern w:val="0"/>
          <w:szCs w:val="21"/>
          <w:highlight w:val="none"/>
        </w:rPr>
        <w:t xml:space="preserve">      </w:t>
      </w:r>
      <w:r>
        <w:rPr>
          <w:rFonts w:ascii="宋体" w:hAnsi="宋体"/>
          <w:kern w:val="0"/>
          <w:szCs w:val="21"/>
          <w:highlight w:val="none"/>
        </w:rPr>
        <w:t xml:space="preserve">   </w:t>
      </w:r>
      <w:r>
        <w:rPr>
          <w:rFonts w:hint="eastAsia" w:ascii="宋体" w:hAnsi="宋体"/>
          <w:kern w:val="0"/>
          <w:szCs w:val="21"/>
          <w:highlight w:val="none"/>
        </w:rPr>
        <w:t xml:space="preserve">                     </w:t>
      </w:r>
      <w:r>
        <w:rPr>
          <w:rFonts w:ascii="宋体" w:hAnsi="宋体"/>
          <w:kern w:val="0"/>
          <w:szCs w:val="21"/>
          <w:highlight w:val="none"/>
        </w:rPr>
        <w:t xml:space="preserve">法定代表人 </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或委托代理人（签名）：</w:t>
      </w:r>
      <w:r>
        <w:rPr>
          <w:rFonts w:hint="eastAsia" w:ascii="宋体" w:hAnsi="宋体"/>
          <w:kern w:val="0"/>
          <w:szCs w:val="21"/>
          <w:highlight w:val="none"/>
        </w:rPr>
        <w:t xml:space="preserve">                  </w:t>
      </w:r>
      <w:r>
        <w:rPr>
          <w:rFonts w:ascii="宋体" w:hAnsi="宋体"/>
          <w:kern w:val="0"/>
          <w:szCs w:val="21"/>
          <w:highlight w:val="none"/>
        </w:rPr>
        <w:t xml:space="preserve">或委托代理人（签名）：         </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 xml:space="preserve">联系人：                        </w:t>
      </w:r>
      <w:r>
        <w:rPr>
          <w:rFonts w:hint="eastAsia" w:ascii="宋体" w:hAnsi="宋体"/>
          <w:kern w:val="0"/>
          <w:szCs w:val="21"/>
          <w:highlight w:val="none"/>
        </w:rPr>
        <w:t xml:space="preserve">        </w:t>
      </w:r>
      <w:r>
        <w:rPr>
          <w:rFonts w:ascii="宋体" w:hAnsi="宋体"/>
          <w:kern w:val="0"/>
          <w:szCs w:val="21"/>
          <w:highlight w:val="none"/>
        </w:rPr>
        <w:t>联系人：</w:t>
      </w:r>
    </w:p>
    <w:p>
      <w:pPr>
        <w:widowControl/>
        <w:spacing w:line="360" w:lineRule="auto"/>
        <w:ind w:firstLine="420" w:firstLineChars="200"/>
        <w:jc w:val="left"/>
        <w:rPr>
          <w:rFonts w:ascii="宋体" w:hAnsi="宋体"/>
          <w:kern w:val="0"/>
          <w:szCs w:val="21"/>
          <w:highlight w:val="none"/>
        </w:rPr>
      </w:pPr>
      <w:r>
        <w:rPr>
          <w:rFonts w:ascii="宋体" w:hAnsi="宋体"/>
          <w:kern w:val="0"/>
          <w:szCs w:val="21"/>
          <w:highlight w:val="none"/>
        </w:rPr>
        <w:t xml:space="preserve">联系电话：                     </w:t>
      </w:r>
      <w:r>
        <w:rPr>
          <w:rFonts w:hint="eastAsia" w:ascii="宋体" w:hAnsi="宋体"/>
          <w:kern w:val="0"/>
          <w:szCs w:val="21"/>
          <w:highlight w:val="none"/>
        </w:rPr>
        <w:t xml:space="preserve">      </w:t>
      </w:r>
      <w:r>
        <w:rPr>
          <w:rFonts w:ascii="宋体" w:hAnsi="宋体"/>
          <w:kern w:val="0"/>
          <w:szCs w:val="21"/>
          <w:highlight w:val="none"/>
        </w:rPr>
        <w:t xml:space="preserve"> </w:t>
      </w:r>
      <w:r>
        <w:rPr>
          <w:rFonts w:hint="eastAsia" w:ascii="宋体" w:hAnsi="宋体"/>
          <w:kern w:val="0"/>
          <w:szCs w:val="21"/>
          <w:highlight w:val="none"/>
        </w:rPr>
        <w:t xml:space="preserve">  </w:t>
      </w:r>
      <w:r>
        <w:rPr>
          <w:rFonts w:ascii="宋体" w:hAnsi="宋体"/>
          <w:kern w:val="0"/>
          <w:szCs w:val="21"/>
          <w:highlight w:val="none"/>
        </w:rPr>
        <w:t>联系电话：</w:t>
      </w:r>
    </w:p>
    <w:p>
      <w:pPr>
        <w:widowControl/>
        <w:spacing w:line="360" w:lineRule="auto"/>
        <w:ind w:firstLine="2310" w:firstLineChars="1100"/>
        <w:jc w:val="left"/>
        <w:rPr>
          <w:rFonts w:ascii="宋体" w:hAnsi="宋体"/>
          <w:kern w:val="0"/>
          <w:szCs w:val="21"/>
          <w:highlight w:val="none"/>
        </w:rPr>
      </w:pPr>
      <w:r>
        <w:rPr>
          <w:rFonts w:ascii="宋体" w:hAnsi="宋体"/>
          <w:kern w:val="0"/>
          <w:szCs w:val="21"/>
          <w:highlight w:val="none"/>
        </w:rPr>
        <w:t>签约时间：    年   月   日</w:t>
      </w:r>
    </w:p>
    <w:p>
      <w:pPr>
        <w:widowControl/>
        <w:spacing w:line="240" w:lineRule="auto"/>
        <w:ind w:firstLine="0" w:firstLineChars="0"/>
        <w:jc w:val="left"/>
        <w:rPr>
          <w:rFonts w:ascii="宋体" w:hAnsi="宋体"/>
          <w:kern w:val="0"/>
          <w:szCs w:val="21"/>
          <w:highlight w:val="none"/>
        </w:rPr>
      </w:pPr>
      <w:r>
        <w:rPr>
          <w:rFonts w:ascii="宋体" w:hAnsi="宋体"/>
          <w:kern w:val="0"/>
          <w:szCs w:val="21"/>
          <w:highlight w:val="none"/>
        </w:rPr>
        <w:br w:type="page"/>
      </w:r>
    </w:p>
    <w:p>
      <w:pPr>
        <w:widowControl/>
        <w:tabs>
          <w:tab w:val="left" w:pos="9072"/>
          <w:tab w:val="left" w:pos="9781"/>
        </w:tabs>
        <w:adjustRightInd w:val="0"/>
        <w:snapToGrid w:val="0"/>
        <w:spacing w:line="360" w:lineRule="auto"/>
        <w:ind w:right="120" w:rightChars="57" w:firstLine="600" w:firstLineChars="200"/>
        <w:jc w:val="left"/>
        <w:outlineLvl w:val="3"/>
        <w:rPr>
          <w:rFonts w:ascii="Times New Roman" w:hAnsi="Times New Roman" w:eastAsia="黑体"/>
          <w:sz w:val="30"/>
          <w:szCs w:val="30"/>
          <w:highlight w:val="none"/>
        </w:rPr>
      </w:pPr>
      <w:r>
        <w:rPr>
          <w:rFonts w:hint="eastAsia" w:ascii="Times New Roman" w:hAnsi="Times New Roman" w:eastAsia="黑体" w:cs="Times New Roman"/>
          <w:kern w:val="2"/>
          <w:sz w:val="30"/>
          <w:szCs w:val="30"/>
          <w:highlight w:val="none"/>
        </w:rPr>
        <w:t>附件四：</w:t>
      </w:r>
      <w:r>
        <w:rPr>
          <w:rFonts w:hint="eastAsia" w:ascii="Times New Roman" w:hAnsi="Times New Roman" w:eastAsia="黑体"/>
          <w:sz w:val="30"/>
          <w:szCs w:val="30"/>
          <w:highlight w:val="none"/>
        </w:rPr>
        <w:t>低价风险担保保函示范文本（独立保函）（如有）</w:t>
      </w:r>
    </w:p>
    <w:p>
      <w:pPr>
        <w:spacing w:line="360" w:lineRule="auto"/>
        <w:jc w:val="center"/>
        <w:rPr>
          <w:rFonts w:asciiTheme="minorEastAsia" w:hAnsiTheme="minorEastAsia" w:eastAsiaTheme="minorEastAsia" w:cstheme="minorEastAsia"/>
          <w:b/>
          <w:bCs/>
          <w:szCs w:val="21"/>
          <w:highlight w:val="none"/>
        </w:rPr>
      </w:pPr>
    </w:p>
    <w:p>
      <w:pPr>
        <w:spacing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低价风险担保保函示范文本</w:t>
      </w:r>
    </w:p>
    <w:p>
      <w:pPr>
        <w:spacing w:line="360" w:lineRule="auto"/>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（独立保函）</w:t>
      </w:r>
    </w:p>
    <w:p>
      <w:pPr>
        <w:wordWrap w:val="0"/>
        <w:spacing w:line="360" w:lineRule="auto"/>
        <w:jc w:val="righ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编号：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申请人：</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地址：</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受益人：</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地址：</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开立人：</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地址：</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（受益人名称）： </w:t>
      </w:r>
    </w:p>
    <w:p>
      <w:pPr>
        <w:pStyle w:val="2"/>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鉴于</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（以下简称“申请人”）于 </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日参加</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（以下简称“受益人”）的</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（项目名称）的投标，收到受益人于</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日签发的中标通知书，成为该项目的中标人。基于申请人的请求，我方同意就申请人履行该项目中标通知书、招标文件和投标文件约定的义务，向贵方提供不可撤销、不可转让的见索即付独立保函（以下简称“本保函”）。</w:t>
      </w:r>
    </w:p>
    <w:p>
      <w:pPr>
        <w:pStyle w:val="2"/>
        <w:numPr>
          <w:ilvl w:val="0"/>
          <w:numId w:val="1"/>
        </w:num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本保函担保范围：申请人未按照中标通知书、招标文件和投标文件约定签订合同或未按签订的合同约定履行相关义务，应当向贵方承担的违约责任和赔偿因此造成的损失、利息、律师费、诉讼费用等实现债权的费用。</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二、本保函担保金额最高不超过人民币（大写）</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元（¥</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三、本保函有效期自开立之日起至合同约定的</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日止，最迟不超过</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日。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四、我方承诺，在收到受益人发来的书面付款通知后的</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工作日内无条件支付，前述书面付款通知即为付款要求之单据，且应满足以下要求：</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（1）付款通知到达的日期在本保函的有效期内；</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（2）载明要求支付的金额；</w:t>
      </w:r>
    </w:p>
    <w:p>
      <w:pPr>
        <w:spacing w:line="360" w:lineRule="auto"/>
        <w:ind w:firstLine="420" w:firstLineChars="200"/>
        <w:rPr>
          <w:rFonts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（3）载明申请人未按照中标通知书、招标文件和投标文件约定签订合同或违反合同义务的条款和内容；</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（4）付款通知中应声明不存在招标文件约定、合同文件约定或我国法律规定免除申请人或开立人支付责任的情形；</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（5）付款通知应在本保函有效期内到达的地址是：</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受益人发出的书面付款通知应由其为鉴明受益人法定代表人（负责人）或授权代理人签名加盖公章。</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五、本保函项下的权利不得转让，不得设定担保。贵方未经我方书面同意转让本保函或其项下任何权利，对我方不发生法律效力。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六、与本保函有关的合同不成立、不生效、无效、被撤销、被解除，不影响本保函的独立有效。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七、贵方应在本保函到期后的七个工作日内将本保函正本退回我方注销，但是不论贵方是否按此要求将本保函正本退回我方，我方在本保函项下的义务和责任均在保函有效期到期后自动消灭。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八、本保函适用的法律为中华人民共和国法律，争议裁判管辖地为中华人民共和国</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九、本保函自我方法定代表人或授权代表签名并加盖公章之日起生效。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开 立 人：                              （公章）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法定代表人（或授权代表）：              （签名）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地    址：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邮政编码：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电    话：                 </w:t>
      </w:r>
    </w:p>
    <w:p>
      <w:pPr>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传    真：                 </w:t>
      </w:r>
    </w:p>
    <w:p>
      <w:pPr>
        <w:spacing w:line="360" w:lineRule="auto"/>
        <w:ind w:firstLine="420" w:firstLineChars="200"/>
        <w:rPr>
          <w:highlight w:val="none"/>
        </w:rPr>
      </w:pPr>
      <w:r>
        <w:rPr>
          <w:rFonts w:hint="eastAsia" w:asciiTheme="minorEastAsia" w:hAnsiTheme="minorEastAsia" w:eastAsiaTheme="minorEastAsia" w:cstheme="minorEastAsia"/>
          <w:szCs w:val="21"/>
          <w:highlight w:val="none"/>
        </w:rPr>
        <w:t>开立时间：      年      月      日</w:t>
      </w:r>
    </w:p>
    <w:p>
      <w:pPr>
        <w:spacing w:line="360" w:lineRule="auto"/>
        <w:ind w:firstLine="420" w:firstLineChars="200"/>
        <w:rPr>
          <w:highlight w:val="none"/>
        </w:rPr>
      </w:pPr>
    </w:p>
    <w:p>
      <w:pPr>
        <w:rPr>
          <w:highlight w:val="none"/>
        </w:rPr>
      </w:pPr>
      <w:r>
        <w:rPr>
          <w:highlight w:val="none"/>
        </w:rPr>
        <w:br w:type="page"/>
      </w:r>
    </w:p>
    <w:p>
      <w:pPr>
        <w:pStyle w:val="2"/>
        <w:rPr>
          <w:highlight w:val="none"/>
        </w:rPr>
      </w:pPr>
    </w:p>
    <w:p>
      <w:pPr>
        <w:spacing w:line="240" w:lineRule="exact"/>
        <w:rPr>
          <w:rFonts w:ascii="宋体" w:hAnsi="宋体"/>
          <w:szCs w:val="20"/>
          <w:highlight w:val="none"/>
        </w:rPr>
      </w:pPr>
    </w:p>
    <w:p>
      <w:pPr>
        <w:pStyle w:val="3"/>
        <w:spacing w:before="0" w:after="0" w:line="360" w:lineRule="auto"/>
        <w:jc w:val="center"/>
        <w:rPr>
          <w:rFonts w:ascii="宋体" w:hAnsi="宋体"/>
          <w:sz w:val="52"/>
          <w:szCs w:val="52"/>
          <w:highlight w:val="none"/>
        </w:rPr>
      </w:pPr>
      <w:bookmarkStart w:id="1870" w:name="_Toc534185823"/>
      <w:bookmarkStart w:id="1871" w:name="_Toc509218844"/>
      <w:bookmarkStart w:id="1872" w:name="_Toc6441"/>
      <w:bookmarkStart w:id="1873" w:name="_Toc75857103"/>
      <w:bookmarkStart w:id="1874" w:name="_Toc10873"/>
      <w:bookmarkStart w:id="1875" w:name="_Toc30119"/>
      <w:bookmarkStart w:id="1876" w:name="_Toc3465"/>
      <w:bookmarkStart w:id="1877" w:name="_Toc6876"/>
      <w:r>
        <w:rPr>
          <w:rFonts w:ascii="宋体" w:hAnsi="宋体"/>
          <w:sz w:val="52"/>
          <w:szCs w:val="52"/>
          <w:highlight w:val="none"/>
        </w:rPr>
        <w:t>第 二 卷</w:t>
      </w:r>
      <w:bookmarkEnd w:id="1870"/>
      <w:bookmarkEnd w:id="1871"/>
      <w:bookmarkEnd w:id="1872"/>
      <w:bookmarkEnd w:id="1873"/>
      <w:bookmarkEnd w:id="1874"/>
      <w:bookmarkEnd w:id="1875"/>
      <w:bookmarkEnd w:id="1876"/>
      <w:bookmarkEnd w:id="1877"/>
    </w:p>
    <w:p>
      <w:pPr>
        <w:pStyle w:val="3"/>
        <w:jc w:val="center"/>
        <w:rPr>
          <w:bCs w:val="0"/>
          <w:szCs w:val="20"/>
          <w:highlight w:val="none"/>
        </w:rPr>
      </w:pPr>
      <w:r>
        <w:rPr>
          <w:rFonts w:ascii="宋体" w:hAnsi="宋体"/>
          <w:szCs w:val="20"/>
          <w:highlight w:val="none"/>
        </w:rPr>
        <w:br w:type="page"/>
      </w:r>
      <w:bookmarkStart w:id="1878" w:name="_Toc15504"/>
      <w:bookmarkStart w:id="1879" w:name="_Toc75857104"/>
      <w:bookmarkStart w:id="1880" w:name="_Toc12646"/>
      <w:bookmarkStart w:id="1881" w:name="_Toc14118"/>
      <w:bookmarkStart w:id="1882" w:name="_Toc492300926"/>
      <w:bookmarkStart w:id="1883" w:name="_Toc29802"/>
      <w:bookmarkStart w:id="1884" w:name="_Toc20919"/>
      <w:r>
        <w:rPr>
          <w:rFonts w:hint="eastAsia"/>
          <w:bCs w:val="0"/>
          <w:szCs w:val="20"/>
          <w:highlight w:val="none"/>
        </w:rPr>
        <w:t>第五章  发包人要求</w:t>
      </w:r>
      <w:bookmarkEnd w:id="1878"/>
      <w:bookmarkEnd w:id="1879"/>
      <w:bookmarkEnd w:id="1880"/>
      <w:bookmarkEnd w:id="1881"/>
      <w:bookmarkEnd w:id="1882"/>
      <w:bookmarkEnd w:id="1883"/>
      <w:bookmarkEnd w:id="1884"/>
    </w:p>
    <w:p>
      <w:pPr>
        <w:topLinePunct/>
        <w:spacing w:line="440" w:lineRule="exact"/>
        <w:jc w:val="center"/>
        <w:rPr>
          <w:szCs w:val="22"/>
          <w:highlight w:val="none"/>
        </w:rPr>
      </w:pPr>
    </w:p>
    <w:p>
      <w:pPr>
        <w:spacing w:line="400" w:lineRule="exact"/>
        <w:jc w:val="center"/>
        <w:rPr>
          <w:szCs w:val="22"/>
          <w:highlight w:val="none"/>
        </w:rPr>
      </w:pPr>
      <w:r>
        <w:rPr>
          <w:szCs w:val="22"/>
          <w:highlight w:val="none"/>
        </w:rPr>
        <w:br w:type="page"/>
      </w:r>
    </w:p>
    <w:p>
      <w:pPr>
        <w:spacing w:line="400" w:lineRule="exact"/>
        <w:jc w:val="center"/>
        <w:rPr>
          <w:b/>
          <w:sz w:val="32"/>
          <w:szCs w:val="32"/>
          <w:highlight w:val="none"/>
        </w:rPr>
      </w:pPr>
      <w:r>
        <w:rPr>
          <w:b/>
          <w:sz w:val="32"/>
          <w:szCs w:val="32"/>
          <w:highlight w:val="none"/>
        </w:rPr>
        <w:t>发包人要求</w:t>
      </w:r>
    </w:p>
    <w:p>
      <w:pPr>
        <w:spacing w:line="440" w:lineRule="exact"/>
        <w:ind w:firstLine="420" w:firstLineChars="200"/>
        <w:rPr>
          <w:szCs w:val="21"/>
          <w:highlight w:val="none"/>
        </w:rPr>
      </w:pPr>
      <w:r>
        <w:rPr>
          <w:szCs w:val="21"/>
          <w:highlight w:val="none"/>
        </w:rPr>
        <w:t>发包人要求应尽可能清晰准确，对于可以进行定量评估的工作，发包人要求不仅应明确规定其功能、用途、质量、环境、安全，并且要规定偏差的范围和计算方法，以及检验、试验、试运行的具体要求。对于勘察人负责提供的有关服务，在发包人要求中应一并明确规定。</w:t>
      </w:r>
    </w:p>
    <w:p>
      <w:pPr>
        <w:spacing w:line="440" w:lineRule="exact"/>
        <w:ind w:firstLine="420" w:firstLineChars="200"/>
        <w:rPr>
          <w:b/>
          <w:sz w:val="32"/>
          <w:szCs w:val="22"/>
          <w:highlight w:val="none"/>
        </w:rPr>
      </w:pPr>
      <w:r>
        <w:rPr>
          <w:szCs w:val="21"/>
          <w:highlight w:val="none"/>
        </w:rPr>
        <w:t>发包人要求通常包括但不限于以下内容：</w:t>
      </w:r>
    </w:p>
    <w:p>
      <w:pPr>
        <w:keepNext/>
        <w:keepLines/>
        <w:spacing w:before="260" w:after="260"/>
        <w:outlineLvl w:val="1"/>
        <w:rPr>
          <w:rFonts w:eastAsia="黑体"/>
          <w:sz w:val="28"/>
          <w:szCs w:val="28"/>
          <w:highlight w:val="none"/>
        </w:rPr>
      </w:pPr>
      <w:bookmarkStart w:id="1885" w:name="_Toc11544"/>
      <w:bookmarkStart w:id="1886" w:name="_Toc492300927"/>
      <w:bookmarkStart w:id="1887" w:name="_Toc482188637"/>
      <w:bookmarkStart w:id="1888" w:name="_Toc1095"/>
      <w:bookmarkStart w:id="1889" w:name="_Toc10656"/>
      <w:bookmarkStart w:id="1890" w:name="_Toc9909"/>
      <w:bookmarkStart w:id="1891" w:name="_Toc75857105"/>
      <w:bookmarkStart w:id="1892" w:name="_Toc14224"/>
      <w:r>
        <w:rPr>
          <w:rFonts w:hint="eastAsia" w:eastAsia="黑体"/>
          <w:sz w:val="28"/>
          <w:szCs w:val="28"/>
          <w:highlight w:val="none"/>
        </w:rPr>
        <w:t>一、勘察要求</w:t>
      </w:r>
      <w:bookmarkEnd w:id="1885"/>
      <w:bookmarkEnd w:id="1886"/>
      <w:bookmarkEnd w:id="1887"/>
      <w:bookmarkEnd w:id="1888"/>
      <w:bookmarkEnd w:id="1889"/>
      <w:bookmarkEnd w:id="1890"/>
      <w:bookmarkEnd w:id="1891"/>
      <w:bookmarkEnd w:id="1892"/>
    </w:p>
    <w:p>
      <w:pPr>
        <w:spacing w:line="440" w:lineRule="exact"/>
        <w:ind w:firstLine="359" w:firstLineChars="171"/>
        <w:rPr>
          <w:b/>
          <w:szCs w:val="22"/>
          <w:highlight w:val="none"/>
        </w:rPr>
      </w:pPr>
      <w:r>
        <w:rPr>
          <w:szCs w:val="22"/>
          <w:highlight w:val="none"/>
        </w:rPr>
        <w:t>招标人应当根据项目情况在本章中明确相应的勘察要求，一般应包括以下内容：</w:t>
      </w:r>
    </w:p>
    <w:p>
      <w:pPr>
        <w:spacing w:line="440" w:lineRule="exact"/>
        <w:ind w:firstLine="359" w:firstLineChars="171"/>
        <w:rPr>
          <w:szCs w:val="22"/>
          <w:highlight w:val="none"/>
        </w:rPr>
      </w:pPr>
      <w:r>
        <w:rPr>
          <w:szCs w:val="22"/>
          <w:highlight w:val="none"/>
        </w:rPr>
        <w:t>1. 项目概况</w:t>
      </w:r>
    </w:p>
    <w:p>
      <w:pPr>
        <w:spacing w:line="440" w:lineRule="exact"/>
        <w:ind w:firstLine="359" w:firstLineChars="171"/>
        <w:rPr>
          <w:szCs w:val="22"/>
          <w:highlight w:val="none"/>
        </w:rPr>
      </w:pPr>
      <w:r>
        <w:rPr>
          <w:szCs w:val="22"/>
          <w:highlight w:val="none"/>
        </w:rPr>
        <w:t>包括项目名称、建设单位、建设规模、项目地理位置、周边环境、树木情况、文物情况、地址地貌、气候及气象条件、道路交通状况、市政情况等。</w:t>
      </w:r>
    </w:p>
    <w:p>
      <w:pPr>
        <w:spacing w:line="440" w:lineRule="exact"/>
        <w:ind w:firstLine="359" w:firstLineChars="171"/>
        <w:rPr>
          <w:szCs w:val="22"/>
          <w:highlight w:val="none"/>
        </w:rPr>
      </w:pPr>
      <w:r>
        <w:rPr>
          <w:szCs w:val="22"/>
          <w:highlight w:val="none"/>
        </w:rPr>
        <w:t>2. 勘察范围及内容</w:t>
      </w:r>
    </w:p>
    <w:p>
      <w:pPr>
        <w:spacing w:line="440" w:lineRule="exact"/>
        <w:ind w:firstLine="359" w:firstLineChars="171"/>
        <w:rPr>
          <w:szCs w:val="22"/>
          <w:highlight w:val="none"/>
        </w:rPr>
      </w:pPr>
      <w:r>
        <w:rPr>
          <w:szCs w:val="22"/>
          <w:highlight w:val="none"/>
        </w:rPr>
        <w:t>3. 勘察依据</w:t>
      </w:r>
    </w:p>
    <w:p>
      <w:pPr>
        <w:spacing w:line="440" w:lineRule="exact"/>
        <w:ind w:firstLine="359" w:firstLineChars="171"/>
        <w:rPr>
          <w:szCs w:val="22"/>
          <w:highlight w:val="none"/>
        </w:rPr>
      </w:pPr>
      <w:r>
        <w:rPr>
          <w:szCs w:val="22"/>
          <w:highlight w:val="none"/>
        </w:rPr>
        <w:t>4. 基础资料</w:t>
      </w:r>
    </w:p>
    <w:p>
      <w:pPr>
        <w:spacing w:line="440" w:lineRule="exact"/>
        <w:ind w:firstLine="359" w:firstLineChars="171"/>
        <w:rPr>
          <w:szCs w:val="22"/>
          <w:highlight w:val="none"/>
        </w:rPr>
      </w:pPr>
      <w:r>
        <w:rPr>
          <w:rFonts w:hint="eastAsia"/>
          <w:szCs w:val="22"/>
          <w:highlight w:val="none"/>
        </w:rPr>
        <w:t>5. 勘察人员和设备要求</w:t>
      </w:r>
    </w:p>
    <w:p>
      <w:pPr>
        <w:spacing w:line="440" w:lineRule="exact"/>
        <w:ind w:firstLine="359" w:firstLineChars="171"/>
        <w:rPr>
          <w:szCs w:val="22"/>
          <w:highlight w:val="none"/>
        </w:rPr>
      </w:pPr>
      <w:r>
        <w:rPr>
          <w:rFonts w:hint="eastAsia"/>
          <w:szCs w:val="22"/>
          <w:highlight w:val="none"/>
        </w:rPr>
        <w:t>6</w:t>
      </w:r>
      <w:r>
        <w:rPr>
          <w:szCs w:val="22"/>
          <w:highlight w:val="none"/>
        </w:rPr>
        <w:t>. 其他要求</w:t>
      </w:r>
    </w:p>
    <w:p>
      <w:pPr>
        <w:keepNext/>
        <w:keepLines/>
        <w:spacing w:before="260" w:after="260"/>
        <w:outlineLvl w:val="1"/>
        <w:rPr>
          <w:rFonts w:eastAsia="黑体"/>
          <w:sz w:val="28"/>
          <w:szCs w:val="28"/>
          <w:highlight w:val="none"/>
        </w:rPr>
      </w:pPr>
      <w:bookmarkStart w:id="1893" w:name="_Toc22140"/>
      <w:bookmarkStart w:id="1894" w:name="_Toc26220"/>
      <w:bookmarkStart w:id="1895" w:name="_Toc75857106"/>
      <w:bookmarkStart w:id="1896" w:name="_Toc23723"/>
      <w:bookmarkStart w:id="1897" w:name="_Toc492300928"/>
      <w:bookmarkStart w:id="1898" w:name="_Toc32750"/>
      <w:bookmarkStart w:id="1899" w:name="_Toc482188638"/>
      <w:bookmarkStart w:id="1900" w:name="_Toc17909"/>
      <w:r>
        <w:rPr>
          <w:rFonts w:eastAsia="黑体"/>
          <w:sz w:val="28"/>
          <w:szCs w:val="28"/>
          <w:highlight w:val="none"/>
        </w:rPr>
        <w:t>二、适用规范标准</w:t>
      </w:r>
      <w:bookmarkEnd w:id="1893"/>
      <w:bookmarkEnd w:id="1894"/>
      <w:bookmarkEnd w:id="1895"/>
      <w:bookmarkEnd w:id="1896"/>
      <w:bookmarkEnd w:id="1897"/>
      <w:bookmarkEnd w:id="1898"/>
      <w:bookmarkEnd w:id="1899"/>
      <w:bookmarkEnd w:id="1900"/>
    </w:p>
    <w:p>
      <w:pPr>
        <w:spacing w:line="360" w:lineRule="auto"/>
        <w:ind w:firstLine="420" w:firstLineChars="200"/>
        <w:rPr>
          <w:szCs w:val="22"/>
          <w:highlight w:val="none"/>
        </w:rPr>
      </w:pPr>
      <w:r>
        <w:rPr>
          <w:szCs w:val="22"/>
          <w:highlight w:val="none"/>
        </w:rPr>
        <w:t>1. 国家、行业、项目所在地规范名录</w:t>
      </w:r>
    </w:p>
    <w:p>
      <w:pPr>
        <w:spacing w:line="360" w:lineRule="auto"/>
        <w:ind w:firstLine="420" w:firstLineChars="200"/>
        <w:rPr>
          <w:szCs w:val="22"/>
          <w:highlight w:val="none"/>
        </w:rPr>
      </w:pPr>
      <w:r>
        <w:rPr>
          <w:szCs w:val="22"/>
          <w:highlight w:val="none"/>
        </w:rPr>
        <w:t>2. 国家、行业、项目所在地标准名录</w:t>
      </w:r>
    </w:p>
    <w:p>
      <w:pPr>
        <w:spacing w:line="360" w:lineRule="auto"/>
        <w:ind w:firstLine="420" w:firstLineChars="200"/>
        <w:rPr>
          <w:szCs w:val="22"/>
          <w:highlight w:val="none"/>
        </w:rPr>
      </w:pPr>
      <w:r>
        <w:rPr>
          <w:szCs w:val="22"/>
          <w:highlight w:val="none"/>
        </w:rPr>
        <w:t>3. 国家、行业、项目所在地规程名录</w:t>
      </w:r>
    </w:p>
    <w:p>
      <w:pPr>
        <w:keepNext/>
        <w:keepLines/>
        <w:spacing w:before="260" w:after="260"/>
        <w:outlineLvl w:val="1"/>
        <w:rPr>
          <w:rFonts w:eastAsia="黑体"/>
          <w:sz w:val="28"/>
          <w:szCs w:val="28"/>
          <w:highlight w:val="none"/>
        </w:rPr>
      </w:pPr>
      <w:bookmarkStart w:id="1901" w:name="_Toc7996"/>
      <w:bookmarkStart w:id="1902" w:name="_Toc15330"/>
      <w:bookmarkStart w:id="1903" w:name="_Toc482188639"/>
      <w:bookmarkStart w:id="1904" w:name="_Toc492300929"/>
      <w:bookmarkStart w:id="1905" w:name="_Toc10391"/>
      <w:bookmarkStart w:id="1906" w:name="_Toc75857107"/>
      <w:bookmarkStart w:id="1907" w:name="_Toc31513"/>
      <w:bookmarkStart w:id="1908" w:name="_Toc3058"/>
      <w:r>
        <w:rPr>
          <w:rFonts w:eastAsia="黑体"/>
          <w:sz w:val="28"/>
          <w:szCs w:val="28"/>
          <w:highlight w:val="none"/>
        </w:rPr>
        <w:t>三、成果文件要求</w:t>
      </w:r>
      <w:bookmarkEnd w:id="1901"/>
      <w:bookmarkEnd w:id="1902"/>
      <w:bookmarkEnd w:id="1903"/>
      <w:bookmarkEnd w:id="1904"/>
      <w:bookmarkEnd w:id="1905"/>
      <w:bookmarkEnd w:id="1906"/>
      <w:bookmarkEnd w:id="1907"/>
      <w:bookmarkEnd w:id="1908"/>
    </w:p>
    <w:p>
      <w:pPr>
        <w:spacing w:line="360" w:lineRule="auto"/>
        <w:ind w:firstLine="420" w:firstLineChars="200"/>
        <w:rPr>
          <w:szCs w:val="22"/>
          <w:highlight w:val="none"/>
        </w:rPr>
      </w:pPr>
      <w:r>
        <w:rPr>
          <w:szCs w:val="22"/>
          <w:highlight w:val="none"/>
        </w:rPr>
        <w:t>1. 成果文件的组成：勘察说明、图纸等</w:t>
      </w:r>
    </w:p>
    <w:p>
      <w:pPr>
        <w:spacing w:line="360" w:lineRule="auto"/>
        <w:ind w:firstLine="420" w:firstLineChars="200"/>
        <w:rPr>
          <w:szCs w:val="22"/>
          <w:highlight w:val="none"/>
        </w:rPr>
      </w:pPr>
      <w:r>
        <w:rPr>
          <w:szCs w:val="22"/>
          <w:highlight w:val="none"/>
        </w:rPr>
        <w:t>2. 成果文件的深度</w:t>
      </w:r>
    </w:p>
    <w:p>
      <w:pPr>
        <w:spacing w:line="360" w:lineRule="auto"/>
        <w:ind w:firstLine="420" w:firstLineChars="200"/>
        <w:rPr>
          <w:szCs w:val="22"/>
          <w:highlight w:val="none"/>
        </w:rPr>
      </w:pPr>
      <w:r>
        <w:rPr>
          <w:szCs w:val="22"/>
          <w:highlight w:val="none"/>
        </w:rPr>
        <w:t>3. 成果文件的格式要求</w:t>
      </w:r>
    </w:p>
    <w:p>
      <w:pPr>
        <w:spacing w:line="360" w:lineRule="auto"/>
        <w:ind w:firstLine="420" w:firstLineChars="200"/>
        <w:rPr>
          <w:szCs w:val="22"/>
          <w:highlight w:val="none"/>
        </w:rPr>
      </w:pPr>
      <w:r>
        <w:rPr>
          <w:szCs w:val="22"/>
          <w:highlight w:val="none"/>
        </w:rPr>
        <w:t>4. 成果文件的份数要求</w:t>
      </w:r>
    </w:p>
    <w:p>
      <w:pPr>
        <w:spacing w:line="360" w:lineRule="auto"/>
        <w:ind w:firstLine="420" w:firstLineChars="200"/>
        <w:rPr>
          <w:szCs w:val="22"/>
          <w:highlight w:val="none"/>
        </w:rPr>
      </w:pPr>
      <w:r>
        <w:rPr>
          <w:szCs w:val="22"/>
          <w:highlight w:val="none"/>
        </w:rPr>
        <w:t>5. 成果文件的载体要求</w:t>
      </w:r>
    </w:p>
    <w:p>
      <w:pPr>
        <w:spacing w:line="360" w:lineRule="auto"/>
        <w:ind w:firstLine="420" w:firstLineChars="200"/>
        <w:rPr>
          <w:szCs w:val="22"/>
          <w:highlight w:val="none"/>
        </w:rPr>
      </w:pPr>
      <w:r>
        <w:rPr>
          <w:szCs w:val="22"/>
          <w:highlight w:val="none"/>
        </w:rPr>
        <w:t>（1）纸质版的要求</w:t>
      </w:r>
      <w:r>
        <w:rPr>
          <w:rFonts w:hint="eastAsia"/>
          <w:szCs w:val="22"/>
          <w:highlight w:val="none"/>
        </w:rPr>
        <w:t>；</w:t>
      </w:r>
    </w:p>
    <w:p>
      <w:pPr>
        <w:spacing w:line="360" w:lineRule="auto"/>
        <w:ind w:firstLine="420" w:firstLineChars="200"/>
        <w:rPr>
          <w:szCs w:val="22"/>
          <w:highlight w:val="none"/>
        </w:rPr>
      </w:pPr>
      <w:r>
        <w:rPr>
          <w:szCs w:val="22"/>
          <w:highlight w:val="none"/>
        </w:rPr>
        <w:t>（2）电子版的要求</w:t>
      </w:r>
      <w:r>
        <w:rPr>
          <w:rFonts w:hint="eastAsia"/>
          <w:szCs w:val="22"/>
          <w:highlight w:val="none"/>
        </w:rPr>
        <w:t>；</w:t>
      </w:r>
    </w:p>
    <w:p>
      <w:pPr>
        <w:spacing w:line="360" w:lineRule="auto"/>
        <w:ind w:firstLine="420" w:firstLineChars="200"/>
        <w:rPr>
          <w:szCs w:val="22"/>
          <w:highlight w:val="none"/>
        </w:rPr>
      </w:pPr>
      <w:r>
        <w:rPr>
          <w:szCs w:val="22"/>
          <w:highlight w:val="none"/>
        </w:rPr>
        <w:t>（3）其他要求</w:t>
      </w:r>
      <w:r>
        <w:rPr>
          <w:rFonts w:hint="eastAsia"/>
          <w:szCs w:val="22"/>
          <w:highlight w:val="none"/>
        </w:rPr>
        <w:t>。</w:t>
      </w:r>
    </w:p>
    <w:p>
      <w:pPr>
        <w:spacing w:line="360" w:lineRule="auto"/>
        <w:ind w:firstLine="420" w:firstLineChars="200"/>
        <w:rPr>
          <w:szCs w:val="22"/>
          <w:highlight w:val="none"/>
        </w:rPr>
      </w:pPr>
      <w:r>
        <w:rPr>
          <w:szCs w:val="22"/>
          <w:highlight w:val="none"/>
        </w:rPr>
        <w:t>6. 成果文件的其他要求</w:t>
      </w:r>
    </w:p>
    <w:p>
      <w:pPr>
        <w:keepNext/>
        <w:keepLines/>
        <w:spacing w:before="260" w:after="260"/>
        <w:outlineLvl w:val="1"/>
        <w:rPr>
          <w:rFonts w:eastAsia="黑体"/>
          <w:sz w:val="28"/>
          <w:szCs w:val="28"/>
          <w:highlight w:val="none"/>
        </w:rPr>
      </w:pPr>
      <w:bookmarkStart w:id="1909" w:name="_Toc482188640"/>
      <w:bookmarkStart w:id="1910" w:name="_Toc6381"/>
      <w:bookmarkStart w:id="1911" w:name="_Toc492300930"/>
      <w:bookmarkStart w:id="1912" w:name="_Toc1251"/>
      <w:bookmarkStart w:id="1913" w:name="_Toc22632"/>
      <w:bookmarkStart w:id="1914" w:name="_Toc25491"/>
      <w:bookmarkStart w:id="1915" w:name="_Toc10586"/>
      <w:bookmarkStart w:id="1916" w:name="_Toc75857108"/>
      <w:r>
        <w:rPr>
          <w:rFonts w:eastAsia="黑体"/>
          <w:sz w:val="28"/>
          <w:szCs w:val="28"/>
          <w:highlight w:val="none"/>
        </w:rPr>
        <w:t>四、发包人财产清单</w:t>
      </w:r>
      <w:bookmarkEnd w:id="1909"/>
      <w:bookmarkEnd w:id="1910"/>
      <w:bookmarkEnd w:id="1911"/>
      <w:bookmarkEnd w:id="1912"/>
      <w:bookmarkEnd w:id="1913"/>
      <w:bookmarkEnd w:id="1914"/>
      <w:bookmarkEnd w:id="1915"/>
      <w:bookmarkEnd w:id="1916"/>
    </w:p>
    <w:p>
      <w:pPr>
        <w:keepNext/>
        <w:keepLines/>
        <w:spacing w:before="260" w:after="260" w:line="412" w:lineRule="auto"/>
        <w:ind w:firstLine="137" w:firstLineChars="49"/>
        <w:outlineLvl w:val="2"/>
        <w:rPr>
          <w:rFonts w:eastAsia="黑体"/>
          <w:sz w:val="28"/>
          <w:szCs w:val="20"/>
          <w:highlight w:val="none"/>
        </w:rPr>
      </w:pPr>
      <w:bookmarkStart w:id="1917" w:name="_Toc19817"/>
      <w:bookmarkStart w:id="1918" w:name="_Toc75857109"/>
      <w:bookmarkStart w:id="1919" w:name="_Toc482188641"/>
      <w:bookmarkStart w:id="1920" w:name="_Toc21336"/>
      <w:bookmarkStart w:id="1921" w:name="_Toc492300931"/>
      <w:bookmarkStart w:id="1922" w:name="_Toc26416"/>
      <w:bookmarkStart w:id="1923" w:name="_Toc8998"/>
      <w:bookmarkStart w:id="1924" w:name="_Toc17479"/>
      <w:r>
        <w:rPr>
          <w:rFonts w:eastAsia="黑体"/>
          <w:sz w:val="28"/>
          <w:szCs w:val="20"/>
          <w:highlight w:val="none"/>
        </w:rPr>
        <w:t>（一）发包人提供的设备、设施</w:t>
      </w:r>
      <w:bookmarkEnd w:id="1917"/>
      <w:bookmarkEnd w:id="1918"/>
      <w:bookmarkEnd w:id="1919"/>
      <w:bookmarkEnd w:id="1920"/>
      <w:bookmarkEnd w:id="1921"/>
      <w:bookmarkEnd w:id="1922"/>
      <w:bookmarkEnd w:id="1923"/>
      <w:bookmarkEnd w:id="1924"/>
    </w:p>
    <w:p>
      <w:pPr>
        <w:spacing w:line="360" w:lineRule="auto"/>
        <w:ind w:firstLine="420" w:firstLineChars="200"/>
        <w:rPr>
          <w:szCs w:val="22"/>
          <w:highlight w:val="none"/>
        </w:rPr>
      </w:pPr>
      <w:r>
        <w:rPr>
          <w:szCs w:val="22"/>
          <w:highlight w:val="none"/>
        </w:rPr>
        <w:t>1. 发包人提供的办公房屋及冷暖设施：如办公室数量及面积、空调等</w:t>
      </w:r>
    </w:p>
    <w:p>
      <w:pPr>
        <w:spacing w:line="360" w:lineRule="auto"/>
        <w:ind w:firstLine="420" w:firstLineChars="200"/>
        <w:rPr>
          <w:szCs w:val="22"/>
          <w:highlight w:val="none"/>
        </w:rPr>
      </w:pPr>
      <w:r>
        <w:rPr>
          <w:szCs w:val="22"/>
          <w:highlight w:val="none"/>
        </w:rPr>
        <w:t>2. 发包人提供的设备清单：如电脑、投影、打印机、复印机等</w:t>
      </w:r>
    </w:p>
    <w:p>
      <w:pPr>
        <w:spacing w:line="360" w:lineRule="auto"/>
        <w:ind w:firstLine="420" w:firstLineChars="200"/>
        <w:rPr>
          <w:szCs w:val="22"/>
          <w:highlight w:val="none"/>
        </w:rPr>
      </w:pPr>
      <w:r>
        <w:rPr>
          <w:szCs w:val="22"/>
          <w:highlight w:val="none"/>
        </w:rPr>
        <w:t>3. 发包人提供的设施清单：如办公桌椅、文件柜等</w:t>
      </w:r>
    </w:p>
    <w:p>
      <w:pPr>
        <w:spacing w:line="360" w:lineRule="auto"/>
        <w:ind w:firstLine="420" w:firstLineChars="200"/>
        <w:rPr>
          <w:szCs w:val="22"/>
          <w:highlight w:val="none"/>
        </w:rPr>
      </w:pPr>
      <w:bookmarkStart w:id="1925" w:name="_Toc482188642"/>
      <w:r>
        <w:rPr>
          <w:szCs w:val="22"/>
          <w:highlight w:val="none"/>
        </w:rPr>
        <w:t>……</w:t>
      </w:r>
    </w:p>
    <w:p>
      <w:pPr>
        <w:keepNext/>
        <w:keepLines/>
        <w:spacing w:before="260" w:after="260" w:line="412" w:lineRule="auto"/>
        <w:ind w:firstLine="137" w:firstLineChars="49"/>
        <w:outlineLvl w:val="2"/>
        <w:rPr>
          <w:rFonts w:eastAsia="黑体"/>
          <w:sz w:val="28"/>
          <w:szCs w:val="20"/>
          <w:highlight w:val="none"/>
        </w:rPr>
      </w:pPr>
      <w:bookmarkStart w:id="1926" w:name="_Toc8646"/>
      <w:bookmarkStart w:id="1927" w:name="_Toc12303"/>
      <w:bookmarkStart w:id="1928" w:name="_Toc75857110"/>
      <w:bookmarkStart w:id="1929" w:name="_Toc15510"/>
      <w:bookmarkStart w:id="1930" w:name="_Toc492300932"/>
      <w:bookmarkStart w:id="1931" w:name="_Toc27742"/>
      <w:bookmarkStart w:id="1932" w:name="_Toc9001"/>
      <w:r>
        <w:rPr>
          <w:rFonts w:eastAsia="黑体"/>
          <w:sz w:val="28"/>
          <w:szCs w:val="20"/>
          <w:highlight w:val="none"/>
        </w:rPr>
        <w:t>（二）发包人提供的资料</w:t>
      </w:r>
      <w:bookmarkEnd w:id="1925"/>
      <w:bookmarkEnd w:id="1926"/>
      <w:bookmarkEnd w:id="1927"/>
      <w:bookmarkEnd w:id="1928"/>
      <w:bookmarkEnd w:id="1929"/>
      <w:bookmarkEnd w:id="1930"/>
      <w:bookmarkEnd w:id="1931"/>
      <w:bookmarkEnd w:id="1932"/>
    </w:p>
    <w:p>
      <w:pPr>
        <w:spacing w:line="360" w:lineRule="auto"/>
        <w:ind w:firstLine="420" w:firstLineChars="200"/>
        <w:rPr>
          <w:szCs w:val="22"/>
          <w:highlight w:val="none"/>
        </w:rPr>
      </w:pPr>
      <w:r>
        <w:rPr>
          <w:szCs w:val="22"/>
          <w:highlight w:val="none"/>
        </w:rPr>
        <w:t>1. 施工场地及毗邻区域内的供水、排水、供电、供气、供热、通信、广播电视等地下管线资料、气象和水文观测资料，相邻建筑物和构筑物、地下工程的有关资料，以及其他与建设工程有关的原始资料</w:t>
      </w:r>
    </w:p>
    <w:p>
      <w:pPr>
        <w:spacing w:line="360" w:lineRule="auto"/>
        <w:ind w:firstLine="420" w:firstLineChars="200"/>
        <w:rPr>
          <w:szCs w:val="22"/>
          <w:highlight w:val="none"/>
        </w:rPr>
      </w:pPr>
      <w:r>
        <w:rPr>
          <w:szCs w:val="22"/>
          <w:highlight w:val="none"/>
        </w:rPr>
        <w:t>2. 定位放线的基准点、基准线和基准标高</w:t>
      </w:r>
    </w:p>
    <w:p>
      <w:pPr>
        <w:spacing w:line="360" w:lineRule="auto"/>
        <w:ind w:firstLine="420" w:firstLineChars="200"/>
        <w:rPr>
          <w:szCs w:val="22"/>
          <w:highlight w:val="none"/>
        </w:rPr>
      </w:pPr>
      <w:r>
        <w:rPr>
          <w:szCs w:val="22"/>
          <w:highlight w:val="none"/>
        </w:rPr>
        <w:t>3. 发包人取得的有关审批、核准和备案材料，如规划许可证</w:t>
      </w:r>
    </w:p>
    <w:p>
      <w:pPr>
        <w:spacing w:line="360" w:lineRule="auto"/>
        <w:ind w:firstLine="420" w:firstLineChars="200"/>
        <w:rPr>
          <w:szCs w:val="22"/>
          <w:highlight w:val="none"/>
        </w:rPr>
      </w:pPr>
      <w:r>
        <w:rPr>
          <w:szCs w:val="22"/>
          <w:highlight w:val="none"/>
        </w:rPr>
        <w:t>4.</w:t>
      </w:r>
      <w:r>
        <w:rPr>
          <w:rFonts w:hint="eastAsia"/>
          <w:szCs w:val="22"/>
          <w:highlight w:val="none"/>
        </w:rPr>
        <w:t xml:space="preserve"> </w:t>
      </w:r>
      <w:r>
        <w:rPr>
          <w:szCs w:val="22"/>
          <w:highlight w:val="none"/>
        </w:rPr>
        <w:t>技术标准、规范</w:t>
      </w:r>
    </w:p>
    <w:p>
      <w:pPr>
        <w:spacing w:line="360" w:lineRule="auto"/>
        <w:ind w:firstLine="420" w:firstLineChars="200"/>
        <w:rPr>
          <w:szCs w:val="22"/>
          <w:highlight w:val="none"/>
        </w:rPr>
      </w:pPr>
      <w:r>
        <w:rPr>
          <w:szCs w:val="22"/>
          <w:highlight w:val="none"/>
        </w:rPr>
        <w:t>5. 其他资料</w:t>
      </w:r>
    </w:p>
    <w:p>
      <w:pPr>
        <w:spacing w:line="360" w:lineRule="auto"/>
        <w:ind w:firstLine="420" w:firstLineChars="200"/>
        <w:rPr>
          <w:szCs w:val="22"/>
          <w:highlight w:val="none"/>
        </w:rPr>
      </w:pPr>
      <w:bookmarkStart w:id="1933" w:name="_Toc482188643"/>
      <w:r>
        <w:rPr>
          <w:szCs w:val="22"/>
          <w:highlight w:val="none"/>
        </w:rPr>
        <w:t>……</w:t>
      </w:r>
    </w:p>
    <w:p>
      <w:pPr>
        <w:keepNext/>
        <w:keepLines/>
        <w:spacing w:before="260" w:after="260" w:line="412" w:lineRule="auto"/>
        <w:ind w:firstLine="137" w:firstLineChars="49"/>
        <w:outlineLvl w:val="2"/>
        <w:rPr>
          <w:rFonts w:eastAsia="黑体"/>
          <w:sz w:val="28"/>
          <w:szCs w:val="20"/>
          <w:highlight w:val="none"/>
        </w:rPr>
      </w:pPr>
      <w:bookmarkStart w:id="1934" w:name="_Toc13183"/>
      <w:bookmarkStart w:id="1935" w:name="_Toc75857111"/>
      <w:bookmarkStart w:id="1936" w:name="_Toc3009"/>
      <w:bookmarkStart w:id="1937" w:name="_Toc16575"/>
      <w:bookmarkStart w:id="1938" w:name="_Toc21858"/>
      <w:bookmarkStart w:id="1939" w:name="_Toc492300933"/>
      <w:bookmarkStart w:id="1940" w:name="_Toc18636"/>
      <w:r>
        <w:rPr>
          <w:rFonts w:eastAsia="黑体"/>
          <w:sz w:val="28"/>
          <w:szCs w:val="20"/>
          <w:highlight w:val="none"/>
        </w:rPr>
        <w:t>（三）发包人财产使用要求及退还要求</w:t>
      </w:r>
      <w:bookmarkEnd w:id="1933"/>
      <w:bookmarkEnd w:id="1934"/>
      <w:bookmarkEnd w:id="1935"/>
      <w:bookmarkEnd w:id="1936"/>
      <w:bookmarkEnd w:id="1937"/>
      <w:bookmarkEnd w:id="1938"/>
      <w:bookmarkEnd w:id="1939"/>
      <w:bookmarkEnd w:id="1940"/>
    </w:p>
    <w:p>
      <w:pPr>
        <w:spacing w:line="360" w:lineRule="auto"/>
        <w:ind w:firstLine="420" w:firstLineChars="200"/>
        <w:rPr>
          <w:szCs w:val="22"/>
          <w:highlight w:val="none"/>
        </w:rPr>
      </w:pPr>
      <w:r>
        <w:rPr>
          <w:szCs w:val="22"/>
          <w:highlight w:val="none"/>
        </w:rPr>
        <w:t>1. 发包人财产使用要求</w:t>
      </w:r>
    </w:p>
    <w:p>
      <w:pPr>
        <w:spacing w:line="360" w:lineRule="auto"/>
        <w:ind w:firstLine="420" w:firstLineChars="200"/>
        <w:rPr>
          <w:szCs w:val="22"/>
          <w:highlight w:val="none"/>
        </w:rPr>
      </w:pPr>
      <w:r>
        <w:rPr>
          <w:szCs w:val="22"/>
          <w:highlight w:val="none"/>
        </w:rPr>
        <w:t>2. 发包人财产退还要求</w:t>
      </w:r>
    </w:p>
    <w:p>
      <w:pPr>
        <w:spacing w:line="360" w:lineRule="auto"/>
        <w:ind w:firstLine="420" w:firstLineChars="200"/>
        <w:rPr>
          <w:szCs w:val="22"/>
          <w:highlight w:val="none"/>
        </w:rPr>
      </w:pPr>
      <w:bookmarkStart w:id="1941" w:name="_Toc482188644"/>
      <w:r>
        <w:rPr>
          <w:szCs w:val="22"/>
          <w:highlight w:val="none"/>
        </w:rPr>
        <w:t>……</w:t>
      </w:r>
    </w:p>
    <w:p>
      <w:pPr>
        <w:keepNext/>
        <w:keepLines/>
        <w:spacing w:before="260" w:after="260"/>
        <w:outlineLvl w:val="1"/>
        <w:rPr>
          <w:rFonts w:eastAsia="黑体"/>
          <w:sz w:val="28"/>
          <w:szCs w:val="28"/>
          <w:highlight w:val="none"/>
        </w:rPr>
      </w:pPr>
      <w:bookmarkStart w:id="1942" w:name="_Toc650"/>
      <w:bookmarkStart w:id="1943" w:name="_Toc15879"/>
      <w:bookmarkStart w:id="1944" w:name="_Toc492300934"/>
      <w:bookmarkStart w:id="1945" w:name="_Toc15630"/>
      <w:bookmarkStart w:id="1946" w:name="_Toc75857112"/>
      <w:bookmarkStart w:id="1947" w:name="_Toc11254"/>
      <w:bookmarkStart w:id="1948" w:name="_Toc24307"/>
      <w:r>
        <w:rPr>
          <w:rFonts w:eastAsia="黑体"/>
          <w:sz w:val="28"/>
          <w:szCs w:val="28"/>
          <w:highlight w:val="none"/>
        </w:rPr>
        <w:t>五、发包人提供的便利条件</w:t>
      </w:r>
      <w:bookmarkEnd w:id="1941"/>
      <w:bookmarkEnd w:id="1942"/>
      <w:bookmarkEnd w:id="1943"/>
      <w:bookmarkEnd w:id="1944"/>
      <w:bookmarkEnd w:id="1945"/>
      <w:bookmarkEnd w:id="1946"/>
      <w:bookmarkEnd w:id="1947"/>
      <w:bookmarkEnd w:id="1948"/>
    </w:p>
    <w:p>
      <w:pPr>
        <w:spacing w:line="360" w:lineRule="auto"/>
        <w:ind w:firstLine="420" w:firstLineChars="200"/>
        <w:rPr>
          <w:szCs w:val="22"/>
          <w:highlight w:val="none"/>
        </w:rPr>
      </w:pPr>
      <w:bookmarkStart w:id="1949" w:name="_Toc482188645"/>
      <w:r>
        <w:rPr>
          <w:szCs w:val="22"/>
          <w:highlight w:val="none"/>
        </w:rPr>
        <w:t>1. 发包人提供的生活条件</w:t>
      </w:r>
    </w:p>
    <w:p>
      <w:pPr>
        <w:spacing w:line="360" w:lineRule="auto"/>
        <w:ind w:firstLine="420" w:firstLineChars="200"/>
        <w:rPr>
          <w:szCs w:val="22"/>
          <w:highlight w:val="none"/>
        </w:rPr>
      </w:pPr>
      <w:r>
        <w:rPr>
          <w:szCs w:val="22"/>
          <w:highlight w:val="none"/>
        </w:rPr>
        <w:t>2. 发包人提供的交通条件</w:t>
      </w:r>
    </w:p>
    <w:p>
      <w:pPr>
        <w:spacing w:line="360" w:lineRule="auto"/>
        <w:ind w:firstLine="420" w:firstLineChars="200"/>
        <w:rPr>
          <w:szCs w:val="22"/>
          <w:highlight w:val="none"/>
        </w:rPr>
      </w:pPr>
      <w:r>
        <w:rPr>
          <w:szCs w:val="22"/>
          <w:highlight w:val="none"/>
        </w:rPr>
        <w:t>3. 发包人提供的网络、通讯条件</w:t>
      </w:r>
    </w:p>
    <w:p>
      <w:pPr>
        <w:spacing w:line="360" w:lineRule="auto"/>
        <w:ind w:firstLine="420" w:firstLineChars="200"/>
        <w:rPr>
          <w:szCs w:val="22"/>
          <w:highlight w:val="none"/>
        </w:rPr>
      </w:pPr>
      <w:r>
        <w:rPr>
          <w:szCs w:val="22"/>
          <w:highlight w:val="none"/>
        </w:rPr>
        <w:t>4. 发包人提供的协助人员</w:t>
      </w:r>
    </w:p>
    <w:p>
      <w:pPr>
        <w:spacing w:line="360" w:lineRule="auto"/>
        <w:ind w:firstLine="420" w:firstLineChars="200"/>
        <w:rPr>
          <w:szCs w:val="22"/>
          <w:highlight w:val="none"/>
        </w:rPr>
      </w:pPr>
      <w:r>
        <w:rPr>
          <w:szCs w:val="22"/>
          <w:highlight w:val="none"/>
        </w:rPr>
        <w:t>……</w:t>
      </w:r>
    </w:p>
    <w:p>
      <w:pPr>
        <w:keepNext/>
        <w:keepLines/>
        <w:spacing w:before="260" w:after="260"/>
        <w:outlineLvl w:val="1"/>
        <w:rPr>
          <w:rFonts w:eastAsia="黑体"/>
          <w:sz w:val="28"/>
          <w:szCs w:val="28"/>
          <w:highlight w:val="none"/>
        </w:rPr>
      </w:pPr>
      <w:bookmarkStart w:id="1950" w:name="_Toc2615"/>
      <w:bookmarkStart w:id="1951" w:name="_Toc560"/>
      <w:bookmarkStart w:id="1952" w:name="_Toc75857113"/>
      <w:bookmarkStart w:id="1953" w:name="_Toc26067"/>
      <w:bookmarkStart w:id="1954" w:name="_Toc492300935"/>
      <w:bookmarkStart w:id="1955" w:name="_Toc13550"/>
      <w:bookmarkStart w:id="1956" w:name="_Toc29786"/>
      <w:r>
        <w:rPr>
          <w:rFonts w:hint="eastAsia" w:eastAsia="黑体"/>
          <w:sz w:val="28"/>
          <w:szCs w:val="28"/>
          <w:highlight w:val="none"/>
        </w:rPr>
        <w:t>六、勘察人需要自备的工作条件</w:t>
      </w:r>
      <w:bookmarkEnd w:id="1949"/>
      <w:bookmarkEnd w:id="1950"/>
      <w:bookmarkEnd w:id="1951"/>
      <w:bookmarkEnd w:id="1952"/>
      <w:bookmarkEnd w:id="1953"/>
      <w:bookmarkEnd w:id="1954"/>
      <w:bookmarkEnd w:id="1955"/>
      <w:bookmarkEnd w:id="1956"/>
    </w:p>
    <w:p>
      <w:pPr>
        <w:spacing w:line="360" w:lineRule="auto"/>
        <w:ind w:firstLine="420" w:firstLineChars="200"/>
        <w:rPr>
          <w:szCs w:val="22"/>
          <w:highlight w:val="none"/>
        </w:rPr>
      </w:pPr>
      <w:r>
        <w:rPr>
          <w:szCs w:val="22"/>
          <w:highlight w:val="none"/>
        </w:rPr>
        <w:t>1. 勘察人自备的工作手册：如本项目必备的规范标准、图集等</w:t>
      </w:r>
    </w:p>
    <w:p>
      <w:pPr>
        <w:spacing w:line="360" w:lineRule="auto"/>
        <w:ind w:firstLine="420" w:firstLineChars="200"/>
        <w:rPr>
          <w:szCs w:val="22"/>
          <w:highlight w:val="none"/>
        </w:rPr>
      </w:pPr>
      <w:r>
        <w:rPr>
          <w:szCs w:val="22"/>
          <w:highlight w:val="none"/>
        </w:rPr>
        <w:t>2. 勘察人自备的办公设备：如电脑、软件、投影、打印机、复印机、照相机等</w:t>
      </w:r>
    </w:p>
    <w:p>
      <w:pPr>
        <w:spacing w:line="360" w:lineRule="auto"/>
        <w:ind w:firstLine="420" w:firstLineChars="200"/>
        <w:rPr>
          <w:szCs w:val="22"/>
          <w:highlight w:val="none"/>
        </w:rPr>
      </w:pPr>
      <w:r>
        <w:rPr>
          <w:szCs w:val="22"/>
          <w:highlight w:val="none"/>
        </w:rPr>
        <w:t>3. 勘察人自备的交通工具：如出行车辆等</w:t>
      </w:r>
    </w:p>
    <w:p>
      <w:pPr>
        <w:spacing w:line="360" w:lineRule="auto"/>
        <w:ind w:firstLine="420" w:firstLineChars="200"/>
        <w:rPr>
          <w:szCs w:val="22"/>
          <w:highlight w:val="none"/>
        </w:rPr>
      </w:pPr>
      <w:r>
        <w:rPr>
          <w:szCs w:val="22"/>
          <w:highlight w:val="none"/>
        </w:rPr>
        <w:t>4. 勘察人自备的现场办公设施：如办公桌椅、文件柜等</w:t>
      </w:r>
    </w:p>
    <w:p>
      <w:pPr>
        <w:spacing w:line="360" w:lineRule="auto"/>
        <w:ind w:firstLine="420" w:firstLineChars="200"/>
        <w:rPr>
          <w:szCs w:val="22"/>
          <w:highlight w:val="none"/>
        </w:rPr>
      </w:pPr>
      <w:r>
        <w:rPr>
          <w:szCs w:val="22"/>
          <w:highlight w:val="none"/>
        </w:rPr>
        <w:t>5. 勘察人自备的安全设施：如安全帽、安全鞋、手电筒等</w:t>
      </w:r>
    </w:p>
    <w:p>
      <w:pPr>
        <w:spacing w:line="360" w:lineRule="auto"/>
        <w:ind w:firstLine="420" w:firstLineChars="200"/>
        <w:rPr>
          <w:szCs w:val="22"/>
          <w:highlight w:val="none"/>
        </w:rPr>
      </w:pPr>
      <w:r>
        <w:rPr>
          <w:szCs w:val="22"/>
          <w:highlight w:val="none"/>
        </w:rPr>
        <w:t>6. 勘察人自备的勘察检测仪器</w:t>
      </w:r>
      <w:r>
        <w:rPr>
          <w:rFonts w:hint="eastAsia"/>
          <w:szCs w:val="22"/>
          <w:highlight w:val="none"/>
        </w:rPr>
        <w:t>、设备、</w:t>
      </w:r>
      <w:r>
        <w:rPr>
          <w:szCs w:val="22"/>
          <w:highlight w:val="none"/>
        </w:rPr>
        <w:t>工具</w:t>
      </w:r>
    </w:p>
    <w:p>
      <w:pPr>
        <w:spacing w:line="360" w:lineRule="auto"/>
        <w:ind w:firstLine="420" w:firstLineChars="200"/>
        <w:rPr>
          <w:szCs w:val="22"/>
          <w:highlight w:val="none"/>
        </w:rPr>
      </w:pPr>
      <w:bookmarkStart w:id="1957" w:name="_Toc482188646"/>
      <w:r>
        <w:rPr>
          <w:szCs w:val="22"/>
          <w:highlight w:val="none"/>
        </w:rPr>
        <w:t>……</w:t>
      </w:r>
    </w:p>
    <w:p>
      <w:pPr>
        <w:keepNext/>
        <w:keepLines/>
        <w:spacing w:before="260" w:after="260"/>
        <w:outlineLvl w:val="1"/>
        <w:rPr>
          <w:rFonts w:eastAsia="黑体"/>
          <w:sz w:val="28"/>
          <w:szCs w:val="28"/>
          <w:highlight w:val="none"/>
        </w:rPr>
      </w:pPr>
      <w:bookmarkStart w:id="1958" w:name="_Toc492300936"/>
      <w:bookmarkStart w:id="1959" w:name="_Toc24062"/>
      <w:bookmarkStart w:id="1960" w:name="_Toc6320"/>
      <w:bookmarkStart w:id="1961" w:name="_Toc4270"/>
      <w:bookmarkStart w:id="1962" w:name="_Toc22689"/>
      <w:bookmarkStart w:id="1963" w:name="_Toc75857114"/>
      <w:bookmarkStart w:id="1964" w:name="_Toc4826"/>
      <w:r>
        <w:rPr>
          <w:rFonts w:eastAsia="黑体"/>
          <w:sz w:val="28"/>
          <w:szCs w:val="28"/>
          <w:highlight w:val="none"/>
        </w:rPr>
        <w:t>七、发包人的其他要求</w:t>
      </w:r>
      <w:bookmarkEnd w:id="1957"/>
      <w:bookmarkEnd w:id="1958"/>
      <w:bookmarkEnd w:id="1959"/>
      <w:bookmarkEnd w:id="1960"/>
      <w:bookmarkEnd w:id="1961"/>
      <w:bookmarkEnd w:id="1962"/>
      <w:bookmarkEnd w:id="1963"/>
      <w:bookmarkEnd w:id="1964"/>
    </w:p>
    <w:p>
      <w:pPr>
        <w:spacing w:line="360" w:lineRule="auto"/>
        <w:ind w:firstLine="420" w:firstLineChars="200"/>
        <w:rPr>
          <w:szCs w:val="22"/>
          <w:highlight w:val="none"/>
        </w:rPr>
      </w:pPr>
      <w:r>
        <w:rPr>
          <w:szCs w:val="22"/>
          <w:highlight w:val="none"/>
        </w:rPr>
        <w:t>发包人的其他要求</w:t>
      </w:r>
    </w:p>
    <w:p>
      <w:pPr>
        <w:spacing w:line="360" w:lineRule="auto"/>
        <w:ind w:firstLine="420" w:firstLineChars="200"/>
        <w:rPr>
          <w:szCs w:val="22"/>
          <w:highlight w:val="none"/>
        </w:rPr>
      </w:pPr>
      <w:r>
        <w:rPr>
          <w:szCs w:val="22"/>
          <w:highlight w:val="none"/>
        </w:rPr>
        <w:t>……</w:t>
      </w:r>
    </w:p>
    <w:p>
      <w:pPr>
        <w:spacing w:line="400" w:lineRule="exact"/>
        <w:jc w:val="center"/>
        <w:rPr>
          <w:szCs w:val="22"/>
          <w:highlight w:val="none"/>
        </w:rPr>
      </w:pPr>
      <w:r>
        <w:rPr>
          <w:szCs w:val="22"/>
          <w:highlight w:val="none"/>
        </w:rPr>
        <w:br w:type="page"/>
      </w:r>
    </w:p>
    <w:p>
      <w:pPr>
        <w:spacing w:line="360" w:lineRule="auto"/>
        <w:ind w:firstLine="883" w:firstLineChars="200"/>
        <w:rPr>
          <w:b/>
          <w:color w:val="000000"/>
          <w:kern w:val="44"/>
          <w:sz w:val="44"/>
          <w:szCs w:val="20"/>
          <w:highlight w:val="none"/>
        </w:rPr>
      </w:pPr>
    </w:p>
    <w:p>
      <w:pPr>
        <w:keepNext/>
        <w:keepLines/>
        <w:spacing w:before="340" w:after="330" w:line="576" w:lineRule="auto"/>
        <w:jc w:val="center"/>
        <w:outlineLvl w:val="0"/>
        <w:rPr>
          <w:b/>
          <w:color w:val="000000"/>
          <w:kern w:val="44"/>
          <w:sz w:val="44"/>
          <w:szCs w:val="20"/>
          <w:highlight w:val="none"/>
        </w:rPr>
      </w:pPr>
      <w:bookmarkStart w:id="1965" w:name="_Toc17504"/>
      <w:bookmarkStart w:id="1966" w:name="_Toc20625"/>
      <w:bookmarkStart w:id="1967" w:name="_Toc492300937"/>
      <w:bookmarkStart w:id="1968" w:name="_Toc20284"/>
      <w:bookmarkStart w:id="1969" w:name="_Toc16395"/>
      <w:bookmarkStart w:id="1970" w:name="_Toc27480"/>
      <w:bookmarkStart w:id="1971" w:name="_Toc75857115"/>
      <w:r>
        <w:rPr>
          <w:b/>
          <w:color w:val="000000"/>
          <w:kern w:val="44"/>
          <w:sz w:val="44"/>
          <w:szCs w:val="20"/>
          <w:highlight w:val="none"/>
        </w:rPr>
        <w:t>第</w:t>
      </w:r>
      <w:r>
        <w:rPr>
          <w:rFonts w:hint="eastAsia"/>
          <w:b/>
          <w:color w:val="000000"/>
          <w:kern w:val="44"/>
          <w:sz w:val="44"/>
          <w:szCs w:val="20"/>
          <w:highlight w:val="none"/>
        </w:rPr>
        <w:t>三</w:t>
      </w:r>
      <w:r>
        <w:rPr>
          <w:b/>
          <w:color w:val="000000"/>
          <w:kern w:val="44"/>
          <w:sz w:val="44"/>
          <w:szCs w:val="20"/>
          <w:highlight w:val="none"/>
        </w:rPr>
        <w:t>卷</w:t>
      </w:r>
      <w:bookmarkEnd w:id="1965"/>
      <w:bookmarkEnd w:id="1966"/>
      <w:bookmarkEnd w:id="1967"/>
      <w:bookmarkEnd w:id="1968"/>
      <w:bookmarkEnd w:id="1969"/>
      <w:bookmarkEnd w:id="1970"/>
      <w:bookmarkEnd w:id="1971"/>
    </w:p>
    <w:p>
      <w:pPr>
        <w:spacing w:line="400" w:lineRule="exact"/>
        <w:jc w:val="center"/>
        <w:rPr>
          <w:szCs w:val="22"/>
          <w:highlight w:val="none"/>
        </w:rPr>
      </w:pPr>
      <w:r>
        <w:rPr>
          <w:szCs w:val="22"/>
          <w:highlight w:val="none"/>
        </w:rPr>
        <w:br w:type="page"/>
      </w:r>
    </w:p>
    <w:p>
      <w:pPr>
        <w:keepNext/>
        <w:keepLines/>
        <w:spacing w:before="340" w:after="330" w:line="576" w:lineRule="auto"/>
        <w:jc w:val="center"/>
        <w:outlineLvl w:val="0"/>
        <w:rPr>
          <w:b/>
          <w:kern w:val="44"/>
          <w:sz w:val="44"/>
          <w:szCs w:val="20"/>
          <w:highlight w:val="none"/>
        </w:rPr>
      </w:pPr>
      <w:bookmarkStart w:id="1972" w:name="_Toc21020"/>
      <w:bookmarkStart w:id="1973" w:name="_Toc21443"/>
      <w:bookmarkStart w:id="1974" w:name="_Toc492300938"/>
      <w:bookmarkStart w:id="1975" w:name="_Toc75857116"/>
      <w:bookmarkStart w:id="1976" w:name="_Toc3609"/>
      <w:bookmarkStart w:id="1977" w:name="_Toc11763"/>
      <w:bookmarkStart w:id="1978" w:name="_Toc10443"/>
      <w:r>
        <w:rPr>
          <w:rFonts w:hint="eastAsia"/>
          <w:b/>
          <w:kern w:val="44"/>
          <w:sz w:val="44"/>
          <w:szCs w:val="20"/>
          <w:highlight w:val="none"/>
        </w:rPr>
        <w:t>第六章  投标文件格式</w:t>
      </w:r>
      <w:bookmarkEnd w:id="1972"/>
      <w:bookmarkEnd w:id="1973"/>
      <w:bookmarkEnd w:id="1974"/>
      <w:bookmarkEnd w:id="1975"/>
      <w:bookmarkEnd w:id="1976"/>
      <w:bookmarkEnd w:id="1977"/>
      <w:bookmarkEnd w:id="1978"/>
    </w:p>
    <w:p>
      <w:pPr>
        <w:spacing w:line="400" w:lineRule="exact"/>
        <w:rPr>
          <w:szCs w:val="22"/>
          <w:highlight w:val="none"/>
        </w:rPr>
      </w:pPr>
    </w:p>
    <w:p>
      <w:pPr>
        <w:widowControl/>
        <w:jc w:val="center"/>
        <w:rPr>
          <w:rFonts w:eastAsia="黑体"/>
          <w:b/>
          <w:color w:val="000000"/>
          <w:sz w:val="32"/>
          <w:szCs w:val="20"/>
          <w:highlight w:val="none"/>
        </w:rPr>
      </w:pPr>
      <w:r>
        <w:rPr>
          <w:szCs w:val="22"/>
          <w:highlight w:val="none"/>
        </w:rPr>
        <w:br w:type="page"/>
      </w:r>
      <w:bookmarkStart w:id="1979" w:name="_Toc492300939"/>
      <w:r>
        <w:rPr>
          <w:rFonts w:hint="eastAsia" w:eastAsia="黑体"/>
          <w:b/>
          <w:color w:val="000000"/>
          <w:sz w:val="32"/>
          <w:szCs w:val="20"/>
          <w:highlight w:val="none"/>
        </w:rPr>
        <w:t>目  录</w:t>
      </w:r>
      <w:bookmarkEnd w:id="1979"/>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000000"/>
          <w:szCs w:val="22"/>
          <w:highlight w:val="none"/>
        </w:rPr>
      </w:pPr>
      <w:r>
        <w:rPr>
          <w:rFonts w:hint="eastAsia"/>
          <w:color w:val="000000"/>
          <w:szCs w:val="22"/>
          <w:highlight w:val="none"/>
        </w:rPr>
        <w:t>一、投标函部分</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（一）投标函</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（二）投标函附录</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（三）法定代表人身份证明或附有法定代表人身份证明的授权委托书</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（四）勘察费用清单</w:t>
      </w:r>
      <w:r>
        <w:rPr>
          <w:rFonts w:hint="eastAsia" w:ascii="宋体" w:hAnsi="宋体"/>
          <w:snapToGrid w:val="0"/>
          <w:kern w:val="0"/>
          <w:szCs w:val="21"/>
          <w:lang w:eastAsia="zh-CN"/>
        </w:rPr>
        <w:t>（</w:t>
      </w:r>
      <w:r>
        <w:rPr>
          <w:rFonts w:hint="eastAsia" w:ascii="宋体" w:hAnsi="宋体"/>
          <w:snapToGrid w:val="0"/>
          <w:kern w:val="0"/>
          <w:szCs w:val="21"/>
          <w:lang w:val="en-US" w:eastAsia="zh-CN"/>
        </w:rPr>
        <w:t>如有</w:t>
      </w:r>
      <w:r>
        <w:rPr>
          <w:rFonts w:hint="eastAsia" w:ascii="宋体" w:hAnsi="宋体"/>
          <w:snapToGrid w:val="0"/>
          <w:kern w:val="0"/>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ascii="Times New Roman" w:hAnsi="Times New Roman" w:eastAsia="宋体"/>
          <w:color w:val="000000"/>
          <w:szCs w:val="22"/>
          <w:highlight w:val="none"/>
        </w:rPr>
        <w:t>（</w:t>
      </w:r>
      <w:r>
        <w:rPr>
          <w:rFonts w:hint="eastAsia" w:ascii="Times New Roman" w:hAnsi="Times New Roman" w:eastAsia="宋体"/>
          <w:color w:val="000000"/>
          <w:szCs w:val="22"/>
          <w:highlight w:val="none"/>
        </w:rPr>
        <w:t>五</w:t>
      </w:r>
      <w:r>
        <w:rPr>
          <w:rFonts w:ascii="Times New Roman" w:hAnsi="Times New Roman" w:eastAsia="宋体"/>
          <w:color w:val="000000"/>
          <w:szCs w:val="22"/>
          <w:highlight w:val="none"/>
        </w:rPr>
        <w:t>）</w:t>
      </w:r>
      <w:r>
        <w:rPr>
          <w:rFonts w:hint="eastAsia" w:ascii="Times New Roman" w:hAnsi="Times New Roman" w:eastAsia="宋体"/>
          <w:color w:val="000000"/>
          <w:szCs w:val="22"/>
          <w:highlight w:val="none"/>
        </w:rPr>
        <w:t>低价风险担保提交承诺书（如有）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000000"/>
          <w:szCs w:val="22"/>
          <w:highlight w:val="none"/>
        </w:rPr>
      </w:pPr>
      <w:r>
        <w:rPr>
          <w:rFonts w:hint="eastAsia"/>
          <w:color w:val="000000"/>
          <w:szCs w:val="22"/>
          <w:highlight w:val="none"/>
        </w:rPr>
        <w:t>二、商务部分</w:t>
      </w:r>
      <w:r>
        <w:rPr>
          <w:rFonts w:ascii="宋体" w:hAnsi="宋体"/>
          <w:b/>
        </w:rPr>
        <w:t>（不设置</w:t>
      </w:r>
      <w:r>
        <w:rPr>
          <w:rFonts w:hint="eastAsia" w:ascii="宋体" w:hAnsi="宋体"/>
          <w:b/>
        </w:rPr>
        <w:t>商务部分</w:t>
      </w:r>
      <w:r>
        <w:rPr>
          <w:rFonts w:ascii="宋体" w:hAnsi="宋体"/>
          <w:b/>
        </w:rPr>
        <w:t>评审的不设此部分）</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rFonts w:hint="eastAsia" w:eastAsia="宋体"/>
          <w:color w:val="000000"/>
          <w:szCs w:val="22"/>
          <w:highlight w:val="none"/>
          <w:lang w:eastAsia="zh-CN"/>
        </w:rPr>
      </w:pPr>
      <w:r>
        <w:rPr>
          <w:rFonts w:hint="eastAsia"/>
          <w:color w:val="000000"/>
          <w:szCs w:val="22"/>
          <w:highlight w:val="none"/>
        </w:rPr>
        <w:t>（一）投标人</w:t>
      </w:r>
      <w:r>
        <w:rPr>
          <w:rFonts w:hint="eastAsia"/>
          <w:color w:val="000000"/>
          <w:szCs w:val="22"/>
          <w:highlight w:val="none"/>
          <w:lang w:val="en-US" w:eastAsia="zh-CN"/>
        </w:rPr>
        <w:t>业绩</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（二）拟派项目负责人资历</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（三）</w:t>
      </w:r>
      <w:r>
        <w:rPr>
          <w:rFonts w:hint="eastAsia"/>
          <w:color w:val="000000"/>
          <w:szCs w:val="22"/>
          <w:highlight w:val="none"/>
          <w:lang w:val="en-US" w:eastAsia="zh-CN"/>
        </w:rPr>
        <w:t>拟派勘察团队</w:t>
      </w:r>
      <w:r>
        <w:rPr>
          <w:rFonts w:hint="eastAsia"/>
          <w:color w:val="000000"/>
          <w:szCs w:val="22"/>
          <w:highlight w:val="none"/>
        </w:rPr>
        <w:t>其他主要人员资历</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（四）获奖情况</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（五）拟投入的勘察设备</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000000"/>
          <w:szCs w:val="22"/>
          <w:highlight w:val="none"/>
        </w:rPr>
      </w:pPr>
      <w:r>
        <w:rPr>
          <w:rFonts w:hint="eastAsia"/>
          <w:color w:val="000000"/>
          <w:szCs w:val="22"/>
          <w:highlight w:val="none"/>
        </w:rPr>
        <w:t>三、技术部分</w:t>
      </w:r>
      <w:r>
        <w:rPr>
          <w:rFonts w:ascii="宋体" w:hAnsi="宋体"/>
          <w:b/>
        </w:rPr>
        <w:t>（不设置</w:t>
      </w:r>
      <w:r>
        <w:rPr>
          <w:rFonts w:hint="eastAsia" w:ascii="宋体" w:hAnsi="宋体"/>
          <w:b/>
          <w:lang w:val="en-US" w:eastAsia="zh-CN"/>
        </w:rPr>
        <w:t>技术部分</w:t>
      </w:r>
      <w:r>
        <w:rPr>
          <w:rFonts w:ascii="宋体" w:hAnsi="宋体"/>
          <w:b/>
        </w:rPr>
        <w:t>评审的不设此部分）</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rFonts w:hint="eastAsia"/>
          <w:color w:val="000000"/>
          <w:szCs w:val="22"/>
          <w:highlight w:val="none"/>
        </w:rPr>
      </w:pPr>
      <w:r>
        <w:rPr>
          <w:rFonts w:hint="eastAsia"/>
          <w:color w:val="000000"/>
          <w:szCs w:val="22"/>
          <w:highlight w:val="none"/>
        </w:rPr>
        <w:t>（一）勘察纲要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000000"/>
          <w:szCs w:val="22"/>
          <w:highlight w:val="none"/>
        </w:rPr>
      </w:pPr>
      <w:r>
        <w:rPr>
          <w:rFonts w:hint="eastAsia"/>
          <w:color w:val="000000"/>
          <w:szCs w:val="22"/>
          <w:highlight w:val="none"/>
        </w:rPr>
        <w:t>四、资格审查部分</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（一）基本情况表</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（二）法定代表人身份证明或附有法定代表人身份证明的授权委托书</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（三）联合体协议书（如有）</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（四）近年财务状况表</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（五）近年完成的类似项目情况表</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（六）拟委派的主要人员汇总表</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（七）主要人员简历表</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（八）承诺</w:t>
      </w:r>
    </w:p>
    <w:p>
      <w:pPr>
        <w:keepNext w:val="0"/>
        <w:keepLines w:val="0"/>
        <w:pageBreakBefore w:val="0"/>
        <w:widowControl w:val="0"/>
        <w:kinsoku/>
        <w:wordWrap/>
        <w:overflowPunct/>
        <w:topLinePunct w:val="0"/>
        <w:autoSpaceDE/>
        <w:autoSpaceDN/>
        <w:bidi w:val="0"/>
        <w:adjustRightInd/>
        <w:snapToGrid/>
        <w:spacing w:line="360" w:lineRule="auto"/>
        <w:ind w:firstLine="840" w:firstLineChars="400"/>
        <w:textAlignment w:val="auto"/>
        <w:rPr>
          <w:color w:val="000000"/>
          <w:szCs w:val="22"/>
          <w:highlight w:val="none"/>
        </w:rPr>
      </w:pPr>
      <w:r>
        <w:rPr>
          <w:rFonts w:hint="eastAsia"/>
          <w:color w:val="000000"/>
          <w:szCs w:val="22"/>
          <w:highlight w:val="none"/>
        </w:rPr>
        <w:t>（九）其他资料</w:t>
      </w:r>
    </w:p>
    <w:p>
      <w:pPr>
        <w:pStyle w:val="2"/>
        <w:rPr>
          <w:highlight w:val="none"/>
        </w:rPr>
      </w:pPr>
    </w:p>
    <w:p>
      <w:pPr>
        <w:widowControl/>
        <w:jc w:val="left"/>
        <w:rPr>
          <w:szCs w:val="22"/>
          <w:highlight w:val="none"/>
        </w:rPr>
      </w:pPr>
    </w:p>
    <w:p>
      <w:pPr>
        <w:pStyle w:val="2"/>
        <w:rPr>
          <w:highlight w:val="none"/>
        </w:rPr>
      </w:pPr>
    </w:p>
    <w:p>
      <w:pPr>
        <w:pStyle w:val="4"/>
        <w:spacing w:line="360" w:lineRule="auto"/>
        <w:jc w:val="center"/>
        <w:outlineLvl w:val="0"/>
        <w:rPr>
          <w:rFonts w:ascii="宋体" w:hAnsi="宋体" w:cs="宋体"/>
          <w:b w:val="0"/>
          <w:bCs w:val="0"/>
          <w:sz w:val="44"/>
          <w:szCs w:val="44"/>
          <w:highlight w:val="none"/>
        </w:rPr>
      </w:pPr>
      <w:bookmarkStart w:id="1980" w:name="_Toc27263"/>
      <w:bookmarkStart w:id="1981" w:name="_Toc941"/>
      <w:bookmarkStart w:id="1982" w:name="_Toc13006"/>
      <w:bookmarkStart w:id="1983" w:name="_Toc29740"/>
      <w:bookmarkStart w:id="1984" w:name="_Toc3008"/>
      <w:bookmarkStart w:id="1985" w:name="_Toc75857117"/>
      <w:r>
        <w:rPr>
          <w:rFonts w:hint="eastAsia" w:ascii="宋体" w:hAnsi="宋体" w:cs="宋体"/>
          <w:b w:val="0"/>
          <w:bCs w:val="0"/>
          <w:sz w:val="44"/>
          <w:szCs w:val="44"/>
          <w:highlight w:val="none"/>
        </w:rPr>
        <w:t>一、投标函部分</w:t>
      </w:r>
      <w:bookmarkEnd w:id="1980"/>
      <w:bookmarkEnd w:id="1981"/>
      <w:bookmarkEnd w:id="1982"/>
      <w:bookmarkEnd w:id="1983"/>
      <w:bookmarkEnd w:id="1984"/>
      <w:bookmarkEnd w:id="1985"/>
    </w:p>
    <w:p>
      <w:pPr>
        <w:widowControl/>
        <w:jc w:val="left"/>
        <w:rPr>
          <w:szCs w:val="22"/>
          <w:highlight w:val="none"/>
        </w:rPr>
      </w:pPr>
    </w:p>
    <w:p>
      <w:pPr>
        <w:widowControl/>
        <w:jc w:val="left"/>
        <w:rPr>
          <w:szCs w:val="22"/>
          <w:highlight w:val="none"/>
        </w:rPr>
      </w:pPr>
      <w:r>
        <w:rPr>
          <w:szCs w:val="22"/>
          <w:highlight w:val="none"/>
        </w:rPr>
        <w:br w:type="page"/>
      </w:r>
    </w:p>
    <w:p>
      <w:pPr>
        <w:spacing w:line="400" w:lineRule="exact"/>
        <w:rPr>
          <w:szCs w:val="22"/>
          <w:highlight w:val="none"/>
        </w:rPr>
      </w:pPr>
    </w:p>
    <w:p>
      <w:pPr>
        <w:jc w:val="center"/>
        <w:outlineLvl w:val="9"/>
        <w:rPr>
          <w:rFonts w:eastAsia="黑体"/>
          <w:sz w:val="28"/>
          <w:szCs w:val="28"/>
          <w:highlight w:val="none"/>
          <w:u w:val="single"/>
        </w:rPr>
      </w:pPr>
      <w:r>
        <w:rPr>
          <w:rFonts w:eastAsia="黑体"/>
          <w:sz w:val="28"/>
          <w:szCs w:val="28"/>
          <w:highlight w:val="none"/>
          <w:u w:val="single"/>
        </w:rPr>
        <w:t xml:space="preserve">        （项目名称）</w:t>
      </w:r>
      <w:r>
        <w:rPr>
          <w:rFonts w:hint="eastAsia" w:eastAsia="黑体"/>
          <w:sz w:val="28"/>
          <w:szCs w:val="28"/>
          <w:highlight w:val="none"/>
          <w:u w:val="single"/>
        </w:rPr>
        <w:t xml:space="preserve">    </w:t>
      </w:r>
    </w:p>
    <w:p>
      <w:pPr>
        <w:rPr>
          <w:rFonts w:eastAsia="黑体"/>
          <w:color w:val="000000"/>
          <w:sz w:val="20"/>
          <w:szCs w:val="22"/>
          <w:highlight w:val="none"/>
        </w:rPr>
      </w:pPr>
    </w:p>
    <w:p>
      <w:pPr>
        <w:rPr>
          <w:rFonts w:eastAsia="黑体"/>
          <w:color w:val="000000"/>
          <w:sz w:val="20"/>
          <w:szCs w:val="22"/>
          <w:highlight w:val="none"/>
        </w:rPr>
      </w:pPr>
    </w:p>
    <w:p>
      <w:pPr>
        <w:jc w:val="center"/>
        <w:rPr>
          <w:rFonts w:eastAsia="黑体"/>
          <w:color w:val="000000"/>
          <w:sz w:val="44"/>
          <w:szCs w:val="22"/>
          <w:highlight w:val="none"/>
        </w:rPr>
      </w:pPr>
      <w:r>
        <w:rPr>
          <w:rFonts w:eastAsia="黑体"/>
          <w:color w:val="000000"/>
          <w:sz w:val="44"/>
          <w:szCs w:val="22"/>
          <w:highlight w:val="none"/>
        </w:rPr>
        <w:t>投 标 文 件</w:t>
      </w:r>
    </w:p>
    <w:p>
      <w:pPr>
        <w:spacing w:line="400" w:lineRule="exact"/>
        <w:rPr>
          <w:szCs w:val="22"/>
          <w:highlight w:val="none"/>
        </w:rPr>
      </w:pPr>
    </w:p>
    <w:p>
      <w:pPr>
        <w:spacing w:line="400" w:lineRule="exact"/>
        <w:rPr>
          <w:szCs w:val="22"/>
          <w:highlight w:val="none"/>
        </w:rPr>
      </w:pPr>
    </w:p>
    <w:p>
      <w:pPr>
        <w:autoSpaceDE w:val="0"/>
        <w:autoSpaceDN w:val="0"/>
        <w:adjustRightInd w:val="0"/>
        <w:snapToGrid w:val="0"/>
        <w:spacing w:line="360" w:lineRule="auto"/>
        <w:jc w:val="center"/>
        <w:rPr>
          <w:rFonts w:ascii="宋体" w:hAnsi="宋体"/>
          <w:kern w:val="0"/>
          <w:sz w:val="36"/>
          <w:szCs w:val="36"/>
          <w:highlight w:val="none"/>
        </w:rPr>
      </w:pPr>
      <w:r>
        <w:rPr>
          <w:rFonts w:hint="eastAsia" w:ascii="宋体" w:hAnsi="宋体"/>
          <w:kern w:val="0"/>
          <w:sz w:val="36"/>
          <w:szCs w:val="36"/>
          <w:highlight w:val="none"/>
        </w:rPr>
        <w:t>投标函部分</w:t>
      </w:r>
    </w:p>
    <w:p>
      <w:pPr>
        <w:jc w:val="center"/>
        <w:rPr>
          <w:rFonts w:eastAsia="黑体"/>
          <w:sz w:val="20"/>
          <w:szCs w:val="22"/>
          <w:highlight w:val="none"/>
        </w:rPr>
      </w:pPr>
    </w:p>
    <w:p>
      <w:pPr>
        <w:jc w:val="center"/>
        <w:rPr>
          <w:rFonts w:eastAsia="黑体"/>
          <w:color w:val="000000"/>
          <w:sz w:val="44"/>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spacing w:line="360" w:lineRule="auto"/>
        <w:ind w:firstLine="1120" w:firstLineChars="400"/>
        <w:rPr>
          <w:rFonts w:eastAsia="黑体"/>
          <w:color w:val="000000"/>
          <w:sz w:val="28"/>
          <w:szCs w:val="22"/>
          <w:highlight w:val="none"/>
          <w:u w:val="single"/>
        </w:rPr>
      </w:pPr>
      <w:r>
        <w:rPr>
          <w:rFonts w:eastAsia="黑体"/>
          <w:color w:val="000000"/>
          <w:sz w:val="28"/>
          <w:szCs w:val="22"/>
          <w:highlight w:val="none"/>
        </w:rPr>
        <w:t>投标人：</w:t>
      </w:r>
      <w:r>
        <w:rPr>
          <w:color w:val="000000"/>
          <w:szCs w:val="22"/>
          <w:highlight w:val="none"/>
          <w:u w:val="single"/>
        </w:rPr>
        <w:t xml:space="preserve">                                            </w:t>
      </w:r>
      <w:r>
        <w:rPr>
          <w:rFonts w:eastAsia="黑体"/>
          <w:color w:val="000000"/>
          <w:sz w:val="28"/>
          <w:szCs w:val="22"/>
          <w:highlight w:val="none"/>
        </w:rPr>
        <w:t>（</w:t>
      </w:r>
      <w:r>
        <w:rPr>
          <w:rFonts w:hint="eastAsia" w:eastAsia="黑体"/>
          <w:color w:val="000000"/>
          <w:sz w:val="28"/>
          <w:szCs w:val="22"/>
          <w:highlight w:val="none"/>
        </w:rPr>
        <w:t>盖单位法人章</w:t>
      </w:r>
      <w:r>
        <w:rPr>
          <w:rFonts w:eastAsia="黑体"/>
          <w:color w:val="000000"/>
          <w:sz w:val="28"/>
          <w:szCs w:val="22"/>
          <w:highlight w:val="none"/>
        </w:rPr>
        <w:t>）</w:t>
      </w:r>
    </w:p>
    <w:p>
      <w:pPr>
        <w:spacing w:line="360" w:lineRule="auto"/>
        <w:ind w:firstLine="1120" w:firstLineChars="400"/>
        <w:jc w:val="left"/>
        <w:rPr>
          <w:rFonts w:eastAsia="黑体"/>
          <w:color w:val="000000"/>
          <w:sz w:val="28"/>
          <w:szCs w:val="22"/>
          <w:highlight w:val="none"/>
        </w:rPr>
      </w:pPr>
      <w:r>
        <w:rPr>
          <w:rFonts w:eastAsia="黑体"/>
          <w:color w:val="000000"/>
          <w:sz w:val="28"/>
          <w:szCs w:val="22"/>
          <w:highlight w:val="none"/>
        </w:rPr>
        <w:t>法定代表人或其委托代理人：</w:t>
      </w:r>
      <w:r>
        <w:rPr>
          <w:color w:val="000000"/>
          <w:szCs w:val="22"/>
          <w:highlight w:val="none"/>
          <w:u w:val="single"/>
        </w:rPr>
        <w:t xml:space="preserve">    </w:t>
      </w:r>
      <w:r>
        <w:rPr>
          <w:rFonts w:hint="eastAsia"/>
          <w:color w:val="000000"/>
          <w:szCs w:val="22"/>
          <w:highlight w:val="none"/>
          <w:u w:val="single"/>
        </w:rPr>
        <w:t xml:space="preserve">   </w:t>
      </w:r>
      <w:r>
        <w:rPr>
          <w:color w:val="000000"/>
          <w:szCs w:val="22"/>
          <w:highlight w:val="none"/>
          <w:u w:val="single"/>
        </w:rPr>
        <w:t xml:space="preserve">   </w:t>
      </w:r>
      <w:r>
        <w:rPr>
          <w:rFonts w:eastAsia="黑体"/>
          <w:color w:val="000000"/>
          <w:sz w:val="28"/>
          <w:szCs w:val="22"/>
          <w:highlight w:val="none"/>
        </w:rPr>
        <w:t>（签名或盖章）</w:t>
      </w:r>
    </w:p>
    <w:p>
      <w:pPr>
        <w:jc w:val="center"/>
        <w:rPr>
          <w:rFonts w:eastAsia="黑体"/>
          <w:color w:val="000000"/>
          <w:sz w:val="28"/>
          <w:szCs w:val="22"/>
          <w:highlight w:val="none"/>
        </w:rPr>
      </w:pPr>
    </w:p>
    <w:p>
      <w:pPr>
        <w:spacing w:line="400" w:lineRule="exact"/>
        <w:jc w:val="center"/>
        <w:outlineLvl w:val="9"/>
        <w:rPr>
          <w:color w:val="000000"/>
          <w:szCs w:val="22"/>
          <w:highlight w:val="none"/>
        </w:rPr>
      </w:pPr>
      <w:r>
        <w:rPr>
          <w:color w:val="000000"/>
          <w:szCs w:val="22"/>
          <w:highlight w:val="none"/>
          <w:u w:val="single"/>
        </w:rPr>
        <w:t xml:space="preserve">       </w:t>
      </w:r>
      <w:r>
        <w:rPr>
          <w:rFonts w:eastAsia="黑体"/>
          <w:color w:val="000000"/>
          <w:sz w:val="28"/>
          <w:szCs w:val="22"/>
          <w:highlight w:val="none"/>
        </w:rPr>
        <w:t>年</w:t>
      </w:r>
      <w:r>
        <w:rPr>
          <w:color w:val="000000"/>
          <w:szCs w:val="22"/>
          <w:highlight w:val="none"/>
          <w:u w:val="single"/>
        </w:rPr>
        <w:t xml:space="preserve">       </w:t>
      </w:r>
      <w:r>
        <w:rPr>
          <w:rFonts w:eastAsia="黑体"/>
          <w:color w:val="000000"/>
          <w:sz w:val="28"/>
          <w:szCs w:val="22"/>
          <w:highlight w:val="none"/>
        </w:rPr>
        <w:t>月</w:t>
      </w:r>
      <w:r>
        <w:rPr>
          <w:color w:val="000000"/>
          <w:szCs w:val="22"/>
          <w:highlight w:val="none"/>
          <w:u w:val="single"/>
        </w:rPr>
        <w:t xml:space="preserve">       </w:t>
      </w:r>
      <w:r>
        <w:rPr>
          <w:rFonts w:eastAsia="黑体"/>
          <w:color w:val="000000"/>
          <w:sz w:val="28"/>
          <w:szCs w:val="22"/>
          <w:highlight w:val="none"/>
        </w:rPr>
        <w:t>日</w:t>
      </w:r>
      <w:r>
        <w:rPr>
          <w:color w:val="000000"/>
          <w:szCs w:val="22"/>
          <w:highlight w:val="none"/>
        </w:rPr>
        <w:br w:type="page"/>
      </w:r>
    </w:p>
    <w:p>
      <w:pPr>
        <w:keepNext/>
        <w:keepLines/>
        <w:spacing w:before="260" w:after="260" w:line="412" w:lineRule="auto"/>
        <w:ind w:firstLine="137" w:firstLineChars="49"/>
        <w:jc w:val="center"/>
        <w:outlineLvl w:val="1"/>
        <w:rPr>
          <w:rFonts w:eastAsia="黑体"/>
          <w:sz w:val="28"/>
          <w:szCs w:val="20"/>
          <w:highlight w:val="none"/>
        </w:rPr>
      </w:pPr>
      <w:bookmarkStart w:id="1986" w:name="_Toc492300941"/>
      <w:bookmarkStart w:id="1987" w:name="_Toc482188651"/>
      <w:bookmarkStart w:id="1988" w:name="_Toc32452"/>
      <w:bookmarkStart w:id="1989" w:name="_Toc20820"/>
      <w:bookmarkStart w:id="1990" w:name="_Toc391394111"/>
      <w:bookmarkStart w:id="1991" w:name="_Toc75857118"/>
      <w:bookmarkStart w:id="1992" w:name="_Toc12707"/>
      <w:bookmarkStart w:id="1993" w:name="_Toc370676426"/>
      <w:bookmarkStart w:id="1994" w:name="_Toc385943065"/>
      <w:bookmarkStart w:id="1995" w:name="_Toc2106"/>
      <w:bookmarkStart w:id="1996" w:name="_Toc359594235"/>
      <w:bookmarkStart w:id="1997" w:name="_Toc18469"/>
      <w:r>
        <w:rPr>
          <w:rFonts w:hint="eastAsia" w:eastAsia="黑体"/>
          <w:sz w:val="28"/>
          <w:szCs w:val="20"/>
          <w:highlight w:val="none"/>
        </w:rPr>
        <w:t>（一）投标函</w:t>
      </w:r>
      <w:bookmarkEnd w:id="1986"/>
      <w:bookmarkEnd w:id="1987"/>
      <w:bookmarkEnd w:id="1988"/>
      <w:bookmarkEnd w:id="1989"/>
      <w:bookmarkEnd w:id="1990"/>
      <w:bookmarkEnd w:id="1991"/>
      <w:bookmarkEnd w:id="1992"/>
      <w:bookmarkEnd w:id="1993"/>
      <w:bookmarkEnd w:id="1994"/>
      <w:bookmarkEnd w:id="1995"/>
      <w:bookmarkEnd w:id="1996"/>
      <w:bookmarkEnd w:id="1997"/>
    </w:p>
    <w:p>
      <w:pPr>
        <w:keepNext w:val="0"/>
        <w:keepLines w:val="0"/>
        <w:pageBreakBefore w:val="0"/>
        <w:widowControl w:val="0"/>
        <w:kinsoku/>
        <w:wordWrap/>
        <w:overflowPunct/>
        <w:topLinePunct w:val="0"/>
        <w:bidi w:val="0"/>
        <w:snapToGrid/>
        <w:spacing w:line="400" w:lineRule="exact"/>
        <w:textAlignment w:val="auto"/>
        <w:rPr>
          <w:szCs w:val="21"/>
          <w:highlight w:val="none"/>
        </w:rPr>
      </w:pPr>
      <w:r>
        <w:rPr>
          <w:szCs w:val="21"/>
          <w:highlight w:val="none"/>
          <w:u w:val="single"/>
        </w:rPr>
        <w:t xml:space="preserve">                  </w:t>
      </w:r>
      <w:r>
        <w:rPr>
          <w:szCs w:val="21"/>
          <w:highlight w:val="none"/>
        </w:rPr>
        <w:t>（招标人名称）：</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olor w:val="auto"/>
          <w:szCs w:val="21"/>
          <w:highlight w:val="none"/>
          <w:lang w:eastAsia="zh-CN"/>
        </w:rPr>
      </w:pPr>
      <w:r>
        <w:rPr>
          <w:szCs w:val="21"/>
          <w:highlight w:val="none"/>
        </w:rPr>
        <w:t>1．我方已仔细研究了</w:t>
      </w:r>
      <w:r>
        <w:rPr>
          <w:szCs w:val="21"/>
          <w:highlight w:val="none"/>
          <w:u w:val="single"/>
        </w:rPr>
        <w:t xml:space="preserve">                  </w:t>
      </w:r>
      <w:r>
        <w:rPr>
          <w:color w:val="000000"/>
          <w:szCs w:val="21"/>
          <w:highlight w:val="none"/>
          <w:u w:val="single"/>
        </w:rPr>
        <w:t>（项目名称）</w:t>
      </w:r>
      <w:r>
        <w:rPr>
          <w:rFonts w:hint="eastAsia"/>
          <w:color w:val="000000"/>
          <w:szCs w:val="21"/>
          <w:highlight w:val="none"/>
          <w:u w:val="single"/>
        </w:rPr>
        <w:t xml:space="preserve">  </w:t>
      </w:r>
      <w:r>
        <w:rPr>
          <w:szCs w:val="21"/>
          <w:highlight w:val="none"/>
        </w:rPr>
        <w:t>招标文件的全部内容，愿意以</w:t>
      </w:r>
      <w:r>
        <w:rPr>
          <w:rFonts w:hint="eastAsia" w:asciiTheme="minorEastAsia" w:hAnsiTheme="minorEastAsia" w:eastAsiaTheme="minorEastAsia"/>
          <w:color w:val="auto"/>
          <w:szCs w:val="21"/>
          <w:highlight w:val="none"/>
          <w:lang w:val="en-US" w:eastAsia="zh-CN"/>
        </w:rPr>
        <w:t>下列方式对勘察费进行报价</w:t>
      </w:r>
      <w:r>
        <w:rPr>
          <w:rFonts w:hint="eastAsia" w:asciiTheme="minorEastAsia" w:hAnsiTheme="minorEastAsia" w:eastAsiaTheme="minorEastAsia"/>
          <w:color w:val="auto"/>
          <w:szCs w:val="21"/>
          <w:highlight w:val="none"/>
          <w:lang w:eastAsia="zh-CN"/>
        </w:rPr>
        <w:t>：</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olor w:val="auto"/>
          <w:szCs w:val="21"/>
          <w:highlight w:val="none"/>
          <w:u w:val="single"/>
          <w:lang w:eastAsia="zh-CN"/>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方式一：</w:t>
      </w:r>
      <w:r>
        <w:rPr>
          <w:rFonts w:hint="eastAsia" w:asciiTheme="minorEastAsia" w:hAnsiTheme="minorEastAsia" w:eastAsiaTheme="minorEastAsia"/>
          <w:color w:val="auto"/>
          <w:szCs w:val="21"/>
          <w:highlight w:val="none"/>
        </w:rPr>
        <w:t>固定费率</w:t>
      </w:r>
      <w:r>
        <w:rPr>
          <w:rFonts w:hint="eastAsia" w:asciiTheme="minorEastAsia" w:hAnsiTheme="minorEastAsia" w:eastAsiaTheme="minorEastAsia"/>
          <w:color w:val="auto"/>
          <w:szCs w:val="21"/>
          <w:highlight w:val="none"/>
          <w:lang w:val="en-US" w:eastAsia="zh-CN"/>
        </w:rPr>
        <w:t>为</w:t>
      </w:r>
      <w:r>
        <w:rPr>
          <w:rFonts w:hint="eastAsia" w:asciiTheme="minorEastAsia" w:hAnsiTheme="minorEastAsia" w:eastAsiaTheme="minorEastAsia"/>
          <w:color w:val="auto"/>
          <w:szCs w:val="21"/>
          <w:highlight w:val="none"/>
          <w:u w:val="single"/>
          <w:lang w:val="en-US" w:eastAsia="zh-CN"/>
        </w:rPr>
        <w:t xml:space="preserve">    %</w:t>
      </w:r>
      <w:r>
        <w:rPr>
          <w:rFonts w:hint="eastAsia" w:ascii="宋体" w:hAnsi="宋体"/>
          <w:kern w:val="0"/>
          <w:szCs w:val="21"/>
        </w:rPr>
        <w:t>，</w:t>
      </w:r>
      <w:r>
        <w:rPr>
          <w:rFonts w:hint="eastAsia" w:asciiTheme="minorEastAsia" w:hAnsiTheme="minorEastAsia" w:eastAsiaTheme="minorEastAsia"/>
          <w:color w:val="auto"/>
          <w:szCs w:val="21"/>
          <w:highlight w:val="none"/>
          <w:u w:val="none"/>
          <w:lang w:eastAsia="zh-CN"/>
        </w:rPr>
        <w:t>计费基数</w:t>
      </w:r>
      <w:r>
        <w:rPr>
          <w:rFonts w:hint="eastAsia" w:asciiTheme="minorEastAsia" w:hAnsiTheme="minorEastAsia" w:eastAsiaTheme="minorEastAsia"/>
          <w:color w:val="auto"/>
          <w:szCs w:val="21"/>
          <w:highlight w:val="none"/>
          <w:u w:val="none"/>
          <w:lang w:val="en-US" w:eastAsia="zh-CN"/>
        </w:rPr>
        <w:t>为</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eastAsia="zh-CN"/>
        </w:rPr>
        <w:t>元</w:t>
      </w:r>
      <w:r>
        <w:rPr>
          <w:rFonts w:hint="eastAsia" w:asciiTheme="minorEastAsia" w:hAnsiTheme="minorEastAsia" w:eastAsiaTheme="minorEastAsia"/>
          <w:color w:val="auto"/>
          <w:szCs w:val="21"/>
          <w:highlight w:val="none"/>
          <w:u w:val="none"/>
          <w:lang w:eastAsia="zh-CN"/>
        </w:rPr>
        <w:t>，</w:t>
      </w:r>
      <w:r>
        <w:rPr>
          <w:rFonts w:hint="eastAsia" w:asciiTheme="minorEastAsia" w:hAnsiTheme="minorEastAsia" w:eastAsiaTheme="minorEastAsia"/>
          <w:color w:val="auto"/>
          <w:szCs w:val="21"/>
          <w:highlight w:val="none"/>
          <w:u w:val="none"/>
          <w:lang w:val="en-US" w:eastAsia="zh-CN"/>
        </w:rPr>
        <w:t>其中</w:t>
      </w:r>
      <w:r>
        <w:rPr>
          <w:rFonts w:hint="eastAsia"/>
        </w:rPr>
        <w:t>□BIM技术费用报价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□专项</w:t>
      </w:r>
      <w:r>
        <w:rPr>
          <w:rFonts w:hint="eastAsia"/>
          <w:lang w:val="en-US" w:eastAsia="zh-CN"/>
        </w:rPr>
        <w:t>勘察</w:t>
      </w:r>
      <w:r>
        <w:rPr>
          <w:rFonts w:hint="eastAsia"/>
        </w:rPr>
        <w:t>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w:t>
      </w:r>
      <w:r>
        <w:rPr>
          <w:rFonts w:hint="eastAsia"/>
          <w:u w:val="single"/>
        </w:rPr>
        <w:t>其他费用报价</w:t>
      </w:r>
      <w:r>
        <w:rPr>
          <w:rFonts w:hint="eastAsia"/>
          <w:u w:val="single"/>
          <w:lang w:val="en-US" w:eastAsia="zh-CN"/>
        </w:rPr>
        <w:t>为    元</w:t>
      </w:r>
      <w:r>
        <w:rPr>
          <w:rFonts w:hint="eastAsia"/>
          <w:u w:val="none"/>
          <w:lang w:val="en-US" w:eastAsia="zh-CN"/>
        </w:rPr>
        <w:t>，投标总报价（即</w:t>
      </w:r>
      <w:r>
        <w:rPr>
          <w:rFonts w:hint="eastAsia" w:ascii="宋体" w:hAnsi="宋体" w:cs="宋体"/>
          <w:color w:val="auto"/>
          <w:szCs w:val="21"/>
          <w:highlight w:val="none"/>
          <w:lang w:val="en-US" w:eastAsia="zh-CN"/>
        </w:rPr>
        <w:t>勘察</w:t>
      </w:r>
      <w:r>
        <w:rPr>
          <w:rFonts w:hint="eastAsia" w:ascii="宋体" w:hAnsi="宋体" w:eastAsia="宋体" w:cs="宋体"/>
          <w:color w:val="auto"/>
          <w:szCs w:val="21"/>
          <w:highlight w:val="none"/>
          <w:lang w:val="en-US" w:eastAsia="zh-CN"/>
        </w:rPr>
        <w:t>费</w:t>
      </w:r>
      <w:r>
        <w:rPr>
          <w:rFonts w:hint="eastAsia" w:ascii="宋体" w:hAnsi="宋体" w:cs="宋体"/>
          <w:color w:val="auto"/>
          <w:szCs w:val="21"/>
          <w:highlight w:val="none"/>
          <w:lang w:val="en-US" w:eastAsia="zh-CN"/>
        </w:rPr>
        <w:t>投标报价）</w:t>
      </w:r>
      <w:r>
        <w:rPr>
          <w:rFonts w:hint="eastAsia" w:ascii="宋体" w:hAnsi="宋体" w:eastAsia="宋体" w:cs="宋体"/>
          <w:color w:val="auto"/>
          <w:szCs w:val="21"/>
          <w:highlight w:val="none"/>
          <w:lang w:val="en-US" w:eastAsia="zh-CN"/>
        </w:rPr>
        <w:t>为</w:t>
      </w:r>
      <w:r>
        <w:rPr>
          <w:rFonts w:hint="eastAsia" w:ascii="宋体" w:hAnsi="宋体" w:eastAsia="宋体" w:cs="宋体"/>
          <w:color w:val="auto"/>
          <w:szCs w:val="21"/>
          <w:highlight w:val="none"/>
          <w:u w:val="single"/>
        </w:rPr>
        <w:t>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Theme="minorEastAsia" w:hAnsiTheme="minorEastAsia" w:eastAsiaTheme="minorEastAsia"/>
          <w:color w:val="auto"/>
          <w:szCs w:val="21"/>
          <w:highlight w:val="none"/>
          <w:u w:val="none"/>
          <w:lang w:eastAsia="zh-CN"/>
        </w:rPr>
        <w:t>；</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选择方式一：固定费率报价时适用。重庆市电子招投标系统应根据填报的固定费率报价自动生成对应的投标总报价。]</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方式二：</w:t>
      </w:r>
      <w:r>
        <w:rPr>
          <w:rFonts w:hint="eastAsia" w:ascii="宋体" w:hAnsi="宋体"/>
          <w:kern w:val="0"/>
          <w:szCs w:val="21"/>
        </w:rPr>
        <w:t>固定单价</w:t>
      </w:r>
      <w:r>
        <w:rPr>
          <w:rFonts w:hint="eastAsia" w:ascii="宋体" w:hAnsi="宋体"/>
          <w:kern w:val="0"/>
          <w:szCs w:val="21"/>
          <w:lang w:val="en-US" w:eastAsia="zh-CN"/>
        </w:rPr>
        <w:t>为</w:t>
      </w:r>
      <w:r>
        <w:rPr>
          <w:rFonts w:hint="eastAsia" w:ascii="宋体" w:hAnsi="宋体"/>
          <w:kern w:val="0"/>
          <w:szCs w:val="21"/>
          <w:u w:val="single"/>
        </w:rPr>
        <w:t xml:space="preserve">    </w:t>
      </w:r>
      <w:r>
        <w:rPr>
          <w:rFonts w:hint="eastAsia" w:asciiTheme="minorEastAsia" w:hAnsiTheme="minorEastAsia" w:eastAsiaTheme="minorEastAsia"/>
          <w:color w:val="auto"/>
          <w:szCs w:val="21"/>
          <w:highlight w:val="none"/>
          <w:u w:val="single"/>
          <w:lang w:eastAsia="zh-CN"/>
        </w:rPr>
        <w:t>（单位：</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w:t>
      </w:r>
      <w:r>
        <w:rPr>
          <w:rFonts w:hint="eastAsia" w:ascii="宋体" w:hAnsi="宋体"/>
          <w:kern w:val="0"/>
          <w:szCs w:val="21"/>
        </w:rPr>
        <w:t>，</w:t>
      </w:r>
      <w:r>
        <w:rPr>
          <w:rFonts w:hint="eastAsia" w:asciiTheme="minorEastAsia" w:hAnsiTheme="minorEastAsia" w:eastAsiaTheme="minorEastAsia"/>
          <w:color w:val="auto"/>
          <w:szCs w:val="21"/>
          <w:highlight w:val="none"/>
          <w:u w:val="none"/>
          <w:lang w:eastAsia="zh-CN"/>
        </w:rPr>
        <w:t>暂定工程量</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eastAsia="zh-CN"/>
        </w:rPr>
        <w:t>（单位：</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w:t>
      </w:r>
      <w:r>
        <w:rPr>
          <w:rFonts w:hint="eastAsia" w:asciiTheme="minorEastAsia" w:hAnsiTheme="minorEastAsia" w:eastAsiaTheme="minorEastAsia"/>
          <w:color w:val="auto"/>
          <w:szCs w:val="21"/>
          <w:highlight w:val="none"/>
          <w:u w:val="none"/>
          <w:lang w:eastAsia="zh-CN"/>
        </w:rPr>
        <w:t>，</w:t>
      </w:r>
      <w:r>
        <w:rPr>
          <w:rFonts w:hint="eastAsia" w:asciiTheme="minorEastAsia" w:hAnsiTheme="minorEastAsia" w:eastAsiaTheme="minorEastAsia"/>
          <w:color w:val="auto"/>
          <w:szCs w:val="21"/>
          <w:highlight w:val="none"/>
          <w:u w:val="none"/>
          <w:lang w:val="en-US" w:eastAsia="zh-CN"/>
        </w:rPr>
        <w:t>其中</w:t>
      </w:r>
      <w:r>
        <w:rPr>
          <w:rFonts w:hint="eastAsia"/>
        </w:rPr>
        <w:t>□BIM技术费用报价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□专项</w:t>
      </w:r>
      <w:r>
        <w:rPr>
          <w:rFonts w:hint="eastAsia"/>
          <w:lang w:val="en-US" w:eastAsia="zh-CN"/>
        </w:rPr>
        <w:t>勘察</w:t>
      </w:r>
      <w:r>
        <w:rPr>
          <w:rFonts w:hint="eastAsia"/>
        </w:rPr>
        <w:t>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w:t>
      </w:r>
      <w:r>
        <w:rPr>
          <w:rFonts w:hint="eastAsia"/>
          <w:u w:val="single"/>
        </w:rPr>
        <w:t>其他费用报价</w:t>
      </w:r>
      <w:r>
        <w:rPr>
          <w:rFonts w:hint="eastAsia"/>
          <w:u w:val="single"/>
          <w:lang w:val="en-US" w:eastAsia="zh-CN"/>
        </w:rPr>
        <w:t>为    元</w:t>
      </w:r>
      <w:r>
        <w:rPr>
          <w:rFonts w:hint="eastAsia"/>
          <w:u w:val="none"/>
          <w:lang w:val="en-US" w:eastAsia="zh-CN"/>
        </w:rPr>
        <w:t>，投标总报价（即</w:t>
      </w:r>
      <w:r>
        <w:rPr>
          <w:rFonts w:hint="eastAsia" w:asciiTheme="minorEastAsia" w:hAnsiTheme="minorEastAsia" w:eastAsiaTheme="minorEastAsia"/>
          <w:color w:val="auto"/>
          <w:szCs w:val="21"/>
          <w:highlight w:val="none"/>
          <w:lang w:val="en-US" w:eastAsia="zh-CN"/>
        </w:rPr>
        <w:t>勘察费投标报价）为</w:t>
      </w:r>
      <w:r>
        <w:rPr>
          <w:rFonts w:asciiTheme="minorEastAsia" w:hAnsiTheme="minorEastAsia" w:eastAsiaTheme="minorEastAsia"/>
          <w:color w:val="auto"/>
          <w:szCs w:val="21"/>
          <w:highlight w:val="none"/>
          <w:u w:val="single"/>
        </w:rPr>
        <w:t>人民币（大写）</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none"/>
          <w:lang w:eastAsia="zh-CN"/>
        </w:rPr>
        <w:t>；</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选择方式二：固定单价报价时适用。重庆市电子招投标系统应根据填报的固定单价报价自动生成对应的投标总报价。单位由招标人在编制招标文件时填写。]</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方式三：固定总价（即</w:t>
      </w:r>
      <w:r>
        <w:rPr>
          <w:rFonts w:asciiTheme="minorEastAsia" w:hAnsiTheme="minorEastAsia" w:eastAsiaTheme="minorEastAsia"/>
          <w:color w:val="auto"/>
          <w:szCs w:val="21"/>
          <w:highlight w:val="none"/>
        </w:rPr>
        <w:t>投标总报价</w:t>
      </w:r>
      <w:r>
        <w:rPr>
          <w:rFonts w:hint="eastAsia" w:asciiTheme="minorEastAsia" w:hAnsiTheme="minorEastAsia" w:eastAsiaTheme="minorEastAsia"/>
          <w:color w:val="auto"/>
          <w:szCs w:val="21"/>
          <w:highlight w:val="none"/>
          <w:lang w:eastAsia="zh-CN"/>
        </w:rPr>
        <w:t>）</w:t>
      </w:r>
      <w:r>
        <w:rPr>
          <w:rFonts w:asciiTheme="minorEastAsia" w:hAnsiTheme="minorEastAsia" w:eastAsiaTheme="minorEastAsia"/>
          <w:color w:val="auto"/>
          <w:szCs w:val="21"/>
          <w:highlight w:val="none"/>
          <w:u w:val="single"/>
        </w:rPr>
        <w:t>人民币（大写）</w:t>
      </w:r>
      <w:r>
        <w:rPr>
          <w:rFonts w:hint="eastAsia" w:asciiTheme="minorEastAsia" w:hAnsiTheme="minorEastAsia" w:eastAsiaTheme="minorEastAsia"/>
          <w:color w:val="auto"/>
          <w:szCs w:val="21"/>
          <w:highlight w:val="none"/>
          <w:u w:val="single"/>
          <w:lang w:eastAsia="zh-CN"/>
        </w:rPr>
        <w:t xml:space="preserve"> </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选择方式三：固定总价报价时适用。]</w:t>
      </w:r>
    </w:p>
    <w:p>
      <w:pPr>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宋体" w:hAnsi="宋体"/>
          <w:kern w:val="0"/>
          <w:szCs w:val="21"/>
          <w:highlight w:val="none"/>
          <w:u w:val="none"/>
          <w:lang w:eastAsia="zh-CN"/>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方式四：</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选择方式四时适用。]</w:t>
      </w:r>
    </w:p>
    <w:p>
      <w:pPr>
        <w:keepNext w:val="0"/>
        <w:keepLines w:val="0"/>
        <w:pageBreakBefore w:val="0"/>
        <w:widowControl w:val="0"/>
        <w:kinsoku/>
        <w:wordWrap/>
        <w:overflowPunct/>
        <w:topLinePunct w:val="0"/>
        <w:bidi w:val="0"/>
        <w:snapToGrid/>
        <w:spacing w:line="400" w:lineRule="exact"/>
        <w:ind w:firstLine="405"/>
        <w:textAlignment w:val="auto"/>
        <w:rPr>
          <w:szCs w:val="21"/>
          <w:highlight w:val="none"/>
        </w:rPr>
      </w:pPr>
      <w:r>
        <w:rPr>
          <w:rFonts w:hint="eastAsia" w:asciiTheme="minorEastAsia" w:hAnsiTheme="minorEastAsia" w:eastAsiaTheme="minorEastAsia"/>
          <w:color w:val="auto"/>
          <w:szCs w:val="21"/>
          <w:highlight w:val="none"/>
          <w:lang w:eastAsia="zh-CN"/>
        </w:rPr>
        <w:t>增值税税率为</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项目负责人为</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 xml:space="preserve">   </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委托代理人为</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 xml:space="preserve">   </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 xml:space="preserve">   </w:t>
      </w:r>
      <w:r>
        <w:rPr>
          <w:rFonts w:asciiTheme="minorEastAsia" w:hAnsiTheme="minorEastAsia" w:eastAsiaTheme="minorEastAsia"/>
          <w:color w:val="auto"/>
          <w:szCs w:val="21"/>
          <w:highlight w:val="none"/>
        </w:rPr>
        <w:t>，</w:t>
      </w:r>
      <w:r>
        <w:rPr>
          <w:szCs w:val="21"/>
          <w:highlight w:val="none"/>
        </w:rPr>
        <w:t>勘察服务期限</w:t>
      </w:r>
      <w:r>
        <w:rPr>
          <w:rFonts w:hint="eastAsia" w:ascii="宋体" w:hAnsi="宋体"/>
          <w:snapToGrid w:val="0"/>
          <w:kern w:val="0"/>
          <w:szCs w:val="21"/>
          <w:highlight w:val="none"/>
          <w:u w:val="single"/>
        </w:rPr>
        <w:t>符合招标文件的要求</w:t>
      </w:r>
      <w:r>
        <w:rPr>
          <w:rFonts w:hint="eastAsia"/>
          <w:szCs w:val="21"/>
          <w:highlight w:val="none"/>
          <w:lang w:eastAsia="zh-CN"/>
        </w:rPr>
        <w:t>，</w:t>
      </w:r>
      <w:r>
        <w:rPr>
          <w:szCs w:val="21"/>
          <w:highlight w:val="none"/>
        </w:rPr>
        <w:t>勘察服务</w:t>
      </w:r>
      <w:r>
        <w:rPr>
          <w:rFonts w:hint="eastAsia"/>
          <w:szCs w:val="21"/>
          <w:highlight w:val="none"/>
          <w:lang w:val="en-US" w:eastAsia="zh-CN"/>
        </w:rPr>
        <w:t>质量</w:t>
      </w:r>
      <w:r>
        <w:rPr>
          <w:rFonts w:hint="eastAsia" w:ascii="宋体" w:hAnsi="宋体"/>
          <w:snapToGrid w:val="0"/>
          <w:kern w:val="0"/>
          <w:szCs w:val="21"/>
          <w:highlight w:val="none"/>
          <w:u w:val="single"/>
        </w:rPr>
        <w:t>符合招标文件的要求</w:t>
      </w:r>
      <w:r>
        <w:rPr>
          <w:rFonts w:hint="eastAsia"/>
          <w:szCs w:val="21"/>
          <w:highlight w:val="none"/>
          <w:lang w:eastAsia="zh-CN"/>
        </w:rPr>
        <w:t>，</w:t>
      </w:r>
      <w:r>
        <w:rPr>
          <w:szCs w:val="21"/>
          <w:highlight w:val="none"/>
        </w:rPr>
        <w:t>按合同约定完成勘察工作。</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ascii="宋体" w:hAnsi="宋体"/>
          <w:snapToGrid w:val="0"/>
          <w:kern w:val="0"/>
          <w:sz w:val="10"/>
          <w:szCs w:val="10"/>
        </w:rPr>
      </w:pPr>
      <w:r>
        <w:rPr>
          <w:rFonts w:ascii="宋体" w:hAnsi="宋体"/>
          <w:snapToGrid w:val="0"/>
          <w:kern w:val="0"/>
          <w:szCs w:val="21"/>
        </w:rPr>
        <w:t>2</w:t>
      </w:r>
      <w:r>
        <w:rPr>
          <w:rFonts w:hint="eastAsia" w:ascii="宋体" w:hAnsi="宋体"/>
          <w:snapToGrid w:val="0"/>
          <w:kern w:val="0"/>
          <w:szCs w:val="21"/>
        </w:rPr>
        <w:t xml:space="preserve">. </w:t>
      </w:r>
      <w:r>
        <w:rPr>
          <w:rFonts w:ascii="宋体" w:hAnsi="宋体"/>
          <w:snapToGrid w:val="0"/>
          <w:kern w:val="0"/>
          <w:szCs w:val="21"/>
        </w:rPr>
        <w:t>我方承诺</w:t>
      </w:r>
      <w:r>
        <w:rPr>
          <w:rFonts w:hint="eastAsia" w:ascii="宋体" w:hAnsi="宋体"/>
          <w:snapToGrid w:val="0"/>
          <w:kern w:val="0"/>
          <w:szCs w:val="21"/>
        </w:rPr>
        <w:t>响应招标文件规定的投标有效期，</w:t>
      </w:r>
      <w:r>
        <w:rPr>
          <w:rFonts w:ascii="宋体" w:hAnsi="宋体"/>
          <w:snapToGrid w:val="0"/>
          <w:kern w:val="0"/>
          <w:szCs w:val="21"/>
        </w:rPr>
        <w:t>在投标有效期内不修改、撤销投标文件。</w:t>
      </w:r>
    </w:p>
    <w:p>
      <w:pPr>
        <w:keepNext w:val="0"/>
        <w:keepLines w:val="0"/>
        <w:pageBreakBefore w:val="0"/>
        <w:widowControl w:val="0"/>
        <w:kinsoku/>
        <w:wordWrap/>
        <w:overflowPunct/>
        <w:topLinePunct w:val="0"/>
        <w:bidi w:val="0"/>
        <w:snapToGrid/>
        <w:spacing w:line="400" w:lineRule="exact"/>
        <w:ind w:firstLine="420" w:firstLineChars="200"/>
        <w:textAlignment w:val="auto"/>
        <w:rPr>
          <w:szCs w:val="21"/>
          <w:highlight w:val="none"/>
        </w:rPr>
      </w:pPr>
      <w:r>
        <w:rPr>
          <w:rFonts w:ascii="宋体" w:hAnsi="宋体"/>
          <w:snapToGrid w:val="0"/>
          <w:kern w:val="0"/>
          <w:szCs w:val="21"/>
        </w:rPr>
        <w:t>3</w:t>
      </w:r>
      <w:r>
        <w:rPr>
          <w:rFonts w:hint="eastAsia" w:ascii="宋体" w:hAnsi="宋体"/>
          <w:snapToGrid w:val="0"/>
          <w:kern w:val="0"/>
          <w:szCs w:val="21"/>
        </w:rPr>
        <w:t xml:space="preserve">. </w:t>
      </w:r>
      <w:r>
        <w:rPr>
          <w:rFonts w:ascii="宋体" w:hAnsi="宋体"/>
          <w:snapToGrid w:val="0"/>
          <w:kern w:val="0"/>
          <w:szCs w:val="21"/>
        </w:rPr>
        <w:t>随同本投标函提交投标保证金一份，金额为人民币（大写）</w:t>
      </w:r>
      <w:r>
        <w:rPr>
          <w:rFonts w:ascii="宋体" w:hAnsi="宋体"/>
          <w:snapToGrid w:val="0"/>
          <w:kern w:val="0"/>
          <w:szCs w:val="21"/>
          <w:u w:val="single"/>
        </w:rPr>
        <w:tab/>
      </w:r>
      <w:r>
        <w:rPr>
          <w:rFonts w:ascii="宋体" w:hAnsi="宋体"/>
          <w:snapToGrid w:val="0"/>
          <w:kern w:val="0"/>
          <w:szCs w:val="21"/>
        </w:rPr>
        <w:t>（¥</w:t>
      </w:r>
      <w:r>
        <w:rPr>
          <w:rFonts w:ascii="宋体" w:hAnsi="宋体"/>
          <w:snapToGrid w:val="0"/>
          <w:kern w:val="0"/>
          <w:szCs w:val="21"/>
          <w:u w:val="single"/>
        </w:rPr>
        <w:tab/>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投标保证金有效期</w:t>
      </w:r>
      <w:r>
        <w:rPr>
          <w:rFonts w:ascii="宋体" w:hAnsi="宋体"/>
          <w:snapToGrid w:val="0"/>
          <w:kern w:val="0"/>
          <w:szCs w:val="21"/>
        </w:rPr>
        <w:t>与</w:t>
      </w:r>
      <w:r>
        <w:rPr>
          <w:rFonts w:hint="eastAsia" w:ascii="宋体" w:hAnsi="宋体"/>
          <w:snapToGrid w:val="0"/>
          <w:kern w:val="0"/>
          <w:szCs w:val="21"/>
        </w:rPr>
        <w:t>投标有效期</w:t>
      </w:r>
      <w:r>
        <w:rPr>
          <w:rFonts w:ascii="宋体" w:hAnsi="宋体"/>
          <w:snapToGrid w:val="0"/>
          <w:kern w:val="0"/>
          <w:szCs w:val="21"/>
        </w:rPr>
        <w:t>一致，在此期间，若我方违反招投标有关法律、法规及本招标文件的相关规定，投标保证金的受益人为招标人。</w:t>
      </w:r>
    </w:p>
    <w:p>
      <w:pPr>
        <w:keepNext w:val="0"/>
        <w:keepLines w:val="0"/>
        <w:pageBreakBefore w:val="0"/>
        <w:widowControl w:val="0"/>
        <w:kinsoku/>
        <w:wordWrap/>
        <w:overflowPunct/>
        <w:topLinePunct w:val="0"/>
        <w:bidi w:val="0"/>
        <w:snapToGrid/>
        <w:spacing w:line="400" w:lineRule="exact"/>
        <w:ind w:firstLine="420" w:firstLineChars="200"/>
        <w:textAlignment w:val="auto"/>
        <w:rPr>
          <w:szCs w:val="21"/>
          <w:highlight w:val="none"/>
        </w:rPr>
      </w:pPr>
      <w:r>
        <w:rPr>
          <w:szCs w:val="21"/>
          <w:highlight w:val="none"/>
        </w:rPr>
        <w:t>4．如我方中标，我方承诺：</w:t>
      </w:r>
    </w:p>
    <w:p>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szCs w:val="21"/>
          <w:highlight w:val="none"/>
        </w:rPr>
      </w:pPr>
      <w:r>
        <w:rPr>
          <w:szCs w:val="21"/>
          <w:highlight w:val="none"/>
        </w:rPr>
        <w:t>（1）在收到中标通知书后，在中标通知书规定的期限内与你方签订合同；</w:t>
      </w:r>
    </w:p>
    <w:p>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szCs w:val="21"/>
          <w:highlight w:val="none"/>
        </w:rPr>
      </w:pPr>
      <w:r>
        <w:rPr>
          <w:szCs w:val="21"/>
          <w:highlight w:val="none"/>
        </w:rPr>
        <w:t>（2）在签订合同时不向你方提出附加条件；</w:t>
      </w:r>
    </w:p>
    <w:p>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szCs w:val="21"/>
          <w:highlight w:val="none"/>
        </w:rPr>
      </w:pPr>
      <w:r>
        <w:rPr>
          <w:szCs w:val="21"/>
          <w:highlight w:val="none"/>
        </w:rPr>
        <w:t>（3）按照招标文件要求提交履约保证金；</w:t>
      </w:r>
      <w:bookmarkStart w:id="1998" w:name="_Toc352691658"/>
      <w:bookmarkStart w:id="1999" w:name="_Toc369531694"/>
      <w:bookmarkStart w:id="2000" w:name="_Toc1187"/>
    </w:p>
    <w:p>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szCs w:val="21"/>
          <w:highlight w:val="none"/>
          <w:lang w:eastAsia="zh-CN"/>
        </w:rPr>
      </w:pPr>
      <w:r>
        <w:rPr>
          <w:szCs w:val="21"/>
          <w:highlight w:val="none"/>
        </w:rPr>
        <w:t>（4）在合</w:t>
      </w:r>
      <w:bookmarkEnd w:id="1998"/>
      <w:bookmarkEnd w:id="1999"/>
      <w:bookmarkEnd w:id="2000"/>
      <w:r>
        <w:rPr>
          <w:szCs w:val="21"/>
          <w:highlight w:val="none"/>
        </w:rPr>
        <w:t>同约定的期限内完成合同规定的全部义务</w:t>
      </w:r>
      <w:r>
        <w:rPr>
          <w:rFonts w:hint="eastAsia"/>
          <w:szCs w:val="21"/>
          <w:highlight w:val="none"/>
          <w:lang w:eastAsia="zh-CN"/>
        </w:rPr>
        <w:t>；</w:t>
      </w:r>
    </w:p>
    <w:p>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eastAsia="宋体"/>
          <w:szCs w:val="21"/>
          <w:highlight w:val="none"/>
          <w:lang w:eastAsia="zh-CN"/>
        </w:rPr>
      </w:pPr>
      <w:r>
        <w:rPr>
          <w:rFonts w:hint="eastAsia"/>
          <w:szCs w:val="21"/>
          <w:highlight w:val="none"/>
          <w:lang w:eastAsia="zh-CN"/>
        </w:rPr>
        <w:t>（5）我方承诺以不低于招标文件第五章“发包人要求”中所列的技术指标和参数要求完成全部合同勘察工作。</w:t>
      </w:r>
    </w:p>
    <w:p>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highlight w:val="none"/>
        </w:rPr>
      </w:pPr>
      <w:r>
        <w:rPr>
          <w:rFonts w:hint="eastAsia"/>
          <w:szCs w:val="21"/>
          <w:highlight w:val="none"/>
        </w:rPr>
        <w:t>（</w:t>
      </w:r>
      <w:r>
        <w:rPr>
          <w:rFonts w:hint="eastAsia"/>
          <w:szCs w:val="21"/>
          <w:highlight w:val="none"/>
          <w:lang w:val="en-US" w:eastAsia="zh-CN"/>
        </w:rPr>
        <w:t>6</w:t>
      </w:r>
      <w:r>
        <w:rPr>
          <w:rFonts w:hint="eastAsia"/>
          <w:szCs w:val="21"/>
          <w:highlight w:val="none"/>
        </w:rPr>
        <w:t>）勘察成果符合相关行业标准，满足相关部门验收要求。</w:t>
      </w:r>
    </w:p>
    <w:p>
      <w:pPr>
        <w:keepNext w:val="0"/>
        <w:keepLines w:val="0"/>
        <w:pageBreakBefore w:val="0"/>
        <w:widowControl w:val="0"/>
        <w:kinsoku/>
        <w:wordWrap/>
        <w:overflowPunct/>
        <w:topLinePunct w:val="0"/>
        <w:bidi w:val="0"/>
        <w:snapToGrid/>
        <w:spacing w:line="400" w:lineRule="exact"/>
        <w:ind w:firstLine="420" w:firstLineChars="200"/>
        <w:textAlignment w:val="auto"/>
        <w:rPr>
          <w:szCs w:val="21"/>
          <w:highlight w:val="none"/>
        </w:rPr>
      </w:pPr>
      <w:r>
        <w:rPr>
          <w:szCs w:val="21"/>
          <w:highlight w:val="none"/>
        </w:rPr>
        <w:t>5．</w:t>
      </w:r>
      <w:r>
        <w:rPr>
          <w:rFonts w:ascii="宋体" w:hAnsi="宋体"/>
          <w:snapToGrid w:val="0"/>
          <w:kern w:val="0"/>
          <w:szCs w:val="21"/>
        </w:rPr>
        <w:t>我方</w:t>
      </w:r>
      <w:r>
        <w:rPr>
          <w:rFonts w:ascii="宋体" w:hAnsi="宋体"/>
          <w:snapToGrid w:val="0"/>
          <w:spacing w:val="-2"/>
          <w:kern w:val="0"/>
          <w:szCs w:val="21"/>
        </w:rPr>
        <w:t>在此声明，所递交的投标文件及有关资料内容完整、真实和准确，且不存在第二章“投标人</w:t>
      </w:r>
      <w:r>
        <w:rPr>
          <w:rFonts w:ascii="宋体" w:hAnsi="宋体"/>
          <w:snapToGrid w:val="0"/>
          <w:kern w:val="0"/>
          <w:szCs w:val="21"/>
        </w:rPr>
        <w:t>须知”第 1.4.3 项规定的任何一种情形。同时我方承诺接受招标文件及附件、</w:t>
      </w:r>
      <w:r>
        <w:rPr>
          <w:rFonts w:hint="eastAsia" w:ascii="宋体" w:hAnsi="宋体"/>
          <w:snapToGrid w:val="0"/>
          <w:kern w:val="0"/>
          <w:szCs w:val="21"/>
        </w:rPr>
        <w:t>澄清</w:t>
      </w:r>
      <w:r>
        <w:rPr>
          <w:rFonts w:ascii="宋体" w:hAnsi="宋体"/>
          <w:snapToGrid w:val="0"/>
          <w:kern w:val="0"/>
          <w:szCs w:val="21"/>
        </w:rPr>
        <w:t>及</w:t>
      </w:r>
      <w:r>
        <w:rPr>
          <w:rFonts w:hint="eastAsia" w:ascii="宋体" w:hAnsi="宋体"/>
          <w:snapToGrid w:val="0"/>
          <w:kern w:val="0"/>
          <w:szCs w:val="21"/>
        </w:rPr>
        <w:t>修改</w:t>
      </w:r>
      <w:r>
        <w:rPr>
          <w:rFonts w:ascii="宋体" w:hAnsi="宋体"/>
          <w:snapToGrid w:val="0"/>
          <w:kern w:val="0"/>
          <w:szCs w:val="21"/>
        </w:rPr>
        <w:t>通知中所有的内容</w:t>
      </w:r>
      <w:r>
        <w:rPr>
          <w:szCs w:val="21"/>
          <w:highlight w:val="none"/>
        </w:rPr>
        <w:t>。</w:t>
      </w:r>
    </w:p>
    <w:p>
      <w:pPr>
        <w:keepNext w:val="0"/>
        <w:keepLines w:val="0"/>
        <w:pageBreakBefore w:val="0"/>
        <w:widowControl w:val="0"/>
        <w:kinsoku/>
        <w:wordWrap/>
        <w:overflowPunct/>
        <w:topLinePunct w:val="0"/>
        <w:bidi w:val="0"/>
        <w:snapToGrid/>
        <w:spacing w:line="400" w:lineRule="exact"/>
        <w:ind w:firstLine="420" w:firstLineChars="200"/>
        <w:textAlignment w:val="auto"/>
        <w:rPr>
          <w:szCs w:val="21"/>
          <w:highlight w:val="none"/>
        </w:rPr>
      </w:pPr>
      <w:r>
        <w:rPr>
          <w:szCs w:val="21"/>
          <w:highlight w:val="none"/>
        </w:rPr>
        <w:t>6．</w:t>
      </w:r>
      <w:r>
        <w:rPr>
          <w:rFonts w:hint="eastAsia" w:ascii="宋体" w:hAnsi="宋体"/>
          <w:snapToGrid w:val="0"/>
          <w:kern w:val="0"/>
          <w:szCs w:val="21"/>
        </w:rPr>
        <w:t xml:space="preserve"> </w:t>
      </w:r>
      <w:r>
        <w:rPr>
          <w:rFonts w:ascii="宋体" w:hAnsi="宋体"/>
          <w:snapToGrid w:val="0"/>
          <w:w w:val="200"/>
          <w:kern w:val="0"/>
          <w:szCs w:val="21"/>
          <w:u w:val="single"/>
        </w:rPr>
        <w:t xml:space="preserve"> </w:t>
      </w:r>
      <w:r>
        <w:rPr>
          <w:rFonts w:ascii="宋体" w:hAnsi="宋体"/>
          <w:snapToGrid w:val="0"/>
          <w:kern w:val="0"/>
          <w:szCs w:val="21"/>
          <w:u w:val="single"/>
        </w:rPr>
        <w:t xml:space="preserve">    （其他补充说明）</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szCs w:val="21"/>
          <w:highlight w:val="none"/>
        </w:rPr>
        <w:t>。</w:t>
      </w:r>
    </w:p>
    <w:p>
      <w:pPr>
        <w:keepNext w:val="0"/>
        <w:keepLines w:val="0"/>
        <w:pageBreakBefore w:val="0"/>
        <w:widowControl w:val="0"/>
        <w:kinsoku/>
        <w:wordWrap/>
        <w:overflowPunct/>
        <w:topLinePunct w:val="0"/>
        <w:bidi w:val="0"/>
        <w:snapToGrid/>
        <w:spacing w:line="400" w:lineRule="exact"/>
        <w:ind w:firstLine="420" w:firstLineChars="200"/>
        <w:textAlignment w:val="auto"/>
        <w:rPr>
          <w:szCs w:val="21"/>
          <w:highlight w:val="none"/>
        </w:rPr>
      </w:pPr>
    </w:p>
    <w:p>
      <w:pPr>
        <w:keepNext w:val="0"/>
        <w:keepLines w:val="0"/>
        <w:pageBreakBefore w:val="0"/>
        <w:widowControl w:val="0"/>
        <w:kinsoku/>
        <w:wordWrap/>
        <w:overflowPunct/>
        <w:topLinePunct w:val="0"/>
        <w:bidi w:val="0"/>
        <w:snapToGrid/>
        <w:spacing w:line="400" w:lineRule="exact"/>
        <w:ind w:firstLine="420" w:firstLineChars="200"/>
        <w:jc w:val="left"/>
        <w:textAlignment w:val="auto"/>
        <w:rPr>
          <w:szCs w:val="21"/>
          <w:highlight w:val="none"/>
        </w:rPr>
      </w:pPr>
      <w:bookmarkStart w:id="2001" w:name="_Toc352691660"/>
      <w:bookmarkEnd w:id="2001"/>
      <w:bookmarkStart w:id="2002" w:name="_Toc352691659"/>
      <w:bookmarkEnd w:id="2002"/>
      <w:bookmarkStart w:id="2003" w:name="_Toc16568"/>
      <w:bookmarkEnd w:id="2003"/>
      <w:bookmarkStart w:id="2004" w:name="_Toc369531695"/>
      <w:bookmarkEnd w:id="2004"/>
      <w:bookmarkStart w:id="2005" w:name="_Toc369531696"/>
      <w:bookmarkEnd w:id="2005"/>
      <w:bookmarkStart w:id="2006" w:name="_Toc16824"/>
      <w:bookmarkEnd w:id="2006"/>
      <w:r>
        <w:rPr>
          <w:szCs w:val="21"/>
          <w:highlight w:val="none"/>
        </w:rPr>
        <w:t>投 标 人：</w:t>
      </w:r>
      <w:r>
        <w:rPr>
          <w:szCs w:val="21"/>
          <w:highlight w:val="none"/>
          <w:u w:val="single"/>
        </w:rPr>
        <w:t xml:space="preserve">                                </w:t>
      </w:r>
      <w:r>
        <w:rPr>
          <w:szCs w:val="21"/>
          <w:highlight w:val="none"/>
          <w:u w:val="single"/>
        </w:rPr>
        <w:tab/>
      </w:r>
      <w:r>
        <w:rPr>
          <w:szCs w:val="21"/>
          <w:highlight w:val="none"/>
        </w:rPr>
        <w:t>（盖单位</w:t>
      </w:r>
      <w:r>
        <w:rPr>
          <w:rFonts w:hint="eastAsia"/>
          <w:szCs w:val="21"/>
          <w:highlight w:val="none"/>
          <w:lang w:val="en-US" w:eastAsia="zh-CN"/>
        </w:rPr>
        <w:t>法人</w:t>
      </w:r>
      <w:r>
        <w:rPr>
          <w:szCs w:val="21"/>
          <w:highlight w:val="none"/>
        </w:rPr>
        <w:t>章）</w:t>
      </w:r>
    </w:p>
    <w:p>
      <w:pPr>
        <w:keepNext w:val="0"/>
        <w:keepLines w:val="0"/>
        <w:pageBreakBefore w:val="0"/>
        <w:widowControl w:val="0"/>
        <w:kinsoku/>
        <w:wordWrap/>
        <w:overflowPunct/>
        <w:topLinePunct w:val="0"/>
        <w:bidi w:val="0"/>
        <w:snapToGrid/>
        <w:spacing w:line="400" w:lineRule="exact"/>
        <w:jc w:val="left"/>
        <w:textAlignment w:val="auto"/>
        <w:rPr>
          <w:szCs w:val="21"/>
          <w:highlight w:val="none"/>
        </w:rPr>
      </w:pPr>
      <w:r>
        <w:rPr>
          <w:color w:val="000000"/>
          <w:szCs w:val="22"/>
          <w:highlight w:val="none"/>
        </w:rPr>
        <w:t xml:space="preserve">    法定代表人</w:t>
      </w:r>
      <w:r>
        <w:rPr>
          <w:szCs w:val="21"/>
          <w:highlight w:val="none"/>
        </w:rPr>
        <w:t>或其委托代理人：</w:t>
      </w:r>
      <w:r>
        <w:rPr>
          <w:szCs w:val="21"/>
          <w:highlight w:val="none"/>
          <w:u w:val="single"/>
        </w:rPr>
        <w:t xml:space="preserve">       </w:t>
      </w:r>
      <w:r>
        <w:rPr>
          <w:rFonts w:hint="eastAsia"/>
          <w:szCs w:val="21"/>
          <w:highlight w:val="none"/>
          <w:u w:val="single"/>
        </w:rPr>
        <w:t xml:space="preserve">       </w:t>
      </w:r>
      <w:r>
        <w:rPr>
          <w:szCs w:val="21"/>
          <w:highlight w:val="none"/>
          <w:u w:val="single"/>
        </w:rPr>
        <w:tab/>
      </w:r>
      <w:r>
        <w:rPr>
          <w:szCs w:val="21"/>
          <w:highlight w:val="none"/>
        </w:rPr>
        <w:t>（签名或盖章）</w:t>
      </w:r>
    </w:p>
    <w:p>
      <w:pPr>
        <w:keepNext w:val="0"/>
        <w:keepLines w:val="0"/>
        <w:pageBreakBefore w:val="0"/>
        <w:widowControl w:val="0"/>
        <w:kinsoku/>
        <w:wordWrap/>
        <w:overflowPunct/>
        <w:topLinePunct w:val="0"/>
        <w:bidi w:val="0"/>
        <w:snapToGrid/>
        <w:spacing w:line="400" w:lineRule="exact"/>
        <w:ind w:firstLine="420" w:firstLineChars="200"/>
        <w:jc w:val="left"/>
        <w:textAlignment w:val="auto"/>
        <w:rPr>
          <w:szCs w:val="21"/>
          <w:highlight w:val="none"/>
        </w:rPr>
      </w:pPr>
      <w:r>
        <w:rPr>
          <w:szCs w:val="21"/>
          <w:highlight w:val="none"/>
        </w:rPr>
        <w:t>地    址：</w:t>
      </w:r>
      <w:r>
        <w:rPr>
          <w:szCs w:val="21"/>
          <w:highlight w:val="none"/>
          <w:u w:val="single"/>
        </w:rPr>
        <w:t xml:space="preserve">          </w:t>
      </w:r>
      <w:r>
        <w:rPr>
          <w:szCs w:val="21"/>
          <w:highlight w:val="none"/>
          <w:u w:val="single"/>
        </w:rPr>
        <w:tab/>
      </w:r>
      <w:r>
        <w:rPr>
          <w:szCs w:val="21"/>
          <w:highlight w:val="none"/>
          <w:u w:val="single"/>
        </w:rPr>
        <w:t xml:space="preserve">                             </w:t>
      </w:r>
      <w:r>
        <w:rPr>
          <w:szCs w:val="21"/>
          <w:highlight w:val="none"/>
          <w:u w:val="single"/>
        </w:rPr>
        <w:tab/>
      </w:r>
    </w:p>
    <w:p>
      <w:pPr>
        <w:keepNext w:val="0"/>
        <w:keepLines w:val="0"/>
        <w:pageBreakBefore w:val="0"/>
        <w:widowControl w:val="0"/>
        <w:kinsoku/>
        <w:wordWrap/>
        <w:overflowPunct/>
        <w:topLinePunct w:val="0"/>
        <w:bidi w:val="0"/>
        <w:snapToGrid/>
        <w:spacing w:line="400" w:lineRule="exact"/>
        <w:ind w:firstLine="420" w:firstLineChars="200"/>
        <w:jc w:val="left"/>
        <w:textAlignment w:val="auto"/>
        <w:rPr>
          <w:szCs w:val="21"/>
          <w:highlight w:val="none"/>
        </w:rPr>
      </w:pPr>
      <w:r>
        <w:rPr>
          <w:szCs w:val="21"/>
          <w:highlight w:val="none"/>
        </w:rPr>
        <w:t>网    址：</w:t>
      </w:r>
      <w:r>
        <w:rPr>
          <w:szCs w:val="21"/>
          <w:highlight w:val="none"/>
          <w:u w:val="single"/>
        </w:rPr>
        <w:t xml:space="preserve">                                       </w:t>
      </w:r>
      <w:r>
        <w:rPr>
          <w:szCs w:val="21"/>
          <w:highlight w:val="none"/>
          <w:u w:val="single"/>
        </w:rPr>
        <w:tab/>
      </w:r>
      <w:r>
        <w:rPr>
          <w:szCs w:val="21"/>
          <w:highlight w:val="none"/>
          <w:u w:val="single"/>
        </w:rPr>
        <w:t xml:space="preserve">    </w:t>
      </w:r>
    </w:p>
    <w:p>
      <w:pPr>
        <w:keepNext w:val="0"/>
        <w:keepLines w:val="0"/>
        <w:pageBreakBefore w:val="0"/>
        <w:widowControl w:val="0"/>
        <w:tabs>
          <w:tab w:val="left" w:pos="8300"/>
        </w:tabs>
        <w:kinsoku/>
        <w:wordWrap/>
        <w:overflowPunct/>
        <w:topLinePunct w:val="0"/>
        <w:autoSpaceDE w:val="0"/>
        <w:autoSpaceDN w:val="0"/>
        <w:bidi w:val="0"/>
        <w:adjustRightInd w:val="0"/>
        <w:snapToGrid/>
        <w:spacing w:line="400" w:lineRule="exact"/>
        <w:ind w:firstLine="420" w:firstLineChars="200"/>
        <w:textAlignment w:val="auto"/>
        <w:rPr>
          <w:rFonts w:ascii="宋体" w:hAnsi="宋体"/>
          <w:snapToGrid w:val="0"/>
          <w:kern w:val="0"/>
          <w:szCs w:val="21"/>
          <w:highlight w:val="none"/>
        </w:rPr>
      </w:pPr>
      <w:r>
        <w:rPr>
          <w:rFonts w:hint="eastAsia" w:ascii="宋体" w:hAnsi="宋体"/>
          <w:snapToGrid w:val="0"/>
          <w:kern w:val="0"/>
          <w:szCs w:val="21"/>
          <w:highlight w:val="none"/>
        </w:rPr>
        <w:t>单位电话（座机）：</w:t>
      </w:r>
      <w:r>
        <w:rPr>
          <w:rFonts w:hint="eastAsia" w:ascii="宋体" w:hAnsi="宋体"/>
          <w:snapToGrid w:val="0"/>
          <w:kern w:val="0"/>
          <w:szCs w:val="21"/>
          <w:highlight w:val="none"/>
          <w:u w:val="single"/>
        </w:rPr>
        <w:t xml:space="preserve">                 </w:t>
      </w:r>
      <w:r>
        <w:rPr>
          <w:rFonts w:hint="eastAsia" w:ascii="宋体" w:hAnsi="宋体"/>
          <w:snapToGrid w:val="0"/>
          <w:kern w:val="0"/>
          <w:szCs w:val="21"/>
          <w:highlight w:val="none"/>
        </w:rPr>
        <w:t>委托代理人电话（手机）：</w:t>
      </w:r>
      <w:r>
        <w:rPr>
          <w:rFonts w:hint="eastAsia" w:ascii="宋体" w:hAnsi="宋体"/>
          <w:snapToGrid w:val="0"/>
          <w:kern w:val="0"/>
          <w:szCs w:val="21"/>
          <w:highlight w:val="none"/>
          <w:u w:val="single"/>
        </w:rPr>
        <w:t xml:space="preserve">                      </w:t>
      </w:r>
    </w:p>
    <w:p>
      <w:pPr>
        <w:keepNext w:val="0"/>
        <w:keepLines w:val="0"/>
        <w:pageBreakBefore w:val="0"/>
        <w:widowControl w:val="0"/>
        <w:kinsoku/>
        <w:wordWrap/>
        <w:overflowPunct/>
        <w:topLinePunct w:val="0"/>
        <w:bidi w:val="0"/>
        <w:snapToGrid/>
        <w:spacing w:line="400" w:lineRule="exact"/>
        <w:ind w:firstLine="420" w:firstLineChars="200"/>
        <w:jc w:val="left"/>
        <w:textAlignment w:val="auto"/>
        <w:rPr>
          <w:szCs w:val="21"/>
          <w:highlight w:val="none"/>
        </w:rPr>
      </w:pPr>
      <w:r>
        <w:rPr>
          <w:szCs w:val="21"/>
          <w:highlight w:val="none"/>
        </w:rPr>
        <w:t>传    真：</w:t>
      </w:r>
      <w:r>
        <w:rPr>
          <w:szCs w:val="21"/>
          <w:highlight w:val="none"/>
          <w:u w:val="single"/>
        </w:rPr>
        <w:t xml:space="preserve">          </w:t>
      </w:r>
      <w:r>
        <w:rPr>
          <w:szCs w:val="21"/>
          <w:highlight w:val="none"/>
          <w:u w:val="single"/>
        </w:rPr>
        <w:tab/>
      </w:r>
      <w:r>
        <w:rPr>
          <w:szCs w:val="21"/>
          <w:highlight w:val="none"/>
          <w:u w:val="single"/>
        </w:rPr>
        <w:t xml:space="preserve">                                </w:t>
      </w:r>
    </w:p>
    <w:p>
      <w:pPr>
        <w:keepNext w:val="0"/>
        <w:keepLines w:val="0"/>
        <w:pageBreakBefore w:val="0"/>
        <w:widowControl w:val="0"/>
        <w:kinsoku/>
        <w:wordWrap/>
        <w:overflowPunct/>
        <w:topLinePunct w:val="0"/>
        <w:bidi w:val="0"/>
        <w:snapToGrid/>
        <w:spacing w:line="400" w:lineRule="exact"/>
        <w:ind w:firstLine="420" w:firstLineChars="200"/>
        <w:jc w:val="left"/>
        <w:textAlignment w:val="auto"/>
        <w:rPr>
          <w:szCs w:val="21"/>
          <w:highlight w:val="none"/>
        </w:rPr>
      </w:pPr>
      <w:r>
        <w:rPr>
          <w:szCs w:val="21"/>
          <w:highlight w:val="none"/>
        </w:rPr>
        <w:t>邮政编码：</w:t>
      </w:r>
      <w:r>
        <w:rPr>
          <w:szCs w:val="21"/>
          <w:highlight w:val="none"/>
          <w:u w:val="single"/>
        </w:rPr>
        <w:t xml:space="preserve">          </w:t>
      </w:r>
      <w:r>
        <w:rPr>
          <w:szCs w:val="21"/>
          <w:highlight w:val="none"/>
          <w:u w:val="single"/>
        </w:rPr>
        <w:tab/>
      </w:r>
      <w:r>
        <w:rPr>
          <w:szCs w:val="21"/>
          <w:highlight w:val="none"/>
          <w:u w:val="single"/>
        </w:rPr>
        <w:t xml:space="preserve">                                </w:t>
      </w:r>
    </w:p>
    <w:p>
      <w:pPr>
        <w:keepNext w:val="0"/>
        <w:keepLines w:val="0"/>
        <w:pageBreakBefore w:val="0"/>
        <w:widowControl w:val="0"/>
        <w:kinsoku/>
        <w:wordWrap/>
        <w:overflowPunct/>
        <w:topLinePunct w:val="0"/>
        <w:bidi w:val="0"/>
        <w:snapToGrid/>
        <w:spacing w:line="400" w:lineRule="exact"/>
        <w:ind w:firstLine="4725" w:firstLineChars="2250"/>
        <w:jc w:val="right"/>
        <w:textAlignment w:val="auto"/>
        <w:rPr>
          <w:szCs w:val="21"/>
          <w:highlight w:val="none"/>
        </w:rPr>
      </w:pPr>
      <w:r>
        <w:rPr>
          <w:color w:val="000000"/>
          <w:szCs w:val="22"/>
          <w:highlight w:val="none"/>
          <w:u w:val="single"/>
        </w:rPr>
        <w:t xml:space="preserve">      </w:t>
      </w:r>
      <w:r>
        <w:rPr>
          <w:szCs w:val="21"/>
          <w:highlight w:val="none"/>
        </w:rPr>
        <w:t>年</w:t>
      </w:r>
      <w:r>
        <w:rPr>
          <w:color w:val="000000"/>
          <w:szCs w:val="22"/>
          <w:highlight w:val="none"/>
          <w:u w:val="single"/>
        </w:rPr>
        <w:t xml:space="preserve">      </w:t>
      </w:r>
      <w:r>
        <w:rPr>
          <w:szCs w:val="21"/>
          <w:highlight w:val="none"/>
        </w:rPr>
        <w:t>月</w:t>
      </w:r>
      <w:r>
        <w:rPr>
          <w:color w:val="000000"/>
          <w:szCs w:val="22"/>
          <w:highlight w:val="none"/>
          <w:u w:val="single"/>
        </w:rPr>
        <w:t xml:space="preserve">      </w:t>
      </w:r>
      <w:r>
        <w:rPr>
          <w:szCs w:val="21"/>
          <w:highlight w:val="none"/>
        </w:rPr>
        <w:t>日</w:t>
      </w:r>
    </w:p>
    <w:p>
      <w:pPr>
        <w:keepNext w:val="0"/>
        <w:keepLines w:val="0"/>
        <w:spacing w:before="0" w:after="0" w:line="240" w:lineRule="auto"/>
        <w:ind w:firstLine="0" w:firstLineChars="0"/>
        <w:jc w:val="left"/>
        <w:outlineLvl w:val="9"/>
        <w:rPr>
          <w:rFonts w:hint="eastAsia" w:eastAsia="黑体"/>
          <w:sz w:val="28"/>
          <w:szCs w:val="20"/>
          <w:highlight w:val="none"/>
        </w:rPr>
      </w:pPr>
      <w:bookmarkStart w:id="2007" w:name="_Toc385943066"/>
      <w:bookmarkStart w:id="2008" w:name="_Toc20112"/>
      <w:bookmarkStart w:id="2009" w:name="_Toc359594236"/>
      <w:bookmarkStart w:id="2010" w:name="_Toc370676427"/>
      <w:bookmarkStart w:id="2011" w:name="_Toc75857119"/>
      <w:bookmarkStart w:id="2012" w:name="_Toc391394112"/>
      <w:bookmarkStart w:id="2013" w:name="_Toc21534"/>
      <w:bookmarkStart w:id="2014" w:name="_Toc27385"/>
      <w:bookmarkStart w:id="2015" w:name="_Toc482188652"/>
      <w:bookmarkStart w:id="2016" w:name="_Toc492300942"/>
      <w:bookmarkStart w:id="2017" w:name="_Toc15863"/>
      <w:bookmarkStart w:id="2018" w:name="_Toc361508752"/>
      <w:bookmarkStart w:id="2019" w:name="_Toc384308375"/>
      <w:bookmarkStart w:id="2020" w:name="_Toc144974856"/>
      <w:bookmarkStart w:id="2021" w:name="_Toc369531697"/>
      <w:bookmarkStart w:id="2022" w:name="_Toc247527827"/>
      <w:bookmarkStart w:id="2023" w:name="_Toc152042576"/>
      <w:bookmarkStart w:id="2024" w:name="_Toc352691661"/>
      <w:bookmarkStart w:id="2025" w:name="_Toc300835209"/>
      <w:bookmarkStart w:id="2026" w:name="_Toc247514246"/>
      <w:bookmarkStart w:id="2027" w:name="_Toc152045787"/>
      <w:bookmarkStart w:id="2028" w:name="_Toc17960"/>
      <w:r>
        <w:rPr>
          <w:rFonts w:hint="eastAsia" w:eastAsia="黑体"/>
          <w:sz w:val="28"/>
          <w:szCs w:val="20"/>
          <w:highlight w:val="none"/>
        </w:rPr>
        <w:br w:type="page"/>
      </w:r>
    </w:p>
    <w:p>
      <w:pPr>
        <w:keepNext/>
        <w:keepLines/>
        <w:spacing w:before="260" w:after="260" w:line="412" w:lineRule="auto"/>
        <w:ind w:firstLine="137" w:firstLineChars="49"/>
        <w:jc w:val="center"/>
        <w:outlineLvl w:val="1"/>
        <w:rPr>
          <w:rFonts w:eastAsia="黑体"/>
          <w:sz w:val="28"/>
          <w:szCs w:val="20"/>
          <w:highlight w:val="none"/>
        </w:rPr>
      </w:pPr>
      <w:bookmarkStart w:id="2029" w:name="_Toc14205"/>
      <w:r>
        <w:rPr>
          <w:rFonts w:hint="eastAsia" w:eastAsia="黑体"/>
          <w:sz w:val="28"/>
          <w:szCs w:val="20"/>
          <w:highlight w:val="none"/>
        </w:rPr>
        <w:t>（二）投标函附录</w:t>
      </w:r>
      <w:bookmarkEnd w:id="2007"/>
      <w:bookmarkEnd w:id="2008"/>
      <w:bookmarkEnd w:id="2009"/>
      <w:bookmarkEnd w:id="2010"/>
      <w:bookmarkEnd w:id="2011"/>
      <w:bookmarkEnd w:id="2012"/>
      <w:bookmarkEnd w:id="2013"/>
      <w:bookmarkEnd w:id="2014"/>
      <w:bookmarkEnd w:id="2015"/>
      <w:bookmarkEnd w:id="2016"/>
      <w:bookmarkEnd w:id="2017"/>
      <w:bookmarkEnd w:id="2029"/>
    </w:p>
    <w:tbl>
      <w:tblPr>
        <w:tblStyle w:val="55"/>
        <w:tblW w:w="87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513"/>
        <w:gridCol w:w="2268"/>
        <w:gridCol w:w="1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8" w:hRule="atLeast"/>
          <w:jc w:val="center"/>
        </w:trPr>
        <w:tc>
          <w:tcPr>
            <w:tcW w:w="1354" w:type="dxa"/>
            <w:vAlign w:val="center"/>
          </w:tcPr>
          <w:p>
            <w:pPr>
              <w:jc w:val="center"/>
              <w:rPr>
                <w:b/>
                <w:szCs w:val="22"/>
                <w:highlight w:val="none"/>
              </w:rPr>
            </w:pPr>
            <w:r>
              <w:rPr>
                <w:rFonts w:hint="eastAsia"/>
                <w:b/>
                <w:szCs w:val="22"/>
                <w:highlight w:val="none"/>
              </w:rPr>
              <w:t>序号</w:t>
            </w:r>
          </w:p>
        </w:tc>
        <w:tc>
          <w:tcPr>
            <w:tcW w:w="2161" w:type="dxa"/>
            <w:vAlign w:val="center"/>
          </w:tcPr>
          <w:p>
            <w:pPr>
              <w:jc w:val="center"/>
              <w:rPr>
                <w:b/>
                <w:szCs w:val="22"/>
                <w:highlight w:val="none"/>
              </w:rPr>
            </w:pPr>
            <w:r>
              <w:rPr>
                <w:rFonts w:hint="eastAsia"/>
                <w:b/>
                <w:szCs w:val="22"/>
                <w:highlight w:val="none"/>
              </w:rPr>
              <w:t>条款名称</w:t>
            </w:r>
          </w:p>
        </w:tc>
        <w:tc>
          <w:tcPr>
            <w:tcW w:w="1513" w:type="dxa"/>
            <w:vAlign w:val="center"/>
          </w:tcPr>
          <w:p>
            <w:pPr>
              <w:jc w:val="center"/>
              <w:rPr>
                <w:b/>
                <w:szCs w:val="22"/>
                <w:highlight w:val="none"/>
              </w:rPr>
            </w:pPr>
            <w:r>
              <w:rPr>
                <w:rFonts w:hint="eastAsia"/>
                <w:b/>
                <w:szCs w:val="22"/>
                <w:highlight w:val="none"/>
              </w:rPr>
              <w:t>合同条款号</w:t>
            </w:r>
          </w:p>
        </w:tc>
        <w:tc>
          <w:tcPr>
            <w:tcW w:w="2268" w:type="dxa"/>
            <w:vAlign w:val="center"/>
          </w:tcPr>
          <w:p>
            <w:pPr>
              <w:jc w:val="center"/>
              <w:rPr>
                <w:b/>
                <w:szCs w:val="22"/>
                <w:highlight w:val="none"/>
              </w:rPr>
            </w:pPr>
            <w:r>
              <w:rPr>
                <w:rFonts w:hint="eastAsia"/>
                <w:b/>
                <w:szCs w:val="22"/>
                <w:highlight w:val="none"/>
              </w:rPr>
              <w:t>约定内容</w:t>
            </w:r>
          </w:p>
        </w:tc>
        <w:tc>
          <w:tcPr>
            <w:tcW w:w="1475" w:type="dxa"/>
            <w:vAlign w:val="center"/>
          </w:tcPr>
          <w:p>
            <w:pPr>
              <w:jc w:val="center"/>
              <w:rPr>
                <w:b/>
                <w:szCs w:val="22"/>
                <w:highlight w:val="none"/>
              </w:rPr>
            </w:pPr>
            <w:r>
              <w:rPr>
                <w:rFonts w:hint="eastAsia"/>
                <w:b/>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jc w:val="center"/>
              <w:rPr>
                <w:szCs w:val="22"/>
                <w:highlight w:val="none"/>
              </w:rPr>
            </w:pPr>
            <w:r>
              <w:rPr>
                <w:szCs w:val="22"/>
                <w:highlight w:val="none"/>
              </w:rPr>
              <w:t>1</w:t>
            </w:r>
          </w:p>
        </w:tc>
        <w:tc>
          <w:tcPr>
            <w:tcW w:w="2161" w:type="dxa"/>
            <w:vAlign w:val="center"/>
          </w:tcPr>
          <w:p>
            <w:pPr>
              <w:spacing w:before="100" w:beforeAutospacing="1" w:after="100" w:afterAutospacing="1" w:line="440" w:lineRule="exact"/>
              <w:jc w:val="center"/>
              <w:rPr>
                <w:szCs w:val="21"/>
                <w:highlight w:val="none"/>
              </w:rPr>
            </w:pPr>
            <w:r>
              <w:rPr>
                <w:rFonts w:hint="eastAsia"/>
                <w:szCs w:val="21"/>
                <w:highlight w:val="none"/>
              </w:rPr>
              <w:t>项目负责人</w:t>
            </w:r>
          </w:p>
        </w:tc>
        <w:tc>
          <w:tcPr>
            <w:tcW w:w="1513" w:type="dxa"/>
            <w:vAlign w:val="center"/>
          </w:tcPr>
          <w:p>
            <w:pPr>
              <w:spacing w:line="440" w:lineRule="exact"/>
              <w:jc w:val="center"/>
              <w:rPr>
                <w:szCs w:val="22"/>
                <w:highlight w:val="none"/>
              </w:rPr>
            </w:pPr>
            <w:r>
              <w:rPr>
                <w:szCs w:val="22"/>
                <w:highlight w:val="none"/>
              </w:rPr>
              <w:t>1.1.2.5</w:t>
            </w:r>
          </w:p>
        </w:tc>
        <w:tc>
          <w:tcPr>
            <w:tcW w:w="2268" w:type="dxa"/>
            <w:vAlign w:val="center"/>
          </w:tcPr>
          <w:p>
            <w:pPr>
              <w:topLinePunct/>
              <w:spacing w:line="400" w:lineRule="exact"/>
              <w:rPr>
                <w:szCs w:val="21"/>
                <w:highlight w:val="none"/>
              </w:rPr>
            </w:pPr>
            <w:r>
              <w:rPr>
                <w:rFonts w:hint="eastAsia"/>
                <w:szCs w:val="21"/>
                <w:highlight w:val="none"/>
              </w:rPr>
              <w:t>姓名：</w:t>
            </w:r>
            <w:r>
              <w:rPr>
                <w:szCs w:val="21"/>
                <w:highlight w:val="none"/>
              </w:rPr>
              <w:t xml:space="preserve"> </w:t>
            </w:r>
            <w:r>
              <w:rPr>
                <w:szCs w:val="21"/>
                <w:highlight w:val="none"/>
                <w:u w:val="single"/>
              </w:rPr>
              <w:t xml:space="preserve">      </w:t>
            </w:r>
          </w:p>
        </w:tc>
        <w:tc>
          <w:tcPr>
            <w:tcW w:w="1475" w:type="dxa"/>
            <w:vAlign w:val="center"/>
          </w:tcPr>
          <w:p>
            <w:pPr>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spacing w:before="100" w:beforeAutospacing="1" w:after="100" w:afterAutospacing="1"/>
              <w:jc w:val="center"/>
              <w:rPr>
                <w:szCs w:val="22"/>
                <w:highlight w:val="none"/>
              </w:rPr>
            </w:pPr>
            <w:r>
              <w:rPr>
                <w:szCs w:val="22"/>
                <w:highlight w:val="none"/>
              </w:rPr>
              <w:t>2</w:t>
            </w:r>
          </w:p>
        </w:tc>
        <w:tc>
          <w:tcPr>
            <w:tcW w:w="2161" w:type="dxa"/>
            <w:vAlign w:val="center"/>
          </w:tcPr>
          <w:p>
            <w:pPr>
              <w:spacing w:before="100" w:beforeAutospacing="1" w:after="100" w:afterAutospacing="1" w:line="440" w:lineRule="exact"/>
              <w:jc w:val="center"/>
              <w:rPr>
                <w:szCs w:val="21"/>
                <w:highlight w:val="none"/>
              </w:rPr>
            </w:pPr>
            <w:r>
              <w:rPr>
                <w:rFonts w:hint="eastAsia"/>
                <w:szCs w:val="21"/>
                <w:highlight w:val="none"/>
              </w:rPr>
              <w:t>勘察服务期限</w:t>
            </w:r>
          </w:p>
        </w:tc>
        <w:tc>
          <w:tcPr>
            <w:tcW w:w="1513" w:type="dxa"/>
            <w:vAlign w:val="center"/>
          </w:tcPr>
          <w:p>
            <w:pPr>
              <w:spacing w:line="440" w:lineRule="exact"/>
              <w:jc w:val="center"/>
              <w:rPr>
                <w:szCs w:val="22"/>
                <w:highlight w:val="none"/>
              </w:rPr>
            </w:pPr>
            <w:r>
              <w:rPr>
                <w:szCs w:val="22"/>
                <w:highlight w:val="none"/>
              </w:rPr>
              <w:t>1.1.4.3</w:t>
            </w:r>
          </w:p>
        </w:tc>
        <w:tc>
          <w:tcPr>
            <w:tcW w:w="2268" w:type="dxa"/>
            <w:vAlign w:val="center"/>
          </w:tcPr>
          <w:p>
            <w:pPr>
              <w:topLinePunct/>
              <w:spacing w:line="400" w:lineRule="exact"/>
              <w:rPr>
                <w:szCs w:val="21"/>
                <w:highlight w:val="none"/>
              </w:rPr>
            </w:pPr>
            <w:r>
              <w:rPr>
                <w:szCs w:val="21"/>
                <w:highlight w:val="none"/>
                <w:u w:val="single"/>
              </w:rPr>
              <w:t xml:space="preserve">      </w:t>
            </w:r>
            <w:r>
              <w:rPr>
                <w:szCs w:val="21"/>
                <w:highlight w:val="none"/>
              </w:rPr>
              <w:t>日历天</w:t>
            </w:r>
          </w:p>
        </w:tc>
        <w:tc>
          <w:tcPr>
            <w:tcW w:w="1475" w:type="dxa"/>
            <w:vAlign w:val="center"/>
          </w:tcPr>
          <w:p>
            <w:pPr>
              <w:spacing w:line="440" w:lineRule="exact"/>
              <w:ind w:firstLine="718" w:firstLineChars="342"/>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tabs>
                <w:tab w:val="left" w:pos="360"/>
              </w:tabs>
              <w:jc w:val="center"/>
              <w:rPr>
                <w:color w:val="000000"/>
                <w:szCs w:val="22"/>
                <w:highlight w:val="none"/>
              </w:rPr>
            </w:pPr>
            <w:r>
              <w:rPr>
                <w:color w:val="000000"/>
                <w:szCs w:val="22"/>
                <w:highlight w:val="none"/>
              </w:rPr>
              <w:t>3</w:t>
            </w:r>
          </w:p>
        </w:tc>
        <w:tc>
          <w:tcPr>
            <w:tcW w:w="2161" w:type="dxa"/>
            <w:vAlign w:val="center"/>
          </w:tcPr>
          <w:p>
            <w:pPr>
              <w:spacing w:before="100" w:beforeAutospacing="1" w:after="100" w:afterAutospacing="1" w:line="440" w:lineRule="exact"/>
              <w:jc w:val="center"/>
              <w:rPr>
                <w:szCs w:val="21"/>
                <w:highlight w:val="none"/>
              </w:rPr>
            </w:pPr>
            <w:r>
              <w:rPr>
                <w:szCs w:val="21"/>
                <w:highlight w:val="none"/>
              </w:rPr>
              <w:t>合同价款确定</w:t>
            </w:r>
            <w:r>
              <w:rPr>
                <w:rFonts w:hint="eastAsia"/>
                <w:szCs w:val="21"/>
                <w:highlight w:val="none"/>
              </w:rPr>
              <w:t>方式</w:t>
            </w:r>
          </w:p>
        </w:tc>
        <w:tc>
          <w:tcPr>
            <w:tcW w:w="1513" w:type="dxa"/>
            <w:vAlign w:val="center"/>
          </w:tcPr>
          <w:p>
            <w:pPr>
              <w:spacing w:line="440" w:lineRule="exact"/>
              <w:jc w:val="center"/>
              <w:rPr>
                <w:szCs w:val="22"/>
                <w:highlight w:val="none"/>
              </w:rPr>
            </w:pPr>
            <w:r>
              <w:rPr>
                <w:szCs w:val="22"/>
                <w:highlight w:val="none"/>
              </w:rPr>
              <w:t>12.1.1</w:t>
            </w:r>
          </w:p>
        </w:tc>
        <w:tc>
          <w:tcPr>
            <w:tcW w:w="2268" w:type="dxa"/>
            <w:vAlign w:val="center"/>
          </w:tcPr>
          <w:p>
            <w:pPr>
              <w:spacing w:line="440" w:lineRule="exact"/>
              <w:rPr>
                <w:color w:val="000000"/>
                <w:szCs w:val="22"/>
                <w:highlight w:val="none"/>
              </w:rPr>
            </w:pPr>
            <w:r>
              <w:rPr>
                <w:szCs w:val="21"/>
                <w:highlight w:val="none"/>
                <w:u w:val="single"/>
              </w:rPr>
              <w:t xml:space="preserve">      </w:t>
            </w:r>
          </w:p>
        </w:tc>
        <w:tc>
          <w:tcPr>
            <w:tcW w:w="1475" w:type="dxa"/>
            <w:vAlign w:val="center"/>
          </w:tcPr>
          <w:p>
            <w:pPr>
              <w:tabs>
                <w:tab w:val="left" w:pos="360"/>
              </w:tabs>
              <w:jc w:val="center"/>
              <w:rPr>
                <w:color w:val="000000"/>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tcPr>
          <w:p>
            <w:pPr>
              <w:jc w:val="center"/>
              <w:rPr>
                <w:szCs w:val="22"/>
                <w:highlight w:val="none"/>
              </w:rPr>
            </w:pPr>
            <w:r>
              <w:rPr>
                <w:szCs w:val="22"/>
                <w:highlight w:val="none"/>
              </w:rPr>
              <w:t>……</w:t>
            </w:r>
          </w:p>
        </w:tc>
        <w:tc>
          <w:tcPr>
            <w:tcW w:w="2161" w:type="dxa"/>
          </w:tcPr>
          <w:p>
            <w:pPr>
              <w:jc w:val="center"/>
              <w:rPr>
                <w:szCs w:val="22"/>
                <w:highlight w:val="none"/>
              </w:rPr>
            </w:pPr>
            <w:r>
              <w:rPr>
                <w:szCs w:val="22"/>
                <w:highlight w:val="none"/>
              </w:rPr>
              <w:t>……</w:t>
            </w:r>
          </w:p>
        </w:tc>
        <w:tc>
          <w:tcPr>
            <w:tcW w:w="1513" w:type="dxa"/>
          </w:tcPr>
          <w:p>
            <w:pPr>
              <w:jc w:val="center"/>
              <w:rPr>
                <w:szCs w:val="22"/>
                <w:highlight w:val="none"/>
              </w:rPr>
            </w:pPr>
            <w:r>
              <w:rPr>
                <w:szCs w:val="22"/>
                <w:highlight w:val="none"/>
              </w:rPr>
              <w:t>……</w:t>
            </w:r>
          </w:p>
        </w:tc>
        <w:tc>
          <w:tcPr>
            <w:tcW w:w="2268" w:type="dxa"/>
          </w:tcPr>
          <w:p>
            <w:pPr>
              <w:jc w:val="center"/>
              <w:rPr>
                <w:szCs w:val="22"/>
                <w:highlight w:val="none"/>
              </w:rPr>
            </w:pPr>
            <w:r>
              <w:rPr>
                <w:szCs w:val="22"/>
                <w:highlight w:val="none"/>
              </w:rPr>
              <w:t>……</w:t>
            </w:r>
          </w:p>
        </w:tc>
        <w:tc>
          <w:tcPr>
            <w:tcW w:w="1475" w:type="dxa"/>
            <w:vAlign w:val="center"/>
          </w:tcPr>
          <w:p>
            <w:pPr>
              <w:spacing w:line="440" w:lineRule="exact"/>
              <w:ind w:firstLine="718" w:firstLineChars="342"/>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tcPr>
          <w:p>
            <w:pPr>
              <w:spacing w:before="100" w:beforeAutospacing="1" w:after="100" w:afterAutospacing="1"/>
              <w:jc w:val="center"/>
              <w:rPr>
                <w:szCs w:val="22"/>
                <w:highlight w:val="none"/>
              </w:rPr>
            </w:pPr>
            <w:r>
              <w:rPr>
                <w:szCs w:val="22"/>
                <w:highlight w:val="none"/>
              </w:rPr>
              <w:t>……</w:t>
            </w:r>
          </w:p>
        </w:tc>
        <w:tc>
          <w:tcPr>
            <w:tcW w:w="2161" w:type="dxa"/>
          </w:tcPr>
          <w:p>
            <w:pPr>
              <w:spacing w:before="100" w:beforeAutospacing="1" w:after="100" w:afterAutospacing="1"/>
              <w:jc w:val="center"/>
              <w:rPr>
                <w:szCs w:val="22"/>
                <w:highlight w:val="none"/>
              </w:rPr>
            </w:pPr>
            <w:r>
              <w:rPr>
                <w:szCs w:val="22"/>
                <w:highlight w:val="none"/>
              </w:rPr>
              <w:t>……</w:t>
            </w:r>
          </w:p>
        </w:tc>
        <w:tc>
          <w:tcPr>
            <w:tcW w:w="1513" w:type="dxa"/>
          </w:tcPr>
          <w:p>
            <w:pPr>
              <w:spacing w:before="100" w:beforeAutospacing="1" w:after="100" w:afterAutospacing="1"/>
              <w:jc w:val="center"/>
              <w:rPr>
                <w:szCs w:val="22"/>
                <w:highlight w:val="none"/>
              </w:rPr>
            </w:pPr>
            <w:r>
              <w:rPr>
                <w:szCs w:val="22"/>
                <w:highlight w:val="none"/>
              </w:rPr>
              <w:t>……</w:t>
            </w:r>
          </w:p>
        </w:tc>
        <w:tc>
          <w:tcPr>
            <w:tcW w:w="2268" w:type="dxa"/>
          </w:tcPr>
          <w:p>
            <w:pPr>
              <w:spacing w:before="100" w:beforeAutospacing="1" w:after="100" w:afterAutospacing="1"/>
              <w:jc w:val="center"/>
              <w:rPr>
                <w:szCs w:val="22"/>
                <w:highlight w:val="none"/>
              </w:rPr>
            </w:pPr>
            <w:r>
              <w:rPr>
                <w:szCs w:val="22"/>
                <w:highlight w:val="none"/>
              </w:rPr>
              <w:t>……</w:t>
            </w:r>
          </w:p>
        </w:tc>
        <w:tc>
          <w:tcPr>
            <w:tcW w:w="1475" w:type="dxa"/>
            <w:vAlign w:val="center"/>
          </w:tcPr>
          <w:p>
            <w:pPr>
              <w:spacing w:line="440" w:lineRule="exact"/>
              <w:rPr>
                <w:szCs w:val="22"/>
                <w:highlight w:val="none"/>
              </w:rPr>
            </w:pPr>
          </w:p>
        </w:tc>
      </w:tr>
    </w:tbl>
    <w:p>
      <w:pPr>
        <w:spacing w:line="440" w:lineRule="exact"/>
        <w:ind w:firstLine="2520" w:firstLineChars="1200"/>
        <w:jc w:val="left"/>
        <w:rPr>
          <w:szCs w:val="21"/>
          <w:highlight w:val="none"/>
        </w:rPr>
      </w:pPr>
    </w:p>
    <w:p>
      <w:pPr>
        <w:spacing w:line="440" w:lineRule="exact"/>
        <w:ind w:firstLine="2520" w:firstLineChars="1200"/>
        <w:jc w:val="left"/>
        <w:rPr>
          <w:szCs w:val="21"/>
          <w:highlight w:val="none"/>
        </w:rPr>
      </w:pPr>
      <w:r>
        <w:rPr>
          <w:szCs w:val="21"/>
          <w:highlight w:val="none"/>
        </w:rPr>
        <w:t>投 标 人：</w:t>
      </w:r>
      <w:r>
        <w:rPr>
          <w:szCs w:val="21"/>
          <w:highlight w:val="none"/>
          <w:u w:val="single"/>
        </w:rPr>
        <w:t xml:space="preserve">                                </w:t>
      </w:r>
      <w:r>
        <w:rPr>
          <w:szCs w:val="21"/>
          <w:highlight w:val="none"/>
          <w:u w:val="single"/>
        </w:rPr>
        <w:tab/>
      </w:r>
      <w:r>
        <w:rPr>
          <w:szCs w:val="21"/>
          <w:highlight w:val="none"/>
        </w:rPr>
        <w:t>（盖单位</w:t>
      </w:r>
      <w:r>
        <w:rPr>
          <w:rFonts w:hint="eastAsia"/>
          <w:szCs w:val="21"/>
          <w:highlight w:val="none"/>
          <w:lang w:val="en-US" w:eastAsia="zh-CN"/>
        </w:rPr>
        <w:t>法人</w:t>
      </w:r>
      <w:r>
        <w:rPr>
          <w:szCs w:val="21"/>
          <w:highlight w:val="none"/>
        </w:rPr>
        <w:t>章）</w:t>
      </w:r>
    </w:p>
    <w:p>
      <w:pPr>
        <w:spacing w:line="440" w:lineRule="exact"/>
        <w:jc w:val="left"/>
        <w:rPr>
          <w:szCs w:val="21"/>
          <w:highlight w:val="none"/>
        </w:rPr>
      </w:pPr>
      <w:r>
        <w:rPr>
          <w:color w:val="000000"/>
          <w:szCs w:val="22"/>
          <w:highlight w:val="none"/>
        </w:rPr>
        <w:t xml:space="preserve">                        法定代表人</w:t>
      </w:r>
      <w:r>
        <w:rPr>
          <w:szCs w:val="21"/>
          <w:highlight w:val="none"/>
        </w:rPr>
        <w:t>或其委托代理人：</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u w:val="single"/>
        </w:rPr>
        <w:tab/>
      </w:r>
      <w:r>
        <w:rPr>
          <w:szCs w:val="21"/>
          <w:highlight w:val="none"/>
        </w:rPr>
        <w:t>（签名或盖章）</w:t>
      </w:r>
    </w:p>
    <w:p>
      <w:pPr>
        <w:spacing w:line="440" w:lineRule="exact"/>
        <w:ind w:firstLine="4725" w:firstLineChars="2250"/>
        <w:jc w:val="right"/>
        <w:rPr>
          <w:szCs w:val="21"/>
          <w:highlight w:val="none"/>
        </w:rPr>
      </w:pPr>
      <w:r>
        <w:rPr>
          <w:color w:val="000000"/>
          <w:szCs w:val="22"/>
          <w:highlight w:val="none"/>
          <w:u w:val="single"/>
        </w:rPr>
        <w:t xml:space="preserve">      </w:t>
      </w:r>
      <w:r>
        <w:rPr>
          <w:szCs w:val="21"/>
          <w:highlight w:val="none"/>
        </w:rPr>
        <w:t>年</w:t>
      </w:r>
      <w:r>
        <w:rPr>
          <w:color w:val="000000"/>
          <w:szCs w:val="22"/>
          <w:highlight w:val="none"/>
          <w:u w:val="single"/>
        </w:rPr>
        <w:t xml:space="preserve">      </w:t>
      </w:r>
      <w:r>
        <w:rPr>
          <w:szCs w:val="21"/>
          <w:highlight w:val="none"/>
        </w:rPr>
        <w:t>月</w:t>
      </w:r>
      <w:r>
        <w:rPr>
          <w:color w:val="000000"/>
          <w:szCs w:val="22"/>
          <w:highlight w:val="none"/>
          <w:u w:val="single"/>
        </w:rPr>
        <w:t xml:space="preserve">      </w:t>
      </w:r>
      <w:r>
        <w:rPr>
          <w:szCs w:val="21"/>
          <w:highlight w:val="none"/>
        </w:rPr>
        <w:t>日</w:t>
      </w:r>
    </w:p>
    <w:p>
      <w:pPr>
        <w:spacing w:line="440" w:lineRule="exact"/>
        <w:rPr>
          <w:szCs w:val="21"/>
          <w:highlight w:val="none"/>
        </w:rPr>
      </w:pPr>
    </w:p>
    <w:p>
      <w:pPr>
        <w:spacing w:line="440" w:lineRule="exact"/>
        <w:rPr>
          <w:sz w:val="20"/>
          <w:szCs w:val="22"/>
          <w:highlight w:val="none"/>
        </w:rPr>
      </w:pPr>
    </w:p>
    <w:p>
      <w:pPr>
        <w:spacing w:line="440" w:lineRule="exact"/>
        <w:ind w:firstLine="420" w:firstLineChars="200"/>
        <w:rPr>
          <w:szCs w:val="21"/>
          <w:highlight w:val="none"/>
        </w:rPr>
      </w:pPr>
      <w:r>
        <w:rPr>
          <w:szCs w:val="21"/>
          <w:highlight w:val="none"/>
        </w:rPr>
        <w:br w:type="page"/>
      </w:r>
    </w:p>
    <w:bookmarkEnd w:id="2018"/>
    <w:bookmarkEnd w:id="2019"/>
    <w:bookmarkEnd w:id="2020"/>
    <w:bookmarkEnd w:id="2021"/>
    <w:bookmarkEnd w:id="2022"/>
    <w:bookmarkEnd w:id="2023"/>
    <w:bookmarkEnd w:id="2024"/>
    <w:bookmarkEnd w:id="2025"/>
    <w:bookmarkEnd w:id="2026"/>
    <w:bookmarkEnd w:id="2027"/>
    <w:bookmarkEnd w:id="2028"/>
    <w:p>
      <w:pPr>
        <w:keepNext/>
        <w:keepLines/>
        <w:spacing w:before="260" w:after="260" w:line="412" w:lineRule="auto"/>
        <w:ind w:firstLine="137" w:firstLineChars="49"/>
        <w:outlineLvl w:val="1"/>
        <w:rPr>
          <w:rFonts w:eastAsia="黑体"/>
          <w:sz w:val="28"/>
          <w:szCs w:val="20"/>
          <w:highlight w:val="none"/>
        </w:rPr>
      </w:pPr>
      <w:bookmarkStart w:id="2030" w:name="_Toc5880"/>
      <w:bookmarkStart w:id="2031" w:name="_Toc31684"/>
      <w:bookmarkStart w:id="2032" w:name="_Toc10658"/>
      <w:bookmarkStart w:id="2033" w:name="_Toc75857120"/>
      <w:bookmarkStart w:id="2034" w:name="_Toc23010"/>
      <w:bookmarkStart w:id="2035" w:name="_Toc27704"/>
      <w:bookmarkStart w:id="2036" w:name="_Toc492300943"/>
      <w:r>
        <w:rPr>
          <w:rFonts w:hint="eastAsia" w:eastAsia="黑体"/>
          <w:sz w:val="28"/>
          <w:szCs w:val="20"/>
          <w:highlight w:val="none"/>
        </w:rPr>
        <w:t>（三）法定代表人身份证明或附有法定代表人身份证明的授权委托书</w:t>
      </w:r>
      <w:bookmarkEnd w:id="2030"/>
      <w:bookmarkEnd w:id="2031"/>
      <w:bookmarkEnd w:id="2032"/>
      <w:bookmarkEnd w:id="2033"/>
      <w:bookmarkEnd w:id="2034"/>
      <w:bookmarkEnd w:id="2035"/>
    </w:p>
    <w:p>
      <w:pPr>
        <w:keepNext/>
        <w:keepLines/>
        <w:spacing w:before="260" w:after="260" w:line="413" w:lineRule="auto"/>
        <w:jc w:val="center"/>
        <w:outlineLvl w:val="9"/>
        <w:rPr>
          <w:rFonts w:eastAsia="黑体"/>
          <w:b/>
          <w:color w:val="000000"/>
          <w:sz w:val="32"/>
          <w:szCs w:val="20"/>
          <w:highlight w:val="none"/>
        </w:rPr>
      </w:pPr>
      <w:r>
        <w:rPr>
          <w:rFonts w:eastAsia="黑体"/>
          <w:b/>
          <w:color w:val="000000"/>
          <w:sz w:val="32"/>
          <w:szCs w:val="20"/>
          <w:highlight w:val="none"/>
        </w:rPr>
        <w:t>法定代表人身份证明</w:t>
      </w:r>
      <w:bookmarkEnd w:id="2036"/>
    </w:p>
    <w:p>
      <w:pPr>
        <w:spacing w:line="440" w:lineRule="exact"/>
        <w:rPr>
          <w:color w:val="000000"/>
          <w:sz w:val="20"/>
          <w:szCs w:val="22"/>
          <w:highlight w:val="none"/>
        </w:rPr>
      </w:pPr>
    </w:p>
    <w:p>
      <w:pPr>
        <w:spacing w:line="440" w:lineRule="exact"/>
        <w:rPr>
          <w:color w:val="000000"/>
          <w:szCs w:val="22"/>
          <w:highlight w:val="none"/>
        </w:rPr>
      </w:pPr>
    </w:p>
    <w:p>
      <w:pPr>
        <w:spacing w:line="440" w:lineRule="exact"/>
        <w:rPr>
          <w:color w:val="000000"/>
          <w:szCs w:val="22"/>
          <w:highlight w:val="none"/>
        </w:rPr>
      </w:pPr>
      <w:r>
        <w:rPr>
          <w:color w:val="000000"/>
          <w:szCs w:val="22"/>
          <w:highlight w:val="none"/>
        </w:rPr>
        <w:t>投标人名称：</w:t>
      </w:r>
      <w:r>
        <w:rPr>
          <w:szCs w:val="22"/>
          <w:highlight w:val="none"/>
          <w:u w:val="single"/>
        </w:rPr>
        <w:t xml:space="preserve">                        </w:t>
      </w:r>
    </w:p>
    <w:p>
      <w:pPr>
        <w:spacing w:line="440" w:lineRule="exact"/>
        <w:rPr>
          <w:color w:val="000000"/>
          <w:szCs w:val="22"/>
          <w:highlight w:val="none"/>
        </w:rPr>
      </w:pPr>
      <w:r>
        <w:rPr>
          <w:color w:val="000000"/>
          <w:szCs w:val="22"/>
          <w:highlight w:val="none"/>
        </w:rPr>
        <w:t>姓名：</w:t>
      </w:r>
      <w:r>
        <w:rPr>
          <w:szCs w:val="22"/>
          <w:highlight w:val="none"/>
          <w:u w:val="single"/>
        </w:rPr>
        <w:t xml:space="preserve">                </w:t>
      </w:r>
      <w:r>
        <w:rPr>
          <w:color w:val="000000"/>
          <w:szCs w:val="22"/>
          <w:highlight w:val="none"/>
        </w:rPr>
        <w:t>性别：</w:t>
      </w:r>
      <w:bookmarkStart w:id="2037" w:name="_Toc27897"/>
      <w:bookmarkStart w:id="2038" w:name="_Toc352691662"/>
      <w:bookmarkStart w:id="2039" w:name="_Toc369531698"/>
      <w:r>
        <w:rPr>
          <w:szCs w:val="22"/>
          <w:highlight w:val="none"/>
          <w:u w:val="single"/>
        </w:rPr>
        <w:t xml:space="preserve">        </w:t>
      </w:r>
      <w:r>
        <w:rPr>
          <w:color w:val="000000"/>
          <w:szCs w:val="22"/>
          <w:highlight w:val="none"/>
        </w:rPr>
        <w:t>年</w:t>
      </w:r>
      <w:bookmarkEnd w:id="2037"/>
      <w:bookmarkEnd w:id="2038"/>
      <w:bookmarkEnd w:id="2039"/>
      <w:r>
        <w:rPr>
          <w:color w:val="000000"/>
          <w:szCs w:val="22"/>
          <w:highlight w:val="none"/>
        </w:rPr>
        <w:t>龄</w:t>
      </w:r>
      <w:bookmarkStart w:id="2040" w:name="_Toc300835211"/>
      <w:bookmarkStart w:id="2041" w:name="_Toc361508754"/>
      <w:bookmarkStart w:id="2042" w:name="_Toc15573"/>
      <w:bookmarkStart w:id="2043" w:name="_Toc352691663"/>
      <w:bookmarkStart w:id="2044" w:name="_Toc152042578"/>
      <w:bookmarkStart w:id="2045" w:name="_Toc144974858"/>
      <w:bookmarkStart w:id="2046" w:name="_Toc384308377"/>
      <w:bookmarkStart w:id="2047" w:name="_Toc247527829"/>
      <w:bookmarkStart w:id="2048" w:name="_Toc247514248"/>
      <w:bookmarkStart w:id="2049" w:name="_Toc152045789"/>
      <w:bookmarkStart w:id="2050" w:name="_Toc369531699"/>
      <w:r>
        <w:rPr>
          <w:color w:val="000000"/>
          <w:szCs w:val="22"/>
          <w:highlight w:val="none"/>
        </w:rPr>
        <w:t>：</w:t>
      </w:r>
      <w:bookmarkEnd w:id="2040"/>
      <w:bookmarkEnd w:id="2041"/>
      <w:bookmarkEnd w:id="2042"/>
      <w:bookmarkEnd w:id="2043"/>
      <w:bookmarkEnd w:id="2044"/>
      <w:bookmarkEnd w:id="2045"/>
      <w:bookmarkEnd w:id="2046"/>
      <w:bookmarkEnd w:id="2047"/>
      <w:bookmarkEnd w:id="2048"/>
      <w:bookmarkEnd w:id="2049"/>
      <w:bookmarkEnd w:id="2050"/>
      <w:r>
        <w:rPr>
          <w:szCs w:val="22"/>
          <w:highlight w:val="none"/>
          <w:u w:val="single"/>
        </w:rPr>
        <w:t xml:space="preserve">        </w:t>
      </w:r>
      <w:r>
        <w:rPr>
          <w:color w:val="000000"/>
          <w:szCs w:val="22"/>
          <w:highlight w:val="none"/>
        </w:rPr>
        <w:t>职务：</w:t>
      </w:r>
      <w:r>
        <w:rPr>
          <w:szCs w:val="22"/>
          <w:highlight w:val="none"/>
          <w:u w:val="single"/>
        </w:rPr>
        <w:t xml:space="preserve">        </w:t>
      </w:r>
    </w:p>
    <w:p>
      <w:pPr>
        <w:spacing w:line="440" w:lineRule="exact"/>
        <w:rPr>
          <w:color w:val="000000"/>
          <w:szCs w:val="22"/>
          <w:highlight w:val="none"/>
        </w:rPr>
      </w:pPr>
      <w:r>
        <w:rPr>
          <w:color w:val="000000"/>
          <w:szCs w:val="22"/>
          <w:highlight w:val="none"/>
        </w:rPr>
        <w:t>系</w:t>
      </w:r>
      <w:r>
        <w:rPr>
          <w:szCs w:val="22"/>
          <w:highlight w:val="none"/>
          <w:u w:val="single"/>
        </w:rPr>
        <w:t xml:space="preserve">                        </w:t>
      </w:r>
      <w:r>
        <w:rPr>
          <w:color w:val="000000"/>
          <w:szCs w:val="22"/>
          <w:highlight w:val="none"/>
        </w:rPr>
        <w:t>（投标人名称）的法定代表人。</w:t>
      </w:r>
    </w:p>
    <w:p>
      <w:pPr>
        <w:spacing w:line="440" w:lineRule="exact"/>
        <w:ind w:firstLine="420" w:firstLineChars="200"/>
        <w:rPr>
          <w:color w:val="000000"/>
          <w:szCs w:val="22"/>
          <w:highlight w:val="none"/>
        </w:rPr>
      </w:pPr>
      <w:r>
        <w:rPr>
          <w:color w:val="000000"/>
          <w:szCs w:val="22"/>
          <w:highlight w:val="none"/>
        </w:rPr>
        <w:t>特此证明。</w:t>
      </w:r>
    </w:p>
    <w:p>
      <w:pPr>
        <w:spacing w:line="440" w:lineRule="exact"/>
        <w:rPr>
          <w:color w:val="000000"/>
          <w:szCs w:val="22"/>
          <w:highlight w:val="none"/>
        </w:rPr>
      </w:pPr>
    </w:p>
    <w:p>
      <w:pPr>
        <w:spacing w:line="440" w:lineRule="exact"/>
        <w:rPr>
          <w:color w:val="000000"/>
          <w:szCs w:val="22"/>
          <w:highlight w:val="none"/>
        </w:rPr>
      </w:pPr>
      <w:r>
        <w:rPr>
          <w:color w:val="000000"/>
          <w:szCs w:val="22"/>
          <w:highlight w:val="none"/>
        </w:rPr>
        <w:t>附：法定代表人身份证复印件。</w:t>
      </w:r>
    </w:p>
    <w:p>
      <w:pPr>
        <w:spacing w:line="440" w:lineRule="exact"/>
        <w:rPr>
          <w:color w:val="000000"/>
          <w:szCs w:val="22"/>
          <w:highlight w:val="none"/>
        </w:rPr>
      </w:pPr>
    </w:p>
    <w:p>
      <w:pPr>
        <w:spacing w:line="440" w:lineRule="exact"/>
        <w:rPr>
          <w:color w:val="000000"/>
          <w:szCs w:val="22"/>
          <w:highlight w:val="none"/>
        </w:rPr>
      </w:pPr>
      <w:r>
        <w:rPr>
          <w:color w:val="000000"/>
          <w:szCs w:val="22"/>
          <w:highlight w:val="none"/>
        </w:rPr>
        <w:t>注：本身份证明需由投标人加盖</w:t>
      </w:r>
      <w:r>
        <w:rPr>
          <w:rFonts w:hint="eastAsia"/>
          <w:color w:val="000000"/>
          <w:szCs w:val="22"/>
          <w:highlight w:val="none"/>
        </w:rPr>
        <w:t>单位法人章</w:t>
      </w:r>
      <w:r>
        <w:rPr>
          <w:color w:val="000000"/>
          <w:szCs w:val="22"/>
          <w:highlight w:val="none"/>
        </w:rPr>
        <w:t>。</w:t>
      </w:r>
    </w:p>
    <w:p>
      <w:pPr>
        <w:spacing w:line="440" w:lineRule="exact"/>
        <w:rPr>
          <w:color w:val="000000"/>
          <w:szCs w:val="22"/>
          <w:highlight w:val="none"/>
        </w:rPr>
      </w:pPr>
    </w:p>
    <w:p>
      <w:pPr>
        <w:spacing w:line="440" w:lineRule="exact"/>
        <w:rPr>
          <w:color w:val="000000"/>
          <w:szCs w:val="22"/>
          <w:highlight w:val="none"/>
        </w:rPr>
      </w:pPr>
    </w:p>
    <w:p>
      <w:pPr>
        <w:spacing w:line="440" w:lineRule="exact"/>
        <w:jc w:val="center"/>
        <w:rPr>
          <w:color w:val="000000"/>
          <w:szCs w:val="22"/>
          <w:highlight w:val="none"/>
        </w:rPr>
      </w:pPr>
      <w:r>
        <w:rPr>
          <w:color w:val="000000"/>
          <w:szCs w:val="22"/>
          <w:highlight w:val="none"/>
        </w:rPr>
        <w:t xml:space="preserve">                              投标人：</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u w:val="single"/>
        </w:rPr>
        <w:tab/>
      </w:r>
      <w:r>
        <w:rPr>
          <w:color w:val="000000"/>
          <w:szCs w:val="22"/>
          <w:highlight w:val="none"/>
        </w:rPr>
        <w:t>（</w:t>
      </w:r>
      <w:r>
        <w:rPr>
          <w:rFonts w:hint="eastAsia"/>
          <w:color w:val="000000"/>
          <w:szCs w:val="22"/>
          <w:highlight w:val="none"/>
        </w:rPr>
        <w:t>盖单位法人章</w:t>
      </w:r>
      <w:r>
        <w:rPr>
          <w:color w:val="000000"/>
          <w:szCs w:val="22"/>
          <w:highlight w:val="none"/>
        </w:rPr>
        <w:t>）</w:t>
      </w:r>
    </w:p>
    <w:p>
      <w:pPr>
        <w:spacing w:line="440" w:lineRule="exact"/>
        <w:rPr>
          <w:color w:val="000000"/>
          <w:szCs w:val="22"/>
          <w:highlight w:val="none"/>
        </w:rPr>
      </w:pPr>
    </w:p>
    <w:p>
      <w:pPr>
        <w:spacing w:line="440" w:lineRule="exact"/>
        <w:ind w:firstLine="4620" w:firstLineChars="2200"/>
        <w:rPr>
          <w:color w:val="000000"/>
          <w:szCs w:val="22"/>
          <w:highlight w:val="none"/>
        </w:rPr>
      </w:pPr>
      <w:r>
        <w:rPr>
          <w:szCs w:val="22"/>
          <w:highlight w:val="none"/>
          <w:u w:val="single"/>
        </w:rPr>
        <w:t xml:space="preserve">      </w:t>
      </w:r>
      <w:r>
        <w:rPr>
          <w:color w:val="000000"/>
          <w:szCs w:val="22"/>
          <w:highlight w:val="none"/>
        </w:rPr>
        <w:t>年</w:t>
      </w:r>
      <w:r>
        <w:rPr>
          <w:szCs w:val="22"/>
          <w:highlight w:val="none"/>
          <w:u w:val="single"/>
        </w:rPr>
        <w:t xml:space="preserve">      </w:t>
      </w:r>
      <w:r>
        <w:rPr>
          <w:color w:val="000000"/>
          <w:szCs w:val="22"/>
          <w:highlight w:val="none"/>
        </w:rPr>
        <w:t>月</w:t>
      </w:r>
      <w:r>
        <w:rPr>
          <w:szCs w:val="22"/>
          <w:highlight w:val="none"/>
          <w:u w:val="single"/>
        </w:rPr>
        <w:t xml:space="preserve">      </w:t>
      </w:r>
      <w:r>
        <w:rPr>
          <w:color w:val="000000"/>
          <w:szCs w:val="22"/>
          <w:highlight w:val="none"/>
        </w:rPr>
        <w:t>日</w:t>
      </w:r>
    </w:p>
    <w:p>
      <w:pPr>
        <w:spacing w:line="440" w:lineRule="exact"/>
        <w:rPr>
          <w:rFonts w:eastAsia="黑体"/>
          <w:color w:val="000000"/>
          <w:sz w:val="20"/>
          <w:szCs w:val="22"/>
          <w:highlight w:val="none"/>
        </w:rPr>
      </w:pPr>
    </w:p>
    <w:p>
      <w:pPr>
        <w:spacing w:line="440" w:lineRule="exact"/>
        <w:jc w:val="center"/>
        <w:rPr>
          <w:rFonts w:eastAsia="黑体"/>
          <w:color w:val="000000"/>
          <w:sz w:val="20"/>
          <w:szCs w:val="22"/>
          <w:highlight w:val="none"/>
        </w:rPr>
      </w:pPr>
      <w:r>
        <w:rPr>
          <w:rFonts w:eastAsia="黑体"/>
          <w:color w:val="000000"/>
          <w:sz w:val="20"/>
          <w:szCs w:val="22"/>
          <w:highlight w:val="none"/>
        </w:rPr>
        <w:br w:type="page"/>
      </w:r>
    </w:p>
    <w:p>
      <w:pPr>
        <w:keepNext/>
        <w:keepLines/>
        <w:spacing w:before="260" w:after="260" w:line="413" w:lineRule="auto"/>
        <w:jc w:val="center"/>
        <w:outlineLvl w:val="9"/>
        <w:rPr>
          <w:rFonts w:eastAsia="黑体"/>
          <w:b/>
          <w:color w:val="000000"/>
          <w:sz w:val="32"/>
          <w:szCs w:val="20"/>
          <w:highlight w:val="none"/>
        </w:rPr>
      </w:pPr>
      <w:bookmarkStart w:id="2051" w:name="_Toc492300944"/>
      <w:r>
        <w:rPr>
          <w:rFonts w:hint="eastAsia" w:eastAsia="黑体"/>
          <w:b/>
          <w:color w:val="000000"/>
          <w:sz w:val="32"/>
          <w:szCs w:val="20"/>
          <w:highlight w:val="none"/>
        </w:rPr>
        <w:t>授权委托书</w:t>
      </w:r>
      <w:bookmarkEnd w:id="2051"/>
    </w:p>
    <w:p>
      <w:pPr>
        <w:spacing w:line="440" w:lineRule="exact"/>
        <w:rPr>
          <w:rFonts w:eastAsia="黑体"/>
          <w:color w:val="000000"/>
          <w:szCs w:val="22"/>
          <w:highlight w:val="none"/>
        </w:rPr>
      </w:pPr>
    </w:p>
    <w:p>
      <w:pPr>
        <w:topLinePunct/>
        <w:spacing w:line="440" w:lineRule="exact"/>
        <w:ind w:firstLine="420" w:firstLineChars="200"/>
        <w:rPr>
          <w:color w:val="000000"/>
          <w:szCs w:val="22"/>
          <w:highlight w:val="none"/>
        </w:rPr>
      </w:pPr>
      <w:r>
        <w:rPr>
          <w:color w:val="000000"/>
          <w:szCs w:val="22"/>
          <w:highlight w:val="none"/>
        </w:rPr>
        <w:t>本人</w:t>
      </w:r>
      <w:r>
        <w:rPr>
          <w:szCs w:val="22"/>
          <w:highlight w:val="none"/>
          <w:u w:val="single"/>
        </w:rPr>
        <w:t xml:space="preserve">      </w:t>
      </w:r>
      <w:r>
        <w:rPr>
          <w:color w:val="000000"/>
          <w:szCs w:val="22"/>
          <w:highlight w:val="none"/>
          <w:u w:val="single"/>
        </w:rPr>
        <w:t>（姓名）</w:t>
      </w:r>
      <w:r>
        <w:rPr>
          <w:color w:val="000000"/>
          <w:szCs w:val="22"/>
          <w:highlight w:val="none"/>
        </w:rPr>
        <w:t>系</w:t>
      </w:r>
      <w:r>
        <w:rPr>
          <w:szCs w:val="22"/>
          <w:highlight w:val="none"/>
          <w:u w:val="single"/>
        </w:rPr>
        <w:t xml:space="preserve">                   </w:t>
      </w:r>
      <w:r>
        <w:rPr>
          <w:color w:val="000000"/>
          <w:szCs w:val="22"/>
          <w:highlight w:val="none"/>
          <w:u w:val="single"/>
        </w:rPr>
        <w:t>（投标人名称）</w:t>
      </w:r>
      <w:r>
        <w:rPr>
          <w:color w:val="000000"/>
          <w:szCs w:val="22"/>
          <w:highlight w:val="none"/>
        </w:rPr>
        <w:t>的法定代表人，现委托</w:t>
      </w:r>
      <w:r>
        <w:rPr>
          <w:szCs w:val="22"/>
          <w:highlight w:val="none"/>
          <w:u w:val="single"/>
        </w:rPr>
        <w:t xml:space="preserve">        </w:t>
      </w:r>
      <w:r>
        <w:rPr>
          <w:color w:val="000000"/>
          <w:szCs w:val="22"/>
          <w:highlight w:val="none"/>
          <w:u w:val="single"/>
        </w:rPr>
        <w:t>（姓名）</w:t>
      </w:r>
      <w:r>
        <w:rPr>
          <w:rFonts w:hint="eastAsia"/>
          <w:color w:val="000000"/>
          <w:szCs w:val="22"/>
          <w:highlight w:val="none"/>
          <w:u w:val="single"/>
        </w:rPr>
        <w:t xml:space="preserve">   </w:t>
      </w:r>
      <w:r>
        <w:rPr>
          <w:color w:val="000000"/>
          <w:szCs w:val="22"/>
          <w:highlight w:val="none"/>
        </w:rPr>
        <w:t>为我方代理人。代理人根据授权，以我方名义签署、澄清确认、递交、撤回、修改</w:t>
      </w:r>
      <w:r>
        <w:rPr>
          <w:rFonts w:hint="eastAsia" w:ascii="宋体" w:hAnsi="宋体"/>
          <w:w w:val="200"/>
          <w:kern w:val="0"/>
          <w:szCs w:val="21"/>
          <w:highlight w:val="none"/>
          <w:u w:val="single"/>
        </w:rPr>
        <w:t xml:space="preserve">     </w:t>
      </w:r>
      <w:r>
        <w:rPr>
          <w:rFonts w:ascii="宋体" w:hAnsi="宋体"/>
          <w:kern w:val="0"/>
          <w:szCs w:val="21"/>
          <w:highlight w:val="none"/>
          <w:u w:val="single"/>
        </w:rPr>
        <w:t>（项</w:t>
      </w:r>
      <w:r>
        <w:rPr>
          <w:rFonts w:ascii="宋体" w:hAnsi="宋体"/>
          <w:spacing w:val="-1"/>
          <w:kern w:val="0"/>
          <w:szCs w:val="21"/>
          <w:highlight w:val="none"/>
          <w:u w:val="single"/>
        </w:rPr>
        <w:t>目</w:t>
      </w:r>
      <w:r>
        <w:rPr>
          <w:rFonts w:ascii="宋体" w:hAnsi="宋体"/>
          <w:kern w:val="0"/>
          <w:szCs w:val="21"/>
          <w:highlight w:val="none"/>
          <w:u w:val="single"/>
        </w:rPr>
        <w:t>名称）</w:t>
      </w:r>
      <w:r>
        <w:rPr>
          <w:color w:val="000000"/>
          <w:szCs w:val="22"/>
          <w:highlight w:val="none"/>
        </w:rPr>
        <w:t>项目投标文件、签订合同和处理有关事宜，其法律后果由我方承担。</w:t>
      </w:r>
    </w:p>
    <w:p>
      <w:pPr>
        <w:spacing w:line="440" w:lineRule="exact"/>
        <w:ind w:firstLine="420" w:firstLineChars="200"/>
        <w:rPr>
          <w:color w:val="000000"/>
          <w:szCs w:val="22"/>
          <w:highlight w:val="none"/>
        </w:rPr>
      </w:pPr>
      <w:r>
        <w:rPr>
          <w:color w:val="000000"/>
          <w:szCs w:val="22"/>
          <w:highlight w:val="none"/>
        </w:rPr>
        <w:t>委托期限：</w:t>
      </w:r>
      <w:r>
        <w:rPr>
          <w:szCs w:val="22"/>
          <w:highlight w:val="none"/>
          <w:u w:val="single"/>
        </w:rPr>
        <w:t xml:space="preserve">                       </w:t>
      </w:r>
      <w:r>
        <w:rPr>
          <w:color w:val="000000"/>
          <w:szCs w:val="22"/>
          <w:highlight w:val="none"/>
        </w:rPr>
        <w:t>。</w:t>
      </w:r>
    </w:p>
    <w:p>
      <w:pPr>
        <w:spacing w:line="440" w:lineRule="exact"/>
        <w:ind w:firstLine="420" w:firstLineChars="200"/>
        <w:rPr>
          <w:color w:val="000000"/>
          <w:szCs w:val="22"/>
          <w:highlight w:val="none"/>
        </w:rPr>
      </w:pPr>
      <w:r>
        <w:rPr>
          <w:color w:val="000000"/>
          <w:szCs w:val="22"/>
          <w:highlight w:val="none"/>
        </w:rPr>
        <w:t>代理人无转委托权。</w:t>
      </w:r>
    </w:p>
    <w:p>
      <w:pPr>
        <w:spacing w:line="440" w:lineRule="exact"/>
        <w:ind w:firstLine="420" w:firstLineChars="200"/>
        <w:rPr>
          <w:color w:val="000000"/>
          <w:szCs w:val="22"/>
          <w:highlight w:val="none"/>
        </w:rPr>
      </w:pPr>
    </w:p>
    <w:p>
      <w:pPr>
        <w:autoSpaceDE w:val="0"/>
        <w:autoSpaceDN w:val="0"/>
        <w:adjustRightInd w:val="0"/>
        <w:snapToGrid w:val="0"/>
        <w:spacing w:line="480" w:lineRule="auto"/>
        <w:jc w:val="left"/>
        <w:rPr>
          <w:rFonts w:ascii="宋体" w:hAnsi="宋体"/>
          <w:kern w:val="0"/>
          <w:szCs w:val="21"/>
          <w:highlight w:val="none"/>
        </w:rPr>
      </w:pPr>
      <w:r>
        <w:rPr>
          <w:rFonts w:hint="eastAsia" w:ascii="宋体" w:hAnsi="宋体"/>
          <w:kern w:val="0"/>
          <w:szCs w:val="21"/>
          <w:highlight w:val="none"/>
        </w:rPr>
        <w:t>附：法定代表人和委托代理人身份证明扫描件（双面）</w:t>
      </w:r>
    </w:p>
    <w:p>
      <w:pPr>
        <w:spacing w:line="440" w:lineRule="exact"/>
        <w:rPr>
          <w:color w:val="000000"/>
          <w:szCs w:val="22"/>
          <w:highlight w:val="none"/>
        </w:rPr>
      </w:pPr>
    </w:p>
    <w:p>
      <w:pPr>
        <w:spacing w:line="440" w:lineRule="exact"/>
        <w:ind w:firstLine="2692" w:firstLineChars="1282"/>
        <w:rPr>
          <w:color w:val="000000"/>
          <w:szCs w:val="22"/>
          <w:highlight w:val="none"/>
        </w:rPr>
      </w:pPr>
      <w:r>
        <w:rPr>
          <w:color w:val="000000"/>
          <w:szCs w:val="22"/>
          <w:highlight w:val="none"/>
        </w:rPr>
        <w:t>投  标  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szCs w:val="21"/>
          <w:highlight w:val="none"/>
          <w:u w:val="single"/>
        </w:rPr>
        <w:tab/>
      </w:r>
      <w:r>
        <w:rPr>
          <w:color w:val="000000"/>
          <w:szCs w:val="22"/>
          <w:highlight w:val="none"/>
        </w:rPr>
        <w:t>（</w:t>
      </w:r>
      <w:r>
        <w:rPr>
          <w:rFonts w:hint="eastAsia"/>
          <w:color w:val="000000"/>
          <w:szCs w:val="22"/>
          <w:highlight w:val="none"/>
        </w:rPr>
        <w:t>盖单位法人章</w:t>
      </w:r>
      <w:r>
        <w:rPr>
          <w:color w:val="000000"/>
          <w:szCs w:val="22"/>
          <w:highlight w:val="none"/>
        </w:rPr>
        <w:t>）</w:t>
      </w:r>
    </w:p>
    <w:p>
      <w:pPr>
        <w:spacing w:line="440" w:lineRule="exact"/>
        <w:ind w:firstLine="2692" w:firstLineChars="1282"/>
        <w:rPr>
          <w:color w:val="000000"/>
          <w:szCs w:val="22"/>
          <w:highlight w:val="none"/>
        </w:rPr>
      </w:pPr>
    </w:p>
    <w:p>
      <w:pPr>
        <w:spacing w:line="480" w:lineRule="auto"/>
        <w:ind w:firstLine="2690" w:firstLineChars="1281"/>
        <w:jc w:val="left"/>
        <w:rPr>
          <w:color w:val="000000"/>
          <w:szCs w:val="22"/>
          <w:highlight w:val="none"/>
        </w:rPr>
      </w:pPr>
      <w:r>
        <w:rPr>
          <w:color w:val="000000"/>
          <w:szCs w:val="22"/>
          <w:highlight w:val="none"/>
        </w:rPr>
        <w:t>法定代表人：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szCs w:val="21"/>
          <w:highlight w:val="none"/>
          <w:u w:val="single"/>
        </w:rPr>
        <w:tab/>
      </w:r>
      <w:r>
        <w:rPr>
          <w:color w:val="000000"/>
          <w:szCs w:val="22"/>
          <w:highlight w:val="none"/>
        </w:rPr>
        <w:t>（签名或盖章</w:t>
      </w:r>
      <w:r>
        <w:rPr>
          <w:rFonts w:hint="eastAsia"/>
          <w:color w:val="000000"/>
          <w:szCs w:val="22"/>
          <w:highlight w:val="none"/>
        </w:rPr>
        <w:t>）</w:t>
      </w:r>
    </w:p>
    <w:p>
      <w:pPr>
        <w:spacing w:line="480" w:lineRule="auto"/>
        <w:ind w:firstLine="2692" w:firstLineChars="1282"/>
        <w:rPr>
          <w:color w:val="000000"/>
          <w:szCs w:val="22"/>
          <w:highlight w:val="none"/>
        </w:rPr>
      </w:pPr>
      <w:r>
        <w:rPr>
          <w:color w:val="000000"/>
          <w:szCs w:val="22"/>
          <w:highlight w:val="none"/>
        </w:rPr>
        <w:t>身份证号码：</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szCs w:val="21"/>
          <w:highlight w:val="none"/>
          <w:u w:val="single"/>
        </w:rPr>
        <w:tab/>
      </w:r>
    </w:p>
    <w:p>
      <w:pPr>
        <w:spacing w:line="480" w:lineRule="auto"/>
        <w:ind w:firstLine="2692" w:firstLineChars="1282"/>
        <w:rPr>
          <w:color w:val="000000"/>
          <w:szCs w:val="22"/>
          <w:highlight w:val="none"/>
        </w:rPr>
      </w:pPr>
      <w:r>
        <w:rPr>
          <w:color w:val="000000"/>
          <w:szCs w:val="22"/>
          <w:highlight w:val="none"/>
        </w:rPr>
        <w:t>委托代理人：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color w:val="000000"/>
          <w:szCs w:val="22"/>
          <w:highlight w:val="none"/>
        </w:rPr>
        <w:t>（签名或盖章）</w:t>
      </w:r>
    </w:p>
    <w:p>
      <w:pPr>
        <w:spacing w:line="480" w:lineRule="auto"/>
        <w:ind w:firstLine="2692" w:firstLineChars="1282"/>
        <w:rPr>
          <w:color w:val="000000"/>
          <w:szCs w:val="22"/>
          <w:highlight w:val="none"/>
        </w:rPr>
      </w:pPr>
      <w:r>
        <w:rPr>
          <w:color w:val="000000"/>
          <w:szCs w:val="22"/>
          <w:highlight w:val="none"/>
        </w:rPr>
        <w:t>身份证号码：</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szCs w:val="21"/>
          <w:highlight w:val="none"/>
          <w:u w:val="single"/>
        </w:rPr>
        <w:tab/>
      </w:r>
    </w:p>
    <w:p>
      <w:pPr>
        <w:spacing w:line="480" w:lineRule="auto"/>
        <w:ind w:firstLine="2692" w:firstLineChars="1282"/>
        <w:rPr>
          <w:color w:val="000000"/>
          <w:szCs w:val="22"/>
          <w:highlight w:val="none"/>
        </w:rPr>
      </w:pPr>
      <w:r>
        <w:rPr>
          <w:rFonts w:hint="eastAsia"/>
          <w:color w:val="000000"/>
          <w:szCs w:val="22"/>
          <w:highlight w:val="none"/>
        </w:rPr>
        <w:t>单位电话（座机）：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rFonts w:hint="eastAsia"/>
          <w:szCs w:val="21"/>
          <w:highlight w:val="none"/>
          <w:u w:val="single"/>
        </w:rPr>
        <w:t xml:space="preserve"> </w:t>
      </w:r>
    </w:p>
    <w:p>
      <w:pPr>
        <w:spacing w:line="480" w:lineRule="auto"/>
        <w:ind w:firstLine="2692" w:firstLineChars="1282"/>
        <w:rPr>
          <w:color w:val="000000"/>
          <w:szCs w:val="22"/>
          <w:highlight w:val="none"/>
        </w:rPr>
      </w:pPr>
      <w:r>
        <w:rPr>
          <w:rFonts w:hint="eastAsia"/>
          <w:color w:val="000000"/>
          <w:szCs w:val="22"/>
          <w:highlight w:val="none"/>
        </w:rPr>
        <w:t>委托代理人电话（手机）：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p>
    <w:p>
      <w:pPr>
        <w:spacing w:line="440" w:lineRule="exact"/>
        <w:ind w:right="840" w:firstLine="4057" w:firstLineChars="1932"/>
        <w:jc w:val="center"/>
        <w:rPr>
          <w:color w:val="000000"/>
          <w:szCs w:val="22"/>
          <w:highlight w:val="none"/>
        </w:rPr>
      </w:pPr>
      <w:r>
        <w:rPr>
          <w:color w:val="000000"/>
          <w:szCs w:val="22"/>
          <w:highlight w:val="none"/>
          <w:u w:val="single"/>
        </w:rPr>
        <w:t xml:space="preserve">       </w:t>
      </w:r>
      <w:r>
        <w:rPr>
          <w:color w:val="000000"/>
          <w:szCs w:val="22"/>
          <w:highlight w:val="none"/>
        </w:rPr>
        <w:t>年</w:t>
      </w:r>
      <w:r>
        <w:rPr>
          <w:color w:val="000000"/>
          <w:szCs w:val="22"/>
          <w:highlight w:val="none"/>
          <w:u w:val="single"/>
        </w:rPr>
        <w:t xml:space="preserve">       </w:t>
      </w:r>
      <w:r>
        <w:rPr>
          <w:color w:val="000000"/>
          <w:szCs w:val="22"/>
          <w:highlight w:val="none"/>
        </w:rPr>
        <w:t>月</w:t>
      </w:r>
      <w:r>
        <w:rPr>
          <w:color w:val="000000"/>
          <w:szCs w:val="22"/>
          <w:highlight w:val="none"/>
          <w:u w:val="single"/>
        </w:rPr>
        <w:t xml:space="preserve">       </w:t>
      </w:r>
      <w:r>
        <w:rPr>
          <w:color w:val="000000"/>
          <w:szCs w:val="22"/>
          <w:highlight w:val="none"/>
        </w:rPr>
        <w:t>日</w:t>
      </w: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注：1、法定代表人参加投标活动并签署文件的不需要授权委托书，只需提供法定代表人身份证明；非法定代表人参加投标活动及签署文件的除提供法定代表人身份证明外还须提供授权委托书。</w:t>
      </w:r>
    </w:p>
    <w:p>
      <w:pPr>
        <w:autoSpaceDE w:val="0"/>
        <w:autoSpaceDN w:val="0"/>
        <w:adjustRightInd w:val="0"/>
        <w:snapToGrid w:val="0"/>
        <w:spacing w:line="360" w:lineRule="auto"/>
        <w:ind w:firstLine="420" w:firstLineChars="200"/>
        <w:rPr>
          <w:rFonts w:ascii="宋体" w:hAnsi="宋体"/>
          <w:highlight w:val="none"/>
        </w:rPr>
      </w:pPr>
      <w:r>
        <w:rPr>
          <w:rFonts w:hint="eastAsia" w:ascii="宋体" w:hAnsi="宋体"/>
          <w:kern w:val="0"/>
          <w:szCs w:val="21"/>
          <w:highlight w:val="none"/>
        </w:rPr>
        <w:t>2.</w:t>
      </w:r>
      <w:r>
        <w:rPr>
          <w:rFonts w:hint="eastAsia" w:ascii="宋体" w:hAnsi="宋体"/>
          <w:highlight w:val="none"/>
        </w:rPr>
        <w:t>授权委托书需按上述格式填写完整，不可缺少内容。在此基础上增加内容的不影响其有效性。</w:t>
      </w:r>
    </w:p>
    <w:p>
      <w:pPr>
        <w:spacing w:line="440" w:lineRule="exact"/>
        <w:ind w:firstLine="4057" w:firstLineChars="1932"/>
        <w:jc w:val="right"/>
        <w:rPr>
          <w:color w:val="000000"/>
          <w:szCs w:val="22"/>
          <w:highlight w:val="none"/>
        </w:rPr>
      </w:pPr>
      <w:r>
        <w:rPr>
          <w:color w:val="000000"/>
          <w:szCs w:val="22"/>
          <w:highlight w:val="none"/>
        </w:rPr>
        <w:br w:type="page"/>
      </w:r>
    </w:p>
    <w:p>
      <w:pPr>
        <w:keepNext/>
        <w:keepLines/>
        <w:spacing w:before="260" w:after="260" w:line="412" w:lineRule="auto"/>
        <w:ind w:firstLine="137" w:firstLineChars="49"/>
        <w:jc w:val="center"/>
        <w:outlineLvl w:val="1"/>
        <w:rPr>
          <w:rFonts w:hint="eastAsia" w:eastAsia="黑体"/>
          <w:sz w:val="28"/>
          <w:szCs w:val="20"/>
          <w:highlight w:val="none"/>
          <w:lang w:eastAsia="zh-CN"/>
        </w:rPr>
      </w:pPr>
      <w:bookmarkStart w:id="2052" w:name="_Toc492300947"/>
      <w:bookmarkStart w:id="2053" w:name="_Toc18724"/>
      <w:bookmarkStart w:id="2054" w:name="_Toc16958"/>
      <w:bookmarkStart w:id="2055" w:name="_Toc18224"/>
      <w:bookmarkStart w:id="2056" w:name="_Toc75857122"/>
      <w:bookmarkStart w:id="2057" w:name="_Toc15196"/>
      <w:bookmarkStart w:id="2058" w:name="_Toc24257"/>
      <w:r>
        <w:rPr>
          <w:rFonts w:hint="eastAsia" w:eastAsia="黑体"/>
          <w:sz w:val="28"/>
          <w:szCs w:val="20"/>
          <w:highlight w:val="none"/>
        </w:rPr>
        <w:t>（四）</w:t>
      </w:r>
      <w:r>
        <w:rPr>
          <w:rFonts w:eastAsia="黑体"/>
          <w:sz w:val="28"/>
          <w:szCs w:val="20"/>
          <w:highlight w:val="none"/>
        </w:rPr>
        <w:t>勘察费用清单</w:t>
      </w:r>
      <w:bookmarkEnd w:id="2052"/>
      <w:bookmarkEnd w:id="2053"/>
      <w:bookmarkEnd w:id="2054"/>
      <w:bookmarkEnd w:id="2055"/>
      <w:bookmarkEnd w:id="2056"/>
      <w:bookmarkEnd w:id="2057"/>
      <w:r>
        <w:rPr>
          <w:rFonts w:hint="eastAsia" w:eastAsia="黑体"/>
          <w:sz w:val="28"/>
          <w:szCs w:val="20"/>
          <w:highlight w:val="none"/>
          <w:lang w:eastAsia="zh-CN"/>
        </w:rPr>
        <w:t>（</w:t>
      </w:r>
      <w:r>
        <w:rPr>
          <w:rFonts w:hint="eastAsia" w:eastAsia="黑体"/>
          <w:sz w:val="28"/>
          <w:szCs w:val="20"/>
          <w:highlight w:val="none"/>
          <w:lang w:val="en-US" w:eastAsia="zh-CN"/>
        </w:rPr>
        <w:t>如有</w:t>
      </w:r>
      <w:r>
        <w:rPr>
          <w:rFonts w:hint="eastAsia" w:eastAsia="黑体"/>
          <w:sz w:val="28"/>
          <w:szCs w:val="20"/>
          <w:highlight w:val="none"/>
          <w:lang w:eastAsia="zh-CN"/>
        </w:rPr>
        <w:t>）</w:t>
      </w:r>
      <w:bookmarkEnd w:id="2058"/>
    </w:p>
    <w:p>
      <w:pPr>
        <w:spacing w:line="440" w:lineRule="exact"/>
        <w:ind w:firstLine="420" w:firstLineChars="200"/>
        <w:rPr>
          <w:szCs w:val="21"/>
          <w:highlight w:val="none"/>
        </w:rPr>
      </w:pPr>
      <w:r>
        <w:rPr>
          <w:szCs w:val="21"/>
          <w:highlight w:val="none"/>
        </w:rPr>
        <w:t>1. 勘察费用清单说明</w:t>
      </w:r>
    </w:p>
    <w:p>
      <w:pPr>
        <w:spacing w:line="440" w:lineRule="exact"/>
        <w:ind w:firstLine="420" w:firstLineChars="200"/>
        <w:rPr>
          <w:szCs w:val="21"/>
          <w:highlight w:val="none"/>
        </w:rPr>
      </w:pPr>
      <w:r>
        <w:rPr>
          <w:szCs w:val="21"/>
          <w:highlight w:val="none"/>
        </w:rPr>
        <w:t>2. 勘察费用清单</w:t>
      </w:r>
    </w:p>
    <w:p>
      <w:pPr>
        <w:spacing w:line="440" w:lineRule="exact"/>
        <w:ind w:firstLine="420" w:firstLineChars="200"/>
        <w:jc w:val="right"/>
        <w:rPr>
          <w:szCs w:val="21"/>
          <w:highlight w:val="none"/>
        </w:rPr>
      </w:pPr>
      <w:r>
        <w:rPr>
          <w:szCs w:val="21"/>
          <w:highlight w:val="none"/>
        </w:rPr>
        <w:t>单位：人民币元</w:t>
      </w:r>
    </w:p>
    <w:tbl>
      <w:tblPr>
        <w:tblStyle w:val="5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410"/>
        <w:gridCol w:w="2835"/>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817" w:type="dxa"/>
            <w:vAlign w:val="center"/>
          </w:tcPr>
          <w:p>
            <w:pPr>
              <w:widowControl/>
              <w:jc w:val="center"/>
              <w:rPr>
                <w:b/>
                <w:kern w:val="0"/>
                <w:szCs w:val="21"/>
                <w:highlight w:val="none"/>
              </w:rPr>
            </w:pPr>
            <w:bookmarkStart w:id="2059" w:name="_Toc361508760"/>
            <w:r>
              <w:rPr>
                <w:b/>
                <w:kern w:val="0"/>
                <w:szCs w:val="21"/>
                <w:highlight w:val="none"/>
              </w:rPr>
              <w:t>序号</w:t>
            </w:r>
          </w:p>
        </w:tc>
        <w:tc>
          <w:tcPr>
            <w:tcW w:w="2410" w:type="dxa"/>
            <w:vAlign w:val="center"/>
          </w:tcPr>
          <w:p>
            <w:pPr>
              <w:widowControl/>
              <w:jc w:val="center"/>
              <w:rPr>
                <w:b/>
                <w:kern w:val="0"/>
                <w:szCs w:val="21"/>
                <w:highlight w:val="none"/>
              </w:rPr>
            </w:pPr>
            <w:r>
              <w:rPr>
                <w:b/>
                <w:kern w:val="0"/>
                <w:szCs w:val="21"/>
                <w:highlight w:val="none"/>
              </w:rPr>
              <w:t>勘察费用分项名称</w:t>
            </w:r>
          </w:p>
        </w:tc>
        <w:tc>
          <w:tcPr>
            <w:tcW w:w="2835" w:type="dxa"/>
            <w:vAlign w:val="center"/>
          </w:tcPr>
          <w:p>
            <w:pPr>
              <w:widowControl/>
              <w:jc w:val="center"/>
              <w:rPr>
                <w:b/>
                <w:kern w:val="0"/>
                <w:szCs w:val="21"/>
                <w:highlight w:val="none"/>
              </w:rPr>
            </w:pPr>
            <w:r>
              <w:rPr>
                <w:b/>
                <w:kern w:val="0"/>
                <w:szCs w:val="21"/>
                <w:highlight w:val="none"/>
              </w:rPr>
              <w:t>计算依据、过程和公式</w:t>
            </w:r>
          </w:p>
        </w:tc>
        <w:tc>
          <w:tcPr>
            <w:tcW w:w="1701" w:type="dxa"/>
            <w:vAlign w:val="center"/>
          </w:tcPr>
          <w:p>
            <w:pPr>
              <w:widowControl/>
              <w:jc w:val="center"/>
              <w:rPr>
                <w:b/>
                <w:kern w:val="0"/>
                <w:szCs w:val="21"/>
                <w:highlight w:val="none"/>
              </w:rPr>
            </w:pPr>
            <w:r>
              <w:rPr>
                <w:b/>
                <w:kern w:val="0"/>
                <w:szCs w:val="21"/>
                <w:highlight w:val="none"/>
              </w:rPr>
              <w:t>金额（元）</w:t>
            </w:r>
          </w:p>
        </w:tc>
        <w:tc>
          <w:tcPr>
            <w:tcW w:w="1843" w:type="dxa"/>
            <w:vAlign w:val="center"/>
          </w:tcPr>
          <w:p>
            <w:pPr>
              <w:widowControl/>
              <w:jc w:val="center"/>
              <w:rPr>
                <w:b/>
                <w:kern w:val="0"/>
                <w:szCs w:val="21"/>
                <w:highlight w:val="none"/>
              </w:rPr>
            </w:pPr>
            <w:r>
              <w:rPr>
                <w:b/>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line="360" w:lineRule="auto"/>
              <w:jc w:val="center"/>
              <w:rPr>
                <w:szCs w:val="22"/>
                <w:highlight w:val="none"/>
              </w:rPr>
            </w:pPr>
            <w:r>
              <w:rPr>
                <w:szCs w:val="22"/>
                <w:highlight w:val="none"/>
              </w:rPr>
              <w:t>1</w:t>
            </w:r>
          </w:p>
        </w:tc>
        <w:tc>
          <w:tcPr>
            <w:tcW w:w="2410" w:type="dxa"/>
            <w:vAlign w:val="center"/>
          </w:tcPr>
          <w:p>
            <w:pPr>
              <w:spacing w:line="360" w:lineRule="auto"/>
              <w:jc w:val="center"/>
              <w:rPr>
                <w:szCs w:val="22"/>
                <w:highlight w:val="none"/>
              </w:rPr>
            </w:pPr>
          </w:p>
        </w:tc>
        <w:tc>
          <w:tcPr>
            <w:tcW w:w="2835" w:type="dxa"/>
            <w:vAlign w:val="center"/>
          </w:tcPr>
          <w:p>
            <w:pPr>
              <w:spacing w:line="360" w:lineRule="auto"/>
              <w:jc w:val="center"/>
              <w:rPr>
                <w:szCs w:val="22"/>
                <w:highlight w:val="none"/>
              </w:rPr>
            </w:pPr>
          </w:p>
        </w:tc>
        <w:tc>
          <w:tcPr>
            <w:tcW w:w="1701" w:type="dxa"/>
            <w:vAlign w:val="center"/>
          </w:tcPr>
          <w:p>
            <w:pPr>
              <w:spacing w:line="360" w:lineRule="auto"/>
              <w:jc w:val="center"/>
              <w:rPr>
                <w:szCs w:val="22"/>
                <w:highlight w:val="none"/>
              </w:rPr>
            </w:pPr>
          </w:p>
        </w:tc>
        <w:tc>
          <w:tcPr>
            <w:tcW w:w="1843" w:type="dxa"/>
            <w:vAlign w:val="center"/>
          </w:tcPr>
          <w:p>
            <w:pPr>
              <w:spacing w:line="360" w:lineRule="auto"/>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highlight w:val="none"/>
              </w:rPr>
            </w:pPr>
            <w:r>
              <w:rPr>
                <w:szCs w:val="22"/>
                <w:highlight w:val="none"/>
              </w:rPr>
              <w:t>2</w:t>
            </w:r>
          </w:p>
        </w:tc>
        <w:tc>
          <w:tcPr>
            <w:tcW w:w="2410" w:type="dxa"/>
            <w:vAlign w:val="center"/>
          </w:tcPr>
          <w:p>
            <w:pPr>
              <w:spacing w:line="360" w:lineRule="auto"/>
              <w:jc w:val="center"/>
              <w:rPr>
                <w:szCs w:val="22"/>
                <w:highlight w:val="none"/>
              </w:rPr>
            </w:pPr>
          </w:p>
        </w:tc>
        <w:tc>
          <w:tcPr>
            <w:tcW w:w="2835" w:type="dxa"/>
            <w:vAlign w:val="center"/>
          </w:tcPr>
          <w:p>
            <w:pPr>
              <w:spacing w:line="360" w:lineRule="auto"/>
              <w:jc w:val="center"/>
              <w:rPr>
                <w:szCs w:val="22"/>
                <w:highlight w:val="none"/>
              </w:rPr>
            </w:pPr>
          </w:p>
        </w:tc>
        <w:tc>
          <w:tcPr>
            <w:tcW w:w="1701" w:type="dxa"/>
            <w:vAlign w:val="center"/>
          </w:tcPr>
          <w:p>
            <w:pPr>
              <w:spacing w:line="360" w:lineRule="auto"/>
              <w:jc w:val="center"/>
              <w:rPr>
                <w:szCs w:val="22"/>
                <w:highlight w:val="none"/>
              </w:rPr>
            </w:pPr>
          </w:p>
        </w:tc>
        <w:tc>
          <w:tcPr>
            <w:tcW w:w="1843" w:type="dxa"/>
            <w:vAlign w:val="center"/>
          </w:tcPr>
          <w:p>
            <w:pPr>
              <w:spacing w:line="360" w:lineRule="auto"/>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highlight w:val="none"/>
              </w:rPr>
            </w:pPr>
            <w:r>
              <w:rPr>
                <w:szCs w:val="22"/>
                <w:highlight w:val="none"/>
              </w:rPr>
              <w:t>3</w:t>
            </w:r>
          </w:p>
        </w:tc>
        <w:tc>
          <w:tcPr>
            <w:tcW w:w="2410" w:type="dxa"/>
            <w:vAlign w:val="center"/>
          </w:tcPr>
          <w:p>
            <w:pPr>
              <w:spacing w:line="360" w:lineRule="auto"/>
              <w:jc w:val="center"/>
              <w:rPr>
                <w:szCs w:val="22"/>
                <w:highlight w:val="none"/>
              </w:rPr>
            </w:pPr>
          </w:p>
        </w:tc>
        <w:tc>
          <w:tcPr>
            <w:tcW w:w="2835" w:type="dxa"/>
            <w:vAlign w:val="center"/>
          </w:tcPr>
          <w:p>
            <w:pPr>
              <w:spacing w:line="360" w:lineRule="auto"/>
              <w:jc w:val="center"/>
              <w:rPr>
                <w:szCs w:val="22"/>
                <w:highlight w:val="none"/>
              </w:rPr>
            </w:pPr>
          </w:p>
        </w:tc>
        <w:tc>
          <w:tcPr>
            <w:tcW w:w="1701" w:type="dxa"/>
            <w:vAlign w:val="center"/>
          </w:tcPr>
          <w:p>
            <w:pPr>
              <w:spacing w:line="360" w:lineRule="auto"/>
              <w:jc w:val="center"/>
              <w:rPr>
                <w:szCs w:val="22"/>
                <w:highlight w:val="none"/>
              </w:rPr>
            </w:pPr>
          </w:p>
        </w:tc>
        <w:tc>
          <w:tcPr>
            <w:tcW w:w="1843" w:type="dxa"/>
            <w:vAlign w:val="center"/>
          </w:tcPr>
          <w:p>
            <w:pPr>
              <w:spacing w:line="360" w:lineRule="auto"/>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highlight w:val="none"/>
              </w:rPr>
            </w:pPr>
            <w:r>
              <w:rPr>
                <w:szCs w:val="22"/>
                <w:highlight w:val="none"/>
              </w:rPr>
              <w:t>4</w:t>
            </w:r>
          </w:p>
        </w:tc>
        <w:tc>
          <w:tcPr>
            <w:tcW w:w="2410" w:type="dxa"/>
            <w:vAlign w:val="center"/>
          </w:tcPr>
          <w:p>
            <w:pPr>
              <w:spacing w:line="360" w:lineRule="auto"/>
              <w:jc w:val="center"/>
              <w:rPr>
                <w:szCs w:val="22"/>
                <w:highlight w:val="none"/>
              </w:rPr>
            </w:pPr>
            <w:r>
              <w:rPr>
                <w:rFonts w:hint="eastAsia"/>
                <w:highlight w:val="none"/>
              </w:rPr>
              <w:t>□BIM技术费用</w:t>
            </w:r>
          </w:p>
        </w:tc>
        <w:tc>
          <w:tcPr>
            <w:tcW w:w="2835" w:type="dxa"/>
            <w:vAlign w:val="center"/>
          </w:tcPr>
          <w:p>
            <w:pPr>
              <w:spacing w:line="360" w:lineRule="auto"/>
              <w:jc w:val="center"/>
              <w:rPr>
                <w:szCs w:val="22"/>
                <w:highlight w:val="none"/>
              </w:rPr>
            </w:pPr>
          </w:p>
        </w:tc>
        <w:tc>
          <w:tcPr>
            <w:tcW w:w="1701" w:type="dxa"/>
            <w:vAlign w:val="center"/>
          </w:tcPr>
          <w:p>
            <w:pPr>
              <w:spacing w:line="360" w:lineRule="auto"/>
              <w:jc w:val="center"/>
              <w:rPr>
                <w:szCs w:val="22"/>
                <w:highlight w:val="none"/>
              </w:rPr>
            </w:pPr>
          </w:p>
        </w:tc>
        <w:tc>
          <w:tcPr>
            <w:tcW w:w="1843" w:type="dxa"/>
            <w:vAlign w:val="center"/>
          </w:tcPr>
          <w:p>
            <w:pPr>
              <w:spacing w:line="360" w:lineRule="auto"/>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szCs w:val="22"/>
                <w:highlight w:val="none"/>
              </w:rPr>
            </w:pPr>
            <w:r>
              <w:rPr>
                <w:szCs w:val="22"/>
                <w:highlight w:val="none"/>
              </w:rPr>
              <w:t>5</w:t>
            </w:r>
          </w:p>
        </w:tc>
        <w:tc>
          <w:tcPr>
            <w:tcW w:w="2410" w:type="dxa"/>
            <w:vAlign w:val="center"/>
          </w:tcPr>
          <w:p>
            <w:pPr>
              <w:spacing w:line="360" w:lineRule="auto"/>
              <w:jc w:val="center"/>
              <w:rPr>
                <w:szCs w:val="22"/>
                <w:highlight w:val="none"/>
              </w:rPr>
            </w:pPr>
            <w:r>
              <w:rPr>
                <w:rFonts w:hint="eastAsia"/>
                <w:highlight w:val="none"/>
              </w:rPr>
              <w:t>□专项</w:t>
            </w:r>
            <w:r>
              <w:rPr>
                <w:rFonts w:hint="eastAsia"/>
                <w:highlight w:val="none"/>
                <w:lang w:val="en-US" w:eastAsia="zh-CN"/>
              </w:rPr>
              <w:t>勘察</w:t>
            </w:r>
            <w:r>
              <w:rPr>
                <w:rFonts w:hint="eastAsia"/>
                <w:highlight w:val="none"/>
              </w:rPr>
              <w:t>费用</w:t>
            </w:r>
          </w:p>
        </w:tc>
        <w:tc>
          <w:tcPr>
            <w:tcW w:w="2835" w:type="dxa"/>
            <w:vAlign w:val="center"/>
          </w:tcPr>
          <w:p>
            <w:pPr>
              <w:spacing w:line="360" w:lineRule="auto"/>
              <w:jc w:val="center"/>
              <w:rPr>
                <w:szCs w:val="22"/>
                <w:highlight w:val="none"/>
              </w:rPr>
            </w:pPr>
          </w:p>
        </w:tc>
        <w:tc>
          <w:tcPr>
            <w:tcW w:w="1701" w:type="dxa"/>
            <w:vAlign w:val="center"/>
          </w:tcPr>
          <w:p>
            <w:pPr>
              <w:spacing w:line="360" w:lineRule="auto"/>
              <w:jc w:val="center"/>
              <w:rPr>
                <w:szCs w:val="22"/>
                <w:highlight w:val="none"/>
              </w:rPr>
            </w:pPr>
          </w:p>
        </w:tc>
        <w:tc>
          <w:tcPr>
            <w:tcW w:w="1843" w:type="dxa"/>
            <w:vAlign w:val="center"/>
          </w:tcPr>
          <w:p>
            <w:pPr>
              <w:spacing w:line="360" w:lineRule="auto"/>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spacing w:before="100" w:beforeAutospacing="1" w:after="100" w:afterAutospacing="1" w:line="360" w:lineRule="auto"/>
              <w:jc w:val="center"/>
              <w:rPr>
                <w:rFonts w:hint="eastAsia" w:eastAsia="宋体"/>
                <w:szCs w:val="22"/>
                <w:highlight w:val="none"/>
                <w:lang w:val="en-US" w:eastAsia="zh-CN"/>
              </w:rPr>
            </w:pPr>
            <w:r>
              <w:rPr>
                <w:rFonts w:hint="eastAsia"/>
                <w:szCs w:val="22"/>
                <w:highlight w:val="none"/>
                <w:lang w:val="en-US" w:eastAsia="zh-CN"/>
              </w:rPr>
              <w:t>6</w:t>
            </w:r>
          </w:p>
        </w:tc>
        <w:tc>
          <w:tcPr>
            <w:tcW w:w="2410" w:type="dxa"/>
            <w:vAlign w:val="center"/>
          </w:tcPr>
          <w:p>
            <w:pPr>
              <w:spacing w:line="360" w:lineRule="auto"/>
              <w:jc w:val="center"/>
              <w:rPr>
                <w:rFonts w:hint="eastAsia"/>
                <w:highlight w:val="none"/>
              </w:rPr>
            </w:pPr>
            <w:r>
              <w:rPr>
                <w:rFonts w:hint="eastAsia"/>
                <w:highlight w:val="none"/>
              </w:rPr>
              <w:t>□</w:t>
            </w:r>
            <w:r>
              <w:rPr>
                <w:rFonts w:hint="eastAsia"/>
                <w:highlight w:val="none"/>
                <w:u w:val="single"/>
              </w:rPr>
              <w:t>其他费用</w:t>
            </w:r>
          </w:p>
        </w:tc>
        <w:tc>
          <w:tcPr>
            <w:tcW w:w="2835" w:type="dxa"/>
            <w:vAlign w:val="center"/>
          </w:tcPr>
          <w:p>
            <w:pPr>
              <w:spacing w:line="360" w:lineRule="auto"/>
              <w:jc w:val="center"/>
              <w:rPr>
                <w:szCs w:val="22"/>
                <w:highlight w:val="none"/>
              </w:rPr>
            </w:pPr>
          </w:p>
        </w:tc>
        <w:tc>
          <w:tcPr>
            <w:tcW w:w="1701" w:type="dxa"/>
            <w:vAlign w:val="center"/>
          </w:tcPr>
          <w:p>
            <w:pPr>
              <w:spacing w:line="360" w:lineRule="auto"/>
              <w:jc w:val="center"/>
              <w:rPr>
                <w:szCs w:val="22"/>
                <w:highlight w:val="none"/>
              </w:rPr>
            </w:pPr>
          </w:p>
        </w:tc>
        <w:tc>
          <w:tcPr>
            <w:tcW w:w="1843" w:type="dxa"/>
            <w:vAlign w:val="center"/>
          </w:tcPr>
          <w:p>
            <w:pPr>
              <w:spacing w:line="360" w:lineRule="auto"/>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center"/>
          </w:tcPr>
          <w:p>
            <w:pPr>
              <w:widowControl/>
              <w:jc w:val="center"/>
              <w:rPr>
                <w:kern w:val="0"/>
                <w:szCs w:val="21"/>
                <w:highlight w:val="none"/>
              </w:rPr>
            </w:pPr>
            <w:r>
              <w:rPr>
                <w:kern w:val="0"/>
                <w:szCs w:val="21"/>
                <w:highlight w:val="none"/>
              </w:rPr>
              <w:t>……</w:t>
            </w:r>
          </w:p>
        </w:tc>
        <w:tc>
          <w:tcPr>
            <w:tcW w:w="2410" w:type="dxa"/>
            <w:vAlign w:val="center"/>
          </w:tcPr>
          <w:p>
            <w:pPr>
              <w:widowControl/>
              <w:jc w:val="center"/>
              <w:rPr>
                <w:kern w:val="0"/>
                <w:szCs w:val="21"/>
                <w:highlight w:val="none"/>
              </w:rPr>
            </w:pPr>
            <w:r>
              <w:rPr>
                <w:kern w:val="0"/>
                <w:szCs w:val="21"/>
                <w:highlight w:val="none"/>
              </w:rPr>
              <w:t>……</w:t>
            </w:r>
          </w:p>
        </w:tc>
        <w:tc>
          <w:tcPr>
            <w:tcW w:w="2835" w:type="dxa"/>
            <w:vAlign w:val="center"/>
          </w:tcPr>
          <w:p>
            <w:pPr>
              <w:spacing w:line="360" w:lineRule="auto"/>
              <w:jc w:val="center"/>
              <w:rPr>
                <w:szCs w:val="22"/>
                <w:highlight w:val="none"/>
              </w:rPr>
            </w:pPr>
          </w:p>
        </w:tc>
        <w:tc>
          <w:tcPr>
            <w:tcW w:w="1701" w:type="dxa"/>
            <w:vAlign w:val="center"/>
          </w:tcPr>
          <w:p>
            <w:pPr>
              <w:spacing w:line="360" w:lineRule="auto"/>
              <w:jc w:val="center"/>
              <w:rPr>
                <w:szCs w:val="22"/>
                <w:highlight w:val="none"/>
              </w:rPr>
            </w:pPr>
          </w:p>
        </w:tc>
        <w:tc>
          <w:tcPr>
            <w:tcW w:w="1843" w:type="dxa"/>
            <w:vAlign w:val="center"/>
          </w:tcPr>
          <w:p>
            <w:pPr>
              <w:spacing w:line="360" w:lineRule="auto"/>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062" w:type="dxa"/>
            <w:gridSpan w:val="3"/>
            <w:vAlign w:val="center"/>
          </w:tcPr>
          <w:p>
            <w:pPr>
              <w:widowControl/>
              <w:jc w:val="center"/>
              <w:rPr>
                <w:szCs w:val="22"/>
                <w:highlight w:val="none"/>
              </w:rPr>
            </w:pPr>
            <w:r>
              <w:rPr>
                <w:rFonts w:hint="eastAsia"/>
                <w:b/>
                <w:kern w:val="0"/>
                <w:szCs w:val="21"/>
                <w:highlight w:val="none"/>
              </w:rPr>
              <w:t>合计报价</w:t>
            </w:r>
          </w:p>
        </w:tc>
        <w:tc>
          <w:tcPr>
            <w:tcW w:w="1701" w:type="dxa"/>
            <w:vAlign w:val="center"/>
          </w:tcPr>
          <w:p>
            <w:pPr>
              <w:spacing w:line="360" w:lineRule="auto"/>
              <w:jc w:val="center"/>
              <w:rPr>
                <w:szCs w:val="22"/>
                <w:highlight w:val="none"/>
              </w:rPr>
            </w:pPr>
          </w:p>
        </w:tc>
        <w:tc>
          <w:tcPr>
            <w:tcW w:w="1843" w:type="dxa"/>
            <w:vAlign w:val="center"/>
          </w:tcPr>
          <w:p>
            <w:pPr>
              <w:spacing w:line="360" w:lineRule="auto"/>
              <w:jc w:val="center"/>
              <w:rPr>
                <w:szCs w:val="22"/>
                <w:highlight w:val="none"/>
              </w:rPr>
            </w:pPr>
          </w:p>
        </w:tc>
      </w:tr>
    </w:tbl>
    <w:p>
      <w:pPr>
        <w:widowControl/>
        <w:ind w:right="105"/>
        <w:jc w:val="right"/>
        <w:rPr>
          <w:kern w:val="0"/>
          <w:szCs w:val="22"/>
          <w:highlight w:val="none"/>
        </w:rPr>
      </w:pPr>
    </w:p>
    <w:p>
      <w:pPr>
        <w:widowControl/>
        <w:ind w:right="105"/>
        <w:jc w:val="right"/>
        <w:rPr>
          <w:kern w:val="0"/>
          <w:szCs w:val="22"/>
          <w:highlight w:val="none"/>
        </w:rPr>
      </w:pPr>
    </w:p>
    <w:p>
      <w:pPr>
        <w:spacing w:line="440" w:lineRule="exact"/>
        <w:ind w:firstLine="2692" w:firstLineChars="1282"/>
        <w:rPr>
          <w:color w:val="000000"/>
          <w:szCs w:val="22"/>
          <w:highlight w:val="none"/>
        </w:rPr>
      </w:pPr>
      <w:r>
        <w:rPr>
          <w:color w:val="000000"/>
          <w:szCs w:val="22"/>
          <w:highlight w:val="none"/>
        </w:rPr>
        <w:t>投  标  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szCs w:val="21"/>
          <w:highlight w:val="none"/>
          <w:u w:val="single"/>
        </w:rPr>
        <w:tab/>
      </w:r>
      <w:r>
        <w:rPr>
          <w:color w:val="000000"/>
          <w:szCs w:val="22"/>
          <w:highlight w:val="none"/>
        </w:rPr>
        <w:t>（</w:t>
      </w:r>
      <w:r>
        <w:rPr>
          <w:rFonts w:hint="eastAsia"/>
          <w:color w:val="000000"/>
          <w:szCs w:val="22"/>
          <w:highlight w:val="none"/>
        </w:rPr>
        <w:t>盖单位法人章</w:t>
      </w:r>
      <w:r>
        <w:rPr>
          <w:color w:val="000000"/>
          <w:szCs w:val="22"/>
          <w:highlight w:val="none"/>
        </w:rPr>
        <w:t>）</w:t>
      </w:r>
    </w:p>
    <w:p>
      <w:pPr>
        <w:spacing w:line="440" w:lineRule="exact"/>
        <w:ind w:firstLine="2692" w:firstLineChars="1282"/>
        <w:rPr>
          <w:color w:val="000000"/>
          <w:szCs w:val="22"/>
          <w:highlight w:val="none"/>
        </w:rPr>
      </w:pPr>
    </w:p>
    <w:p>
      <w:pPr>
        <w:spacing w:line="480" w:lineRule="auto"/>
        <w:ind w:firstLine="2690" w:firstLineChars="1281"/>
        <w:jc w:val="left"/>
        <w:rPr>
          <w:color w:val="000000"/>
          <w:szCs w:val="22"/>
          <w:highlight w:val="none"/>
        </w:rPr>
      </w:pPr>
      <w:r>
        <w:rPr>
          <w:color w:val="000000"/>
          <w:szCs w:val="22"/>
          <w:highlight w:val="none"/>
        </w:rPr>
        <w:t>法定代表人或授权委托人：</w:t>
      </w:r>
      <w:r>
        <w:rPr>
          <w:szCs w:val="21"/>
          <w:highlight w:val="none"/>
          <w:u w:val="single"/>
        </w:rPr>
        <w:tab/>
      </w:r>
      <w:r>
        <w:rPr>
          <w:szCs w:val="21"/>
          <w:highlight w:val="none"/>
          <w:u w:val="single"/>
        </w:rPr>
        <w:tab/>
      </w:r>
      <w:r>
        <w:rPr>
          <w:szCs w:val="21"/>
          <w:highlight w:val="none"/>
          <w:u w:val="single"/>
        </w:rPr>
        <w:tab/>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color w:val="000000"/>
          <w:szCs w:val="22"/>
          <w:highlight w:val="none"/>
        </w:rPr>
        <w:t>（签名或盖章</w:t>
      </w:r>
      <w:r>
        <w:rPr>
          <w:rFonts w:hint="eastAsia"/>
          <w:color w:val="000000"/>
          <w:szCs w:val="22"/>
          <w:highlight w:val="none"/>
        </w:rPr>
        <w:t>）</w:t>
      </w:r>
    </w:p>
    <w:p>
      <w:pPr>
        <w:pStyle w:val="2"/>
        <w:rPr>
          <w:highlight w:val="none"/>
        </w:rPr>
      </w:pPr>
    </w:p>
    <w:p>
      <w:pPr>
        <w:spacing w:line="400" w:lineRule="exact"/>
        <w:ind w:firstLine="420" w:firstLineChars="200"/>
        <w:rPr>
          <w:szCs w:val="22"/>
          <w:highlight w:val="none"/>
        </w:rPr>
      </w:pPr>
      <w:r>
        <w:rPr>
          <w:rFonts w:hint="eastAsia"/>
          <w:szCs w:val="22"/>
          <w:highlight w:val="none"/>
        </w:rPr>
        <w:t xml:space="preserve">                      </w:t>
      </w:r>
      <w:r>
        <w:rPr>
          <w:szCs w:val="22"/>
          <w:highlight w:val="none"/>
          <w:u w:val="single"/>
        </w:rPr>
        <w:t xml:space="preserve">        </w:t>
      </w:r>
      <w:r>
        <w:rPr>
          <w:szCs w:val="22"/>
          <w:highlight w:val="none"/>
        </w:rPr>
        <w:t>年</w:t>
      </w:r>
      <w:r>
        <w:rPr>
          <w:szCs w:val="22"/>
          <w:highlight w:val="none"/>
          <w:u w:val="single"/>
        </w:rPr>
        <w:t xml:space="preserve">        </w:t>
      </w:r>
      <w:r>
        <w:rPr>
          <w:szCs w:val="22"/>
          <w:highlight w:val="none"/>
        </w:rPr>
        <w:t>月</w:t>
      </w:r>
      <w:r>
        <w:rPr>
          <w:szCs w:val="22"/>
          <w:highlight w:val="none"/>
          <w:u w:val="single"/>
        </w:rPr>
        <w:t xml:space="preserve">        </w:t>
      </w:r>
      <w:r>
        <w:rPr>
          <w:szCs w:val="22"/>
          <w:highlight w:val="none"/>
        </w:rPr>
        <w:t>日</w:t>
      </w:r>
    </w:p>
    <w:p>
      <w:pPr>
        <w:spacing w:line="240" w:lineRule="auto"/>
        <w:ind w:firstLine="0" w:firstLineChars="0"/>
        <w:rPr>
          <w:szCs w:val="22"/>
          <w:highlight w:val="none"/>
        </w:rPr>
      </w:pPr>
      <w:r>
        <w:rPr>
          <w:szCs w:val="22"/>
          <w:highlight w:val="none"/>
        </w:rPr>
        <w:br w:type="page"/>
      </w:r>
    </w:p>
    <w:p>
      <w:pPr>
        <w:spacing w:before="260" w:after="260" w:line="412" w:lineRule="auto"/>
        <w:ind w:firstLine="137" w:firstLineChars="49"/>
        <w:jc w:val="center"/>
        <w:outlineLvl w:val="1"/>
        <w:rPr>
          <w:rFonts w:eastAsia="黑体" w:asciiTheme="minorEastAsia" w:hAnsiTheme="minorEastAsia"/>
          <w:b/>
          <w:sz w:val="28"/>
          <w:szCs w:val="20"/>
          <w:highlight w:val="none"/>
        </w:rPr>
      </w:pPr>
      <w:bookmarkStart w:id="2060" w:name="_Toc57796011"/>
      <w:bookmarkStart w:id="2061" w:name="_Toc30759"/>
      <w:bookmarkStart w:id="2062" w:name="_Toc26520"/>
      <w:bookmarkStart w:id="2063" w:name="_Toc2853"/>
      <w:bookmarkStart w:id="2064" w:name="_Toc23822"/>
      <w:bookmarkStart w:id="2065" w:name="_Toc27108"/>
      <w:r>
        <w:rPr>
          <w:rFonts w:eastAsia="黑体" w:asciiTheme="minorEastAsia" w:hAnsiTheme="minorEastAsia"/>
          <w:bCs w:val="0"/>
          <w:sz w:val="28"/>
          <w:szCs w:val="20"/>
          <w:highlight w:val="none"/>
        </w:rPr>
        <w:t>（</w:t>
      </w:r>
      <w:r>
        <w:rPr>
          <w:rFonts w:hint="eastAsia" w:eastAsia="黑体" w:asciiTheme="minorEastAsia" w:hAnsiTheme="minorEastAsia"/>
          <w:bCs w:val="0"/>
          <w:sz w:val="28"/>
          <w:szCs w:val="20"/>
          <w:highlight w:val="none"/>
        </w:rPr>
        <w:t>五</w:t>
      </w:r>
      <w:r>
        <w:rPr>
          <w:rFonts w:eastAsia="黑体" w:asciiTheme="minorEastAsia" w:hAnsiTheme="minorEastAsia"/>
          <w:bCs w:val="0"/>
          <w:sz w:val="28"/>
          <w:szCs w:val="20"/>
          <w:highlight w:val="none"/>
        </w:rPr>
        <w:t>）</w:t>
      </w:r>
      <w:r>
        <w:rPr>
          <w:rFonts w:hint="eastAsia" w:eastAsia="黑体" w:asciiTheme="minorEastAsia" w:hAnsiTheme="minorEastAsia"/>
          <w:bCs w:val="0"/>
          <w:sz w:val="28"/>
          <w:szCs w:val="20"/>
          <w:highlight w:val="none"/>
        </w:rPr>
        <w:t>低价风险担保提交承诺书</w:t>
      </w:r>
      <w:bookmarkEnd w:id="2060"/>
      <w:r>
        <w:rPr>
          <w:rFonts w:hint="eastAsia" w:eastAsia="黑体" w:asciiTheme="minorEastAsia" w:hAnsiTheme="minorEastAsia"/>
          <w:bCs w:val="0"/>
          <w:sz w:val="28"/>
          <w:szCs w:val="20"/>
          <w:highlight w:val="none"/>
        </w:rPr>
        <w:t>（如有）</w:t>
      </w:r>
      <w:bookmarkEnd w:id="2061"/>
      <w:bookmarkEnd w:id="2062"/>
      <w:bookmarkEnd w:id="2063"/>
      <w:bookmarkEnd w:id="2064"/>
      <w:bookmarkEnd w:id="2065"/>
    </w:p>
    <w:p>
      <w:pPr>
        <w:autoSpaceDE w:val="0"/>
        <w:autoSpaceDN w:val="0"/>
        <w:adjustRightInd w:val="0"/>
        <w:snapToGrid w:val="0"/>
        <w:spacing w:line="360" w:lineRule="auto"/>
        <w:jc w:val="center"/>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rPr>
        <w:t>注：投标报价低于招标项目最高限价的85%时采用</w:t>
      </w:r>
    </w:p>
    <w:p>
      <w:pPr>
        <w:autoSpaceDE w:val="0"/>
        <w:autoSpaceDN w:val="0"/>
        <w:adjustRightInd w:val="0"/>
        <w:snapToGrid w:val="0"/>
        <w:spacing w:line="360" w:lineRule="auto"/>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u w:val="single"/>
        </w:rPr>
        <w:t xml:space="preserve">        （招标人名称）</w:t>
      </w:r>
      <w:r>
        <w:rPr>
          <w:rFonts w:hint="eastAsia" w:asciiTheme="minorEastAsia" w:hAnsiTheme="minorEastAsia" w:eastAsiaTheme="minorEastAsia" w:cstheme="minorEastAsia"/>
          <w:snapToGrid w:val="0"/>
          <w:kern w:val="0"/>
          <w:sz w:val="21"/>
          <w:szCs w:val="21"/>
          <w:highlight w:val="none"/>
        </w:rPr>
        <w:t>：</w:t>
      </w:r>
    </w:p>
    <w:p>
      <w:pPr>
        <w:autoSpaceDE w:val="0"/>
        <w:autoSpaceDN w:val="0"/>
        <w:adjustRightInd w:val="0"/>
        <w:snapToGrid w:val="0"/>
        <w:spacing w:line="360" w:lineRule="auto"/>
        <w:ind w:firstLine="420" w:firstLineChars="200"/>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rPr>
        <w:t>我公司</w:t>
      </w:r>
      <w:r>
        <w:rPr>
          <w:rFonts w:hint="eastAsia" w:asciiTheme="minorEastAsia" w:hAnsiTheme="minorEastAsia" w:eastAsiaTheme="minorEastAsia" w:cstheme="minorEastAsia"/>
          <w:snapToGrid w:val="0"/>
          <w:kern w:val="0"/>
          <w:sz w:val="21"/>
          <w:szCs w:val="21"/>
          <w:highlight w:val="none"/>
          <w:u w:val="single"/>
        </w:rPr>
        <w:t xml:space="preserve">        （投标人名称）</w:t>
      </w:r>
      <w:r>
        <w:rPr>
          <w:rFonts w:hint="eastAsia" w:asciiTheme="minorEastAsia" w:hAnsiTheme="minorEastAsia" w:eastAsiaTheme="minorEastAsia" w:cstheme="minorEastAsia"/>
          <w:snapToGrid w:val="0"/>
          <w:kern w:val="0"/>
          <w:sz w:val="21"/>
          <w:szCs w:val="21"/>
          <w:highlight w:val="none"/>
        </w:rPr>
        <w:t>参加了你公司</w:t>
      </w:r>
      <w:r>
        <w:rPr>
          <w:rFonts w:hint="eastAsia" w:asciiTheme="minorEastAsia" w:hAnsiTheme="minorEastAsia" w:eastAsiaTheme="minorEastAsia" w:cstheme="minorEastAsia"/>
          <w:snapToGrid w:val="0"/>
          <w:kern w:val="0"/>
          <w:sz w:val="21"/>
          <w:szCs w:val="21"/>
          <w:highlight w:val="none"/>
          <w:u w:val="single"/>
        </w:rPr>
        <w:t xml:space="preserve">        （项目名称）</w:t>
      </w:r>
      <w:r>
        <w:rPr>
          <w:rFonts w:hint="eastAsia" w:asciiTheme="minorEastAsia" w:hAnsiTheme="minorEastAsia" w:eastAsiaTheme="minorEastAsia" w:cstheme="minorEastAsia"/>
          <w:snapToGrid w:val="0"/>
          <w:kern w:val="0"/>
          <w:sz w:val="21"/>
          <w:szCs w:val="21"/>
          <w:highlight w:val="none"/>
        </w:rPr>
        <w:t>的投标。我公司投标报价低于最高限价85%，若获得中标资格，我公司承诺按照招标文件的规定递交低价风险担保。同时，我公司已落实低价风险担保的提交方案，承诺如采用保函形式提交低价风险担保，保函的格式和内容符合招标文件的要求。否则，我公司愿承担招标文件中约定的，因未按规定递交低价风险担保的相应责任。</w:t>
      </w:r>
    </w:p>
    <w:p>
      <w:pPr>
        <w:autoSpaceDE w:val="0"/>
        <w:autoSpaceDN w:val="0"/>
        <w:adjustRightInd w:val="0"/>
        <w:snapToGrid w:val="0"/>
        <w:spacing w:line="360" w:lineRule="auto"/>
        <w:ind w:firstLine="420" w:firstLineChars="200"/>
        <w:rPr>
          <w:rFonts w:hint="eastAsia" w:asciiTheme="minorEastAsia" w:hAnsiTheme="minorEastAsia" w:eastAsiaTheme="minorEastAsia" w:cstheme="minorEastAsia"/>
          <w:snapToGrid w:val="0"/>
          <w:kern w:val="0"/>
          <w:sz w:val="21"/>
          <w:szCs w:val="21"/>
          <w:highlight w:val="none"/>
        </w:rPr>
      </w:pPr>
      <w:r>
        <w:rPr>
          <w:rFonts w:hint="eastAsia" w:asciiTheme="minorEastAsia" w:hAnsiTheme="minorEastAsia" w:eastAsiaTheme="minorEastAsia" w:cstheme="minorEastAsia"/>
          <w:snapToGrid w:val="0"/>
          <w:kern w:val="0"/>
          <w:sz w:val="21"/>
          <w:szCs w:val="21"/>
          <w:highlight w:val="none"/>
        </w:rPr>
        <w:t>特此承诺。</w:t>
      </w:r>
    </w:p>
    <w:p>
      <w:pPr>
        <w:autoSpaceDE w:val="0"/>
        <w:autoSpaceDN w:val="0"/>
        <w:adjustRightInd w:val="0"/>
        <w:snapToGrid w:val="0"/>
        <w:spacing w:line="360" w:lineRule="auto"/>
        <w:ind w:firstLine="420" w:firstLineChars="200"/>
        <w:rPr>
          <w:rFonts w:hint="eastAsia" w:asciiTheme="minorEastAsia" w:hAnsiTheme="minorEastAsia" w:eastAsiaTheme="minorEastAsia" w:cstheme="minorEastAsia"/>
          <w:snapToGrid w:val="0"/>
          <w:kern w:val="0"/>
          <w:sz w:val="21"/>
          <w:szCs w:val="21"/>
          <w:highlight w:val="none"/>
        </w:rPr>
      </w:pPr>
    </w:p>
    <w:p>
      <w:pPr>
        <w:tabs>
          <w:tab w:val="left" w:pos="4200"/>
          <w:tab w:val="left" w:pos="4620"/>
        </w:tabs>
        <w:autoSpaceDE w:val="0"/>
        <w:autoSpaceDN w:val="0"/>
        <w:adjustRightInd w:val="0"/>
        <w:snapToGrid w:val="0"/>
        <w:spacing w:line="360" w:lineRule="auto"/>
        <w:ind w:firstLine="420" w:firstLineChars="200"/>
        <w:jc w:val="right"/>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napToGrid w:val="0"/>
          <w:kern w:val="0"/>
          <w:sz w:val="21"/>
          <w:szCs w:val="21"/>
          <w:highlight w:val="none"/>
        </w:rPr>
        <w:t>投标人：</w:t>
      </w:r>
      <w:r>
        <w:rPr>
          <w:rFonts w:hint="eastAsia" w:asciiTheme="minorEastAsia" w:hAnsiTheme="minorEastAsia" w:eastAsiaTheme="minorEastAsia" w:cstheme="minorEastAsia"/>
          <w:snapToGrid w:val="0"/>
          <w:kern w:val="0"/>
          <w:sz w:val="21"/>
          <w:szCs w:val="21"/>
          <w:highlight w:val="none"/>
          <w:u w:val="single"/>
        </w:rPr>
        <w:t xml:space="preserve">                　　　　　                 </w:t>
      </w:r>
      <w:r>
        <w:rPr>
          <w:rFonts w:hint="eastAsia" w:asciiTheme="minorEastAsia" w:hAnsiTheme="minorEastAsia" w:eastAsiaTheme="minorEastAsia" w:cstheme="minorEastAsia"/>
          <w:snapToGrid w:val="0"/>
          <w:kern w:val="0"/>
          <w:sz w:val="21"/>
          <w:szCs w:val="21"/>
          <w:highlight w:val="none"/>
        </w:rPr>
        <w:t>（盖单位法人章）</w:t>
      </w:r>
    </w:p>
    <w:p>
      <w:pPr>
        <w:tabs>
          <w:tab w:val="left" w:pos="6300"/>
        </w:tabs>
        <w:autoSpaceDE w:val="0"/>
        <w:autoSpaceDN w:val="0"/>
        <w:adjustRightInd w:val="0"/>
        <w:snapToGrid w:val="0"/>
        <w:spacing w:line="360" w:lineRule="auto"/>
        <w:ind w:firstLine="420" w:firstLineChars="200"/>
        <w:jc w:val="right"/>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法定代表人：</w:t>
      </w:r>
      <w:r>
        <w:rPr>
          <w:rFonts w:hint="eastAsia" w:asciiTheme="minorEastAsia" w:hAnsiTheme="minorEastAsia" w:eastAsiaTheme="minorEastAsia" w:cstheme="minorEastAsia"/>
          <w:w w:val="200"/>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（签名或盖章）</w:t>
      </w:r>
    </w:p>
    <w:p>
      <w:pPr>
        <w:spacing w:line="360" w:lineRule="auto"/>
        <w:jc w:val="righ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年</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月</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日</w:t>
      </w:r>
    </w:p>
    <w:p>
      <w:pPr>
        <w:pStyle w:val="2"/>
        <w:rPr>
          <w:highlight w:val="none"/>
        </w:rPr>
      </w:pPr>
    </w:p>
    <w:p>
      <w:pPr>
        <w:widowControl/>
        <w:ind w:right="105"/>
        <w:jc w:val="left"/>
        <w:rPr>
          <w:kern w:val="0"/>
          <w:szCs w:val="22"/>
          <w:highlight w:val="none"/>
        </w:rPr>
      </w:pPr>
    </w:p>
    <w:p>
      <w:pPr>
        <w:autoSpaceDE w:val="0"/>
        <w:autoSpaceDN w:val="0"/>
        <w:adjustRightInd w:val="0"/>
        <w:snapToGrid w:val="0"/>
        <w:spacing w:line="360" w:lineRule="auto"/>
        <w:ind w:firstLine="420" w:firstLineChars="200"/>
        <w:jc w:val="center"/>
        <w:outlineLvl w:val="0"/>
        <w:rPr>
          <w:rFonts w:hint="eastAsia" w:asciiTheme="minorEastAsia" w:hAnsiTheme="minorEastAsia" w:eastAsiaTheme="minorEastAsia" w:cstheme="minorEastAsia"/>
          <w:b w:val="0"/>
          <w:bCs w:val="0"/>
          <w:i/>
          <w:iCs/>
          <w:snapToGrid w:val="0"/>
          <w:kern w:val="0"/>
          <w:sz w:val="21"/>
          <w:szCs w:val="21"/>
          <w:highlight w:val="none"/>
        </w:rPr>
      </w:pPr>
      <w:r>
        <w:rPr>
          <w:rFonts w:hint="eastAsia" w:asciiTheme="minorEastAsia" w:hAnsiTheme="minorEastAsia" w:eastAsiaTheme="minorEastAsia" w:cstheme="minorEastAsia"/>
          <w:b w:val="0"/>
          <w:bCs w:val="0"/>
          <w:i/>
          <w:iCs/>
          <w:snapToGrid w:val="0"/>
          <w:color w:val="000000"/>
          <w:kern w:val="0"/>
          <w:sz w:val="21"/>
          <w:szCs w:val="21"/>
          <w:highlight w:val="none"/>
        </w:rPr>
        <w:t>[提示：本项目第三章采用综合评估法时，招标人应删除第六章投标文件格式中“（六）低价风险担保提交承诺书（如有）”格式。]</w:t>
      </w:r>
    </w:p>
    <w:p>
      <w:pPr>
        <w:pStyle w:val="4"/>
        <w:spacing w:line="360" w:lineRule="auto"/>
        <w:ind w:firstLine="420"/>
        <w:jc w:val="center"/>
        <w:outlineLvl w:val="0"/>
        <w:rPr>
          <w:rFonts w:ascii="宋体" w:hAnsi="宋体" w:cs="宋体"/>
          <w:b w:val="0"/>
          <w:bCs w:val="0"/>
          <w:sz w:val="44"/>
          <w:szCs w:val="44"/>
          <w:highlight w:val="none"/>
        </w:rPr>
      </w:pPr>
      <w:r>
        <w:rPr>
          <w:rFonts w:hint="eastAsia" w:asciiTheme="minorEastAsia" w:hAnsiTheme="minorEastAsia" w:eastAsiaTheme="minorEastAsia" w:cstheme="minorEastAsia"/>
          <w:b w:val="0"/>
          <w:bCs w:val="0"/>
          <w:snapToGrid w:val="0"/>
          <w:color w:val="000000"/>
          <w:kern w:val="0"/>
          <w:sz w:val="21"/>
          <w:szCs w:val="21"/>
          <w:highlight w:val="none"/>
        </w:rPr>
        <w:br w:type="page"/>
      </w:r>
      <w:bookmarkStart w:id="2066" w:name="_Toc75857123"/>
      <w:bookmarkStart w:id="2067" w:name="_Toc9987"/>
      <w:bookmarkStart w:id="2068" w:name="_Toc13732"/>
      <w:bookmarkStart w:id="2069" w:name="_Toc5995"/>
      <w:bookmarkStart w:id="2070" w:name="_Toc3809"/>
      <w:bookmarkStart w:id="2071" w:name="_Toc29770"/>
      <w:bookmarkStart w:id="2072" w:name="_Toc492300948"/>
      <w:r>
        <w:rPr>
          <w:rFonts w:hint="eastAsia" w:ascii="宋体" w:hAnsi="宋体" w:cs="宋体"/>
          <w:b w:val="0"/>
          <w:bCs w:val="0"/>
          <w:sz w:val="44"/>
          <w:szCs w:val="44"/>
          <w:highlight w:val="none"/>
        </w:rPr>
        <w:t>二、商务部分</w:t>
      </w:r>
      <w:bookmarkEnd w:id="2066"/>
      <w:bookmarkEnd w:id="2067"/>
      <w:bookmarkEnd w:id="2068"/>
      <w:bookmarkEnd w:id="2069"/>
      <w:bookmarkEnd w:id="2070"/>
      <w:bookmarkEnd w:id="2071"/>
    </w:p>
    <w:p>
      <w:pPr>
        <w:widowControl/>
        <w:jc w:val="left"/>
        <w:rPr>
          <w:rFonts w:ascii="宋体" w:hAnsi="宋体" w:cs="宋体"/>
          <w:sz w:val="44"/>
          <w:szCs w:val="44"/>
          <w:highlight w:val="none"/>
        </w:rPr>
      </w:pPr>
      <w:r>
        <w:rPr>
          <w:rFonts w:ascii="宋体" w:hAnsi="宋体" w:cs="宋体"/>
          <w:b/>
          <w:bCs/>
          <w:sz w:val="44"/>
          <w:szCs w:val="44"/>
          <w:highlight w:val="none"/>
        </w:rPr>
        <w:br w:type="page"/>
      </w:r>
    </w:p>
    <w:p>
      <w:pPr>
        <w:spacing w:line="400" w:lineRule="exact"/>
        <w:rPr>
          <w:szCs w:val="22"/>
          <w:highlight w:val="none"/>
        </w:rPr>
      </w:pPr>
    </w:p>
    <w:p>
      <w:pPr>
        <w:jc w:val="center"/>
        <w:rPr>
          <w:rFonts w:eastAsia="黑体"/>
          <w:sz w:val="28"/>
          <w:szCs w:val="28"/>
          <w:highlight w:val="none"/>
          <w:u w:val="single"/>
        </w:rPr>
      </w:pPr>
      <w:r>
        <w:rPr>
          <w:rFonts w:eastAsia="黑体"/>
          <w:sz w:val="28"/>
          <w:szCs w:val="28"/>
          <w:highlight w:val="none"/>
          <w:u w:val="single"/>
        </w:rPr>
        <w:t xml:space="preserve">        （项目名称）</w:t>
      </w:r>
      <w:r>
        <w:rPr>
          <w:rFonts w:hint="eastAsia" w:eastAsia="黑体"/>
          <w:sz w:val="28"/>
          <w:szCs w:val="28"/>
          <w:highlight w:val="none"/>
          <w:u w:val="single"/>
        </w:rPr>
        <w:t xml:space="preserve">    </w:t>
      </w:r>
    </w:p>
    <w:p>
      <w:pPr>
        <w:rPr>
          <w:rFonts w:eastAsia="黑体"/>
          <w:color w:val="000000"/>
          <w:sz w:val="20"/>
          <w:szCs w:val="22"/>
          <w:highlight w:val="none"/>
        </w:rPr>
      </w:pPr>
    </w:p>
    <w:p>
      <w:pPr>
        <w:rPr>
          <w:rFonts w:eastAsia="黑体"/>
          <w:color w:val="000000"/>
          <w:sz w:val="20"/>
          <w:szCs w:val="22"/>
          <w:highlight w:val="none"/>
        </w:rPr>
      </w:pPr>
    </w:p>
    <w:p>
      <w:pPr>
        <w:jc w:val="center"/>
        <w:rPr>
          <w:rFonts w:eastAsia="黑体"/>
          <w:color w:val="000000"/>
          <w:sz w:val="44"/>
          <w:szCs w:val="22"/>
          <w:highlight w:val="none"/>
        </w:rPr>
      </w:pPr>
      <w:r>
        <w:rPr>
          <w:rFonts w:eastAsia="黑体"/>
          <w:color w:val="000000"/>
          <w:sz w:val="44"/>
          <w:szCs w:val="22"/>
          <w:highlight w:val="none"/>
        </w:rPr>
        <w:t>投 标 文 件</w:t>
      </w:r>
    </w:p>
    <w:p>
      <w:pPr>
        <w:spacing w:line="400" w:lineRule="exact"/>
        <w:rPr>
          <w:szCs w:val="22"/>
          <w:highlight w:val="none"/>
        </w:rPr>
      </w:pPr>
    </w:p>
    <w:p>
      <w:pPr>
        <w:spacing w:line="400" w:lineRule="exact"/>
        <w:rPr>
          <w:szCs w:val="22"/>
          <w:highlight w:val="none"/>
        </w:rPr>
      </w:pPr>
    </w:p>
    <w:p>
      <w:pPr>
        <w:autoSpaceDE w:val="0"/>
        <w:autoSpaceDN w:val="0"/>
        <w:adjustRightInd w:val="0"/>
        <w:snapToGrid w:val="0"/>
        <w:spacing w:line="360" w:lineRule="auto"/>
        <w:jc w:val="center"/>
        <w:rPr>
          <w:rFonts w:ascii="宋体" w:hAnsi="宋体"/>
          <w:kern w:val="0"/>
          <w:sz w:val="36"/>
          <w:szCs w:val="36"/>
          <w:highlight w:val="none"/>
        </w:rPr>
      </w:pPr>
      <w:r>
        <w:rPr>
          <w:rFonts w:hint="eastAsia" w:ascii="宋体" w:hAnsi="宋体"/>
          <w:kern w:val="0"/>
          <w:sz w:val="36"/>
          <w:szCs w:val="36"/>
          <w:highlight w:val="none"/>
        </w:rPr>
        <w:t>商务部分</w:t>
      </w:r>
    </w:p>
    <w:p>
      <w:pPr>
        <w:jc w:val="center"/>
        <w:rPr>
          <w:rFonts w:eastAsia="黑体"/>
          <w:sz w:val="20"/>
          <w:szCs w:val="22"/>
          <w:highlight w:val="none"/>
        </w:rPr>
      </w:pPr>
    </w:p>
    <w:p>
      <w:pPr>
        <w:jc w:val="center"/>
        <w:rPr>
          <w:rFonts w:eastAsia="黑体"/>
          <w:color w:val="000000"/>
          <w:sz w:val="44"/>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spacing w:line="360" w:lineRule="auto"/>
        <w:ind w:firstLine="1120" w:firstLineChars="400"/>
        <w:rPr>
          <w:rFonts w:eastAsia="黑体"/>
          <w:color w:val="000000"/>
          <w:sz w:val="28"/>
          <w:szCs w:val="22"/>
          <w:highlight w:val="none"/>
          <w:u w:val="single"/>
        </w:rPr>
      </w:pPr>
      <w:r>
        <w:rPr>
          <w:rFonts w:eastAsia="黑体"/>
          <w:color w:val="000000"/>
          <w:sz w:val="28"/>
          <w:szCs w:val="22"/>
          <w:highlight w:val="none"/>
        </w:rPr>
        <w:t>投标人：</w:t>
      </w:r>
      <w:r>
        <w:rPr>
          <w:color w:val="000000"/>
          <w:szCs w:val="22"/>
          <w:highlight w:val="none"/>
          <w:u w:val="single"/>
        </w:rPr>
        <w:t xml:space="preserve">                                            </w:t>
      </w:r>
      <w:r>
        <w:rPr>
          <w:rFonts w:eastAsia="黑体"/>
          <w:color w:val="000000"/>
          <w:sz w:val="28"/>
          <w:szCs w:val="22"/>
          <w:highlight w:val="none"/>
        </w:rPr>
        <w:t>（</w:t>
      </w:r>
      <w:r>
        <w:rPr>
          <w:rFonts w:hint="eastAsia" w:eastAsia="黑体"/>
          <w:color w:val="000000"/>
          <w:sz w:val="28"/>
          <w:szCs w:val="22"/>
          <w:highlight w:val="none"/>
        </w:rPr>
        <w:t>盖单位法人章</w:t>
      </w:r>
      <w:r>
        <w:rPr>
          <w:rFonts w:eastAsia="黑体"/>
          <w:color w:val="000000"/>
          <w:sz w:val="28"/>
          <w:szCs w:val="22"/>
          <w:highlight w:val="none"/>
        </w:rPr>
        <w:t>）</w:t>
      </w:r>
    </w:p>
    <w:p>
      <w:pPr>
        <w:spacing w:line="360" w:lineRule="auto"/>
        <w:ind w:firstLine="1120" w:firstLineChars="400"/>
        <w:jc w:val="left"/>
        <w:rPr>
          <w:rFonts w:eastAsia="黑体"/>
          <w:color w:val="000000"/>
          <w:sz w:val="28"/>
          <w:szCs w:val="22"/>
          <w:highlight w:val="none"/>
        </w:rPr>
      </w:pPr>
      <w:r>
        <w:rPr>
          <w:rFonts w:eastAsia="黑体"/>
          <w:color w:val="000000"/>
          <w:sz w:val="28"/>
          <w:szCs w:val="22"/>
          <w:highlight w:val="none"/>
        </w:rPr>
        <w:t>法定代表人或其委托代理人：</w:t>
      </w:r>
      <w:r>
        <w:rPr>
          <w:color w:val="000000"/>
          <w:szCs w:val="22"/>
          <w:highlight w:val="none"/>
          <w:u w:val="single"/>
        </w:rPr>
        <w:t xml:space="preserve">    </w:t>
      </w:r>
      <w:r>
        <w:rPr>
          <w:rFonts w:hint="eastAsia"/>
          <w:color w:val="000000"/>
          <w:szCs w:val="22"/>
          <w:highlight w:val="none"/>
          <w:u w:val="single"/>
        </w:rPr>
        <w:t xml:space="preserve">   </w:t>
      </w:r>
      <w:r>
        <w:rPr>
          <w:color w:val="000000"/>
          <w:szCs w:val="22"/>
          <w:highlight w:val="none"/>
          <w:u w:val="single"/>
        </w:rPr>
        <w:t xml:space="preserve">   </w:t>
      </w:r>
      <w:r>
        <w:rPr>
          <w:rFonts w:eastAsia="黑体"/>
          <w:color w:val="000000"/>
          <w:sz w:val="28"/>
          <w:szCs w:val="22"/>
          <w:highlight w:val="none"/>
        </w:rPr>
        <w:t>（签名或盖章）</w:t>
      </w:r>
    </w:p>
    <w:p>
      <w:pPr>
        <w:widowControl/>
        <w:ind w:firstLine="2730" w:firstLineChars="1300"/>
        <w:jc w:val="left"/>
        <w:rPr>
          <w:rFonts w:eastAsia="黑体"/>
          <w:color w:val="000000"/>
          <w:sz w:val="28"/>
          <w:szCs w:val="22"/>
          <w:highlight w:val="none"/>
        </w:rPr>
      </w:pPr>
      <w:r>
        <w:rPr>
          <w:color w:val="000000"/>
          <w:szCs w:val="22"/>
          <w:highlight w:val="none"/>
          <w:u w:val="single"/>
        </w:rPr>
        <w:t xml:space="preserve">       </w:t>
      </w:r>
      <w:r>
        <w:rPr>
          <w:rFonts w:eastAsia="黑体"/>
          <w:color w:val="000000"/>
          <w:sz w:val="28"/>
          <w:szCs w:val="22"/>
          <w:highlight w:val="none"/>
        </w:rPr>
        <w:t>年</w:t>
      </w:r>
      <w:r>
        <w:rPr>
          <w:color w:val="000000"/>
          <w:szCs w:val="22"/>
          <w:highlight w:val="none"/>
          <w:u w:val="single"/>
        </w:rPr>
        <w:t xml:space="preserve">       </w:t>
      </w:r>
      <w:r>
        <w:rPr>
          <w:rFonts w:eastAsia="黑体"/>
          <w:color w:val="000000"/>
          <w:sz w:val="28"/>
          <w:szCs w:val="22"/>
          <w:highlight w:val="none"/>
        </w:rPr>
        <w:t>月</w:t>
      </w:r>
      <w:r>
        <w:rPr>
          <w:color w:val="000000"/>
          <w:szCs w:val="22"/>
          <w:highlight w:val="none"/>
          <w:u w:val="single"/>
        </w:rPr>
        <w:t xml:space="preserve">       </w:t>
      </w:r>
      <w:r>
        <w:rPr>
          <w:rFonts w:eastAsia="黑体"/>
          <w:color w:val="000000"/>
          <w:sz w:val="28"/>
          <w:szCs w:val="22"/>
          <w:highlight w:val="none"/>
        </w:rPr>
        <w:t>日</w:t>
      </w:r>
    </w:p>
    <w:p>
      <w:pPr>
        <w:widowControl/>
        <w:jc w:val="left"/>
        <w:rPr>
          <w:highlight w:val="none"/>
        </w:rPr>
      </w:pPr>
      <w:r>
        <w:rPr>
          <w:highlight w:val="none"/>
        </w:rPr>
        <w:br w:type="page"/>
      </w:r>
    </w:p>
    <w:p>
      <w:pPr>
        <w:keepNext/>
        <w:keepLines/>
        <w:spacing w:before="20" w:line="412" w:lineRule="auto"/>
        <w:ind w:firstLine="137" w:firstLineChars="49"/>
        <w:jc w:val="center"/>
        <w:outlineLvl w:val="2"/>
        <w:rPr>
          <w:rFonts w:eastAsia="黑体"/>
          <w:color w:val="000000"/>
          <w:sz w:val="28"/>
          <w:szCs w:val="20"/>
          <w:highlight w:val="none"/>
        </w:rPr>
      </w:pPr>
      <w:bookmarkStart w:id="2073" w:name="_Toc6899"/>
      <w:bookmarkStart w:id="2074" w:name="_Toc75857124"/>
      <w:bookmarkStart w:id="2075" w:name="_Toc10292"/>
      <w:bookmarkStart w:id="2076" w:name="_Toc20636"/>
      <w:bookmarkStart w:id="2077" w:name="_Toc9056"/>
      <w:bookmarkStart w:id="2078" w:name="_Toc31882"/>
      <w:r>
        <w:rPr>
          <w:rFonts w:hint="eastAsia" w:eastAsia="黑体"/>
          <w:color w:val="000000"/>
          <w:sz w:val="28"/>
          <w:szCs w:val="20"/>
          <w:highlight w:val="none"/>
        </w:rPr>
        <w:t>（一）投标人资历</w:t>
      </w:r>
      <w:bookmarkEnd w:id="2073"/>
      <w:bookmarkEnd w:id="2074"/>
      <w:bookmarkEnd w:id="2075"/>
      <w:bookmarkEnd w:id="2076"/>
      <w:bookmarkEnd w:id="2077"/>
      <w:bookmarkEnd w:id="2078"/>
    </w:p>
    <w:p>
      <w:pPr>
        <w:pStyle w:val="2"/>
        <w:ind w:firstLine="280" w:firstLineChars="100"/>
        <w:rPr>
          <w:sz w:val="28"/>
          <w:szCs w:val="28"/>
          <w:highlight w:val="none"/>
        </w:rPr>
      </w:pPr>
      <w:r>
        <w:rPr>
          <w:sz w:val="28"/>
          <w:szCs w:val="28"/>
          <w:highlight w:val="none"/>
        </w:rPr>
        <w:t>1</w:t>
      </w:r>
      <w:r>
        <w:rPr>
          <w:rFonts w:hint="eastAsia"/>
          <w:sz w:val="28"/>
          <w:szCs w:val="28"/>
          <w:highlight w:val="none"/>
        </w:rPr>
        <w:t>、类似业绩</w:t>
      </w:r>
    </w:p>
    <w:p>
      <w:pPr>
        <w:pStyle w:val="2"/>
        <w:ind w:firstLine="137"/>
        <w:jc w:val="center"/>
        <w:rPr>
          <w:sz w:val="28"/>
          <w:szCs w:val="28"/>
          <w:highlight w:val="none"/>
        </w:rPr>
      </w:pPr>
      <w:r>
        <w:rPr>
          <w:rFonts w:hint="eastAsia"/>
          <w:sz w:val="28"/>
          <w:szCs w:val="28"/>
          <w:highlight w:val="none"/>
        </w:rPr>
        <w:t>近年完成的类似项目情况表</w:t>
      </w:r>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勘察服务期限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勘察内容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项目负责人</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bl>
    <w:p>
      <w:pPr>
        <w:spacing w:line="440" w:lineRule="exact"/>
        <w:ind w:firstLine="420" w:firstLineChars="200"/>
        <w:rPr>
          <w:szCs w:val="22"/>
          <w:highlight w:val="none"/>
        </w:rPr>
      </w:pPr>
      <w:r>
        <w:rPr>
          <w:szCs w:val="22"/>
          <w:highlight w:val="none"/>
        </w:rPr>
        <w:t>附相关证明材料</w:t>
      </w:r>
      <w:r>
        <w:rPr>
          <w:rFonts w:hint="eastAsia"/>
          <w:szCs w:val="22"/>
          <w:highlight w:val="none"/>
        </w:rPr>
        <w:t>。</w:t>
      </w:r>
    </w:p>
    <w:p>
      <w:pPr>
        <w:spacing w:line="440" w:lineRule="exact"/>
        <w:rPr>
          <w:szCs w:val="22"/>
          <w:highlight w:val="none"/>
        </w:rPr>
      </w:pPr>
    </w:p>
    <w:p>
      <w:pPr>
        <w:widowControl/>
        <w:jc w:val="left"/>
        <w:rPr>
          <w:highlight w:val="none"/>
        </w:rPr>
      </w:pPr>
      <w:r>
        <w:rPr>
          <w:highlight w:val="none"/>
        </w:rPr>
        <w:br w:type="page"/>
      </w:r>
    </w:p>
    <w:p>
      <w:pPr>
        <w:keepNext/>
        <w:keepLines/>
        <w:spacing w:before="20" w:line="412" w:lineRule="auto"/>
        <w:ind w:firstLine="137" w:firstLineChars="49"/>
        <w:jc w:val="center"/>
        <w:outlineLvl w:val="2"/>
        <w:rPr>
          <w:rFonts w:eastAsia="黑体"/>
          <w:color w:val="000000"/>
          <w:sz w:val="28"/>
          <w:szCs w:val="20"/>
          <w:highlight w:val="none"/>
        </w:rPr>
      </w:pPr>
      <w:bookmarkStart w:id="2079" w:name="_Toc8031"/>
      <w:bookmarkStart w:id="2080" w:name="_Toc7583"/>
      <w:bookmarkStart w:id="2081" w:name="_Toc22331"/>
      <w:bookmarkStart w:id="2082" w:name="_Toc75857125"/>
      <w:bookmarkStart w:id="2083" w:name="_Toc28958"/>
      <w:bookmarkStart w:id="2084" w:name="_Toc15600"/>
      <w:r>
        <w:rPr>
          <w:rFonts w:hint="eastAsia" w:eastAsia="黑体"/>
          <w:color w:val="000000"/>
          <w:sz w:val="28"/>
          <w:szCs w:val="20"/>
          <w:highlight w:val="none"/>
        </w:rPr>
        <w:t>（二）拟派项目负责人资历</w:t>
      </w:r>
      <w:bookmarkEnd w:id="2079"/>
      <w:bookmarkEnd w:id="2080"/>
      <w:bookmarkEnd w:id="2081"/>
      <w:bookmarkEnd w:id="2082"/>
      <w:bookmarkEnd w:id="2083"/>
      <w:bookmarkEnd w:id="2084"/>
    </w:p>
    <w:p>
      <w:pPr>
        <w:pStyle w:val="2"/>
        <w:ind w:firstLine="280" w:firstLineChars="100"/>
        <w:rPr>
          <w:sz w:val="28"/>
          <w:szCs w:val="28"/>
          <w:highlight w:val="none"/>
        </w:rPr>
      </w:pPr>
      <w:r>
        <w:rPr>
          <w:rFonts w:hint="eastAsia"/>
          <w:sz w:val="28"/>
          <w:szCs w:val="28"/>
          <w:highlight w:val="none"/>
        </w:rPr>
        <w:t>1、类似业绩</w:t>
      </w:r>
    </w:p>
    <w:p>
      <w:pPr>
        <w:pStyle w:val="2"/>
        <w:ind w:firstLine="103"/>
        <w:jc w:val="center"/>
        <w:rPr>
          <w:sz w:val="28"/>
          <w:szCs w:val="28"/>
          <w:highlight w:val="none"/>
        </w:rPr>
      </w:pPr>
      <w:r>
        <w:rPr>
          <w:rFonts w:hint="eastAsia"/>
          <w:sz w:val="28"/>
          <w:szCs w:val="28"/>
          <w:highlight w:val="none"/>
        </w:rPr>
        <w:t>近年完成的类似项目情况表</w:t>
      </w:r>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勘察服务期限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勘察内容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项目负责人</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bl>
    <w:p>
      <w:pPr>
        <w:spacing w:line="440" w:lineRule="exact"/>
        <w:ind w:firstLine="420" w:firstLineChars="200"/>
        <w:rPr>
          <w:szCs w:val="22"/>
          <w:highlight w:val="none"/>
        </w:rPr>
      </w:pPr>
      <w:r>
        <w:rPr>
          <w:szCs w:val="22"/>
          <w:highlight w:val="none"/>
        </w:rPr>
        <w:t>附相关证明材料</w:t>
      </w:r>
      <w:r>
        <w:rPr>
          <w:rFonts w:hint="eastAsia"/>
          <w:szCs w:val="22"/>
          <w:highlight w:val="none"/>
        </w:rPr>
        <w:t>。</w:t>
      </w:r>
    </w:p>
    <w:p>
      <w:pPr>
        <w:spacing w:line="440" w:lineRule="exact"/>
        <w:rPr>
          <w:szCs w:val="22"/>
          <w:highlight w:val="none"/>
        </w:rPr>
      </w:pPr>
    </w:p>
    <w:p>
      <w:pPr>
        <w:spacing w:line="440" w:lineRule="exact"/>
        <w:rPr>
          <w:szCs w:val="22"/>
          <w:highlight w:val="none"/>
        </w:rPr>
      </w:pPr>
    </w:p>
    <w:p>
      <w:pPr>
        <w:widowControl/>
        <w:jc w:val="left"/>
        <w:rPr>
          <w:highlight w:val="none"/>
        </w:rPr>
      </w:pPr>
      <w:r>
        <w:rPr>
          <w:highlight w:val="none"/>
        </w:rPr>
        <w:br w:type="page"/>
      </w:r>
    </w:p>
    <w:p>
      <w:pPr>
        <w:pStyle w:val="2"/>
        <w:ind w:firstLine="280" w:firstLineChars="100"/>
        <w:rPr>
          <w:sz w:val="28"/>
          <w:szCs w:val="28"/>
          <w:highlight w:val="none"/>
        </w:rPr>
      </w:pPr>
      <w:r>
        <w:rPr>
          <w:rFonts w:hint="eastAsia"/>
          <w:sz w:val="28"/>
          <w:szCs w:val="28"/>
          <w:highlight w:val="none"/>
        </w:rPr>
        <w:t>2、职称（或执业）证书</w:t>
      </w:r>
    </w:p>
    <w:p>
      <w:pPr>
        <w:spacing w:line="440" w:lineRule="exact"/>
        <w:ind w:firstLine="420" w:firstLineChars="200"/>
        <w:rPr>
          <w:szCs w:val="22"/>
          <w:highlight w:val="none"/>
        </w:rPr>
      </w:pPr>
      <w:r>
        <w:rPr>
          <w:szCs w:val="22"/>
          <w:highlight w:val="none"/>
        </w:rPr>
        <w:t>附相关证明材料</w:t>
      </w:r>
      <w:r>
        <w:rPr>
          <w:rFonts w:hint="eastAsia"/>
          <w:szCs w:val="22"/>
          <w:highlight w:val="none"/>
        </w:rPr>
        <w:t>。</w:t>
      </w:r>
    </w:p>
    <w:p>
      <w:pPr>
        <w:pStyle w:val="2"/>
        <w:rPr>
          <w:sz w:val="28"/>
          <w:szCs w:val="28"/>
          <w:highlight w:val="none"/>
        </w:rPr>
      </w:pPr>
      <w:r>
        <w:rPr>
          <w:rFonts w:hint="eastAsia"/>
          <w:sz w:val="28"/>
          <w:szCs w:val="28"/>
          <w:highlight w:val="none"/>
        </w:rPr>
        <w:t xml:space="preserve">   </w:t>
      </w:r>
    </w:p>
    <w:p>
      <w:pPr>
        <w:widowControl/>
        <w:jc w:val="left"/>
        <w:rPr>
          <w:highlight w:val="none"/>
        </w:rPr>
      </w:pPr>
      <w:r>
        <w:rPr>
          <w:highlight w:val="none"/>
        </w:rPr>
        <w:br w:type="page"/>
      </w:r>
    </w:p>
    <w:p>
      <w:pPr>
        <w:keepNext/>
        <w:keepLines/>
        <w:spacing w:before="20" w:line="412" w:lineRule="auto"/>
        <w:ind w:firstLine="137" w:firstLineChars="49"/>
        <w:jc w:val="center"/>
        <w:outlineLvl w:val="2"/>
        <w:rPr>
          <w:rFonts w:eastAsia="黑体"/>
          <w:color w:val="000000"/>
          <w:sz w:val="28"/>
          <w:szCs w:val="20"/>
          <w:highlight w:val="none"/>
        </w:rPr>
      </w:pPr>
      <w:bookmarkStart w:id="2085" w:name="_Toc17880"/>
      <w:bookmarkStart w:id="2086" w:name="_Toc24439"/>
      <w:bookmarkStart w:id="2087" w:name="_Toc75857126"/>
      <w:bookmarkStart w:id="2088" w:name="_Toc12181"/>
      <w:bookmarkStart w:id="2089" w:name="_Toc17231"/>
      <w:bookmarkStart w:id="2090" w:name="_Toc3072"/>
      <w:r>
        <w:rPr>
          <w:rFonts w:hint="eastAsia" w:eastAsia="黑体"/>
          <w:color w:val="000000"/>
          <w:sz w:val="28"/>
          <w:szCs w:val="20"/>
          <w:highlight w:val="none"/>
        </w:rPr>
        <w:t>（三）</w:t>
      </w:r>
      <w:r>
        <w:rPr>
          <w:rFonts w:hint="eastAsia" w:eastAsia="黑体"/>
          <w:color w:val="000000"/>
          <w:sz w:val="28"/>
          <w:szCs w:val="20"/>
          <w:highlight w:val="none"/>
          <w:lang w:val="en-US" w:eastAsia="zh-CN"/>
        </w:rPr>
        <w:t>拟派勘察团队</w:t>
      </w:r>
      <w:r>
        <w:rPr>
          <w:rFonts w:hint="eastAsia" w:eastAsia="黑体"/>
          <w:color w:val="000000"/>
          <w:sz w:val="28"/>
          <w:szCs w:val="20"/>
          <w:highlight w:val="none"/>
        </w:rPr>
        <w:t>其他主要人员资历</w:t>
      </w:r>
      <w:bookmarkEnd w:id="2085"/>
      <w:bookmarkEnd w:id="2086"/>
      <w:bookmarkEnd w:id="2087"/>
      <w:bookmarkEnd w:id="2088"/>
      <w:bookmarkEnd w:id="2089"/>
      <w:bookmarkEnd w:id="2090"/>
    </w:p>
    <w:p>
      <w:pPr>
        <w:pStyle w:val="2"/>
        <w:ind w:firstLine="280" w:firstLineChars="100"/>
        <w:rPr>
          <w:sz w:val="28"/>
          <w:szCs w:val="28"/>
          <w:highlight w:val="none"/>
        </w:rPr>
      </w:pPr>
      <w:r>
        <w:rPr>
          <w:rFonts w:hint="eastAsia"/>
          <w:sz w:val="28"/>
          <w:szCs w:val="28"/>
          <w:highlight w:val="none"/>
        </w:rPr>
        <w:t>1、类似业绩</w:t>
      </w:r>
    </w:p>
    <w:p>
      <w:pPr>
        <w:pStyle w:val="2"/>
        <w:ind w:firstLine="103"/>
        <w:jc w:val="center"/>
        <w:rPr>
          <w:sz w:val="28"/>
          <w:szCs w:val="28"/>
          <w:highlight w:val="none"/>
        </w:rPr>
      </w:pPr>
      <w:r>
        <w:rPr>
          <w:rFonts w:hint="eastAsia"/>
          <w:sz w:val="28"/>
          <w:szCs w:val="28"/>
          <w:highlight w:val="none"/>
        </w:rPr>
        <w:t>近年完成的类似项目情况表</w:t>
      </w:r>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勘察服务期限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勘察内容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项目负责人</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bl>
    <w:p>
      <w:pPr>
        <w:spacing w:line="440" w:lineRule="exact"/>
        <w:ind w:firstLine="420" w:firstLineChars="200"/>
        <w:rPr>
          <w:szCs w:val="22"/>
          <w:highlight w:val="none"/>
        </w:rPr>
      </w:pPr>
      <w:r>
        <w:rPr>
          <w:szCs w:val="22"/>
          <w:highlight w:val="none"/>
        </w:rPr>
        <w:t>附相关证明材料</w:t>
      </w:r>
      <w:r>
        <w:rPr>
          <w:rFonts w:hint="eastAsia"/>
          <w:szCs w:val="22"/>
          <w:highlight w:val="none"/>
        </w:rPr>
        <w:t>。</w:t>
      </w:r>
    </w:p>
    <w:p>
      <w:pPr>
        <w:spacing w:line="440" w:lineRule="exact"/>
        <w:rPr>
          <w:szCs w:val="22"/>
          <w:highlight w:val="none"/>
        </w:rPr>
      </w:pPr>
    </w:p>
    <w:p>
      <w:pPr>
        <w:spacing w:line="440" w:lineRule="exact"/>
        <w:rPr>
          <w:szCs w:val="22"/>
          <w:highlight w:val="none"/>
        </w:rPr>
      </w:pPr>
    </w:p>
    <w:p>
      <w:pPr>
        <w:widowControl/>
        <w:jc w:val="left"/>
        <w:rPr>
          <w:highlight w:val="none"/>
        </w:rPr>
      </w:pPr>
      <w:r>
        <w:rPr>
          <w:highlight w:val="none"/>
        </w:rPr>
        <w:br w:type="page"/>
      </w:r>
    </w:p>
    <w:p>
      <w:pPr>
        <w:pStyle w:val="2"/>
        <w:ind w:firstLine="280" w:firstLineChars="100"/>
        <w:rPr>
          <w:sz w:val="28"/>
          <w:szCs w:val="28"/>
          <w:highlight w:val="none"/>
        </w:rPr>
      </w:pPr>
      <w:r>
        <w:rPr>
          <w:rFonts w:hint="eastAsia"/>
          <w:sz w:val="28"/>
          <w:szCs w:val="28"/>
          <w:highlight w:val="none"/>
        </w:rPr>
        <w:t>2、</w:t>
      </w:r>
      <w:r>
        <w:rPr>
          <w:sz w:val="28"/>
          <w:szCs w:val="28"/>
          <w:highlight w:val="none"/>
        </w:rPr>
        <w:t>职称</w:t>
      </w:r>
      <w:r>
        <w:rPr>
          <w:rFonts w:hint="eastAsia"/>
          <w:sz w:val="28"/>
          <w:szCs w:val="28"/>
          <w:highlight w:val="none"/>
        </w:rPr>
        <w:t>（或执业）</w:t>
      </w:r>
      <w:r>
        <w:rPr>
          <w:sz w:val="28"/>
          <w:szCs w:val="28"/>
          <w:highlight w:val="none"/>
        </w:rPr>
        <w:t>证书</w:t>
      </w:r>
    </w:p>
    <w:p>
      <w:pPr>
        <w:spacing w:line="440" w:lineRule="exact"/>
        <w:ind w:firstLine="420" w:firstLineChars="200"/>
        <w:rPr>
          <w:szCs w:val="22"/>
          <w:highlight w:val="none"/>
        </w:rPr>
      </w:pPr>
      <w:r>
        <w:rPr>
          <w:szCs w:val="22"/>
          <w:highlight w:val="none"/>
        </w:rPr>
        <w:t>附相关证明材料</w:t>
      </w:r>
      <w:r>
        <w:rPr>
          <w:rFonts w:hint="eastAsia"/>
          <w:szCs w:val="22"/>
          <w:highlight w:val="none"/>
        </w:rPr>
        <w:t>。</w:t>
      </w:r>
    </w:p>
    <w:p>
      <w:pPr>
        <w:pStyle w:val="2"/>
        <w:rPr>
          <w:sz w:val="28"/>
          <w:szCs w:val="28"/>
          <w:highlight w:val="none"/>
        </w:rPr>
      </w:pPr>
      <w:r>
        <w:rPr>
          <w:rFonts w:hint="eastAsia"/>
          <w:sz w:val="28"/>
          <w:szCs w:val="28"/>
          <w:highlight w:val="none"/>
        </w:rPr>
        <w:t xml:space="preserve">   </w:t>
      </w:r>
    </w:p>
    <w:p>
      <w:pPr>
        <w:keepNext/>
        <w:keepLines/>
        <w:spacing w:before="20" w:line="412" w:lineRule="auto"/>
        <w:ind w:firstLine="102" w:firstLineChars="49"/>
        <w:jc w:val="center"/>
        <w:outlineLvl w:val="2"/>
        <w:rPr>
          <w:rFonts w:eastAsia="黑体"/>
          <w:color w:val="000000"/>
          <w:sz w:val="28"/>
          <w:szCs w:val="20"/>
          <w:highlight w:val="none"/>
        </w:rPr>
      </w:pPr>
      <w:r>
        <w:rPr>
          <w:highlight w:val="none"/>
        </w:rPr>
        <w:br w:type="page"/>
      </w:r>
      <w:bookmarkStart w:id="2091" w:name="_Toc24828"/>
      <w:bookmarkStart w:id="2092" w:name="_Toc6782"/>
      <w:bookmarkStart w:id="2093" w:name="_Toc21408"/>
      <w:bookmarkStart w:id="2094" w:name="_Toc11685"/>
      <w:bookmarkStart w:id="2095" w:name="_Toc3127"/>
      <w:bookmarkStart w:id="2096" w:name="_Toc75857127"/>
      <w:r>
        <w:rPr>
          <w:rFonts w:hint="eastAsia" w:eastAsia="黑体"/>
          <w:color w:val="000000"/>
          <w:sz w:val="28"/>
          <w:szCs w:val="20"/>
          <w:highlight w:val="none"/>
        </w:rPr>
        <w:t>（四）获奖情况</w:t>
      </w:r>
      <w:bookmarkEnd w:id="2091"/>
      <w:bookmarkEnd w:id="2092"/>
      <w:bookmarkEnd w:id="2093"/>
      <w:bookmarkEnd w:id="2094"/>
      <w:bookmarkEnd w:id="2095"/>
    </w:p>
    <w:p>
      <w:pPr>
        <w:spacing w:line="440" w:lineRule="exact"/>
        <w:ind w:firstLine="420" w:firstLineChars="200"/>
        <w:rPr>
          <w:szCs w:val="22"/>
          <w:highlight w:val="none"/>
        </w:rPr>
      </w:pPr>
      <w:r>
        <w:rPr>
          <w:szCs w:val="22"/>
          <w:highlight w:val="none"/>
        </w:rPr>
        <w:t>附相关证明材料</w:t>
      </w:r>
      <w:r>
        <w:rPr>
          <w:rFonts w:hint="eastAsia"/>
          <w:szCs w:val="22"/>
          <w:highlight w:val="none"/>
        </w:rPr>
        <w:t>。</w:t>
      </w:r>
    </w:p>
    <w:p>
      <w:pPr>
        <w:keepNext w:val="0"/>
        <w:keepLines w:val="0"/>
        <w:spacing w:before="0" w:line="440" w:lineRule="exact"/>
        <w:ind w:firstLine="560" w:firstLineChars="200"/>
        <w:jc w:val="both"/>
        <w:outlineLvl w:val="9"/>
        <w:rPr>
          <w:rFonts w:eastAsia="黑体"/>
          <w:color w:val="000000"/>
          <w:sz w:val="28"/>
          <w:szCs w:val="20"/>
          <w:highlight w:val="none"/>
        </w:rPr>
      </w:pPr>
    </w:p>
    <w:p>
      <w:pPr>
        <w:widowControl/>
        <w:jc w:val="left"/>
        <w:rPr>
          <w:rFonts w:eastAsia="黑体"/>
          <w:color w:val="000000"/>
          <w:sz w:val="28"/>
          <w:szCs w:val="20"/>
          <w:highlight w:val="none"/>
        </w:rPr>
      </w:pPr>
      <w:r>
        <w:rPr>
          <w:rFonts w:eastAsia="黑体"/>
          <w:color w:val="000000"/>
          <w:sz w:val="28"/>
          <w:szCs w:val="20"/>
          <w:highlight w:val="none"/>
        </w:rPr>
        <w:br w:type="page"/>
      </w:r>
    </w:p>
    <w:p>
      <w:pPr>
        <w:keepNext/>
        <w:keepLines/>
        <w:spacing w:before="20" w:line="412" w:lineRule="auto"/>
        <w:ind w:firstLine="137" w:firstLineChars="49"/>
        <w:jc w:val="center"/>
        <w:outlineLvl w:val="2"/>
        <w:rPr>
          <w:rFonts w:eastAsia="黑体"/>
          <w:color w:val="000000"/>
          <w:sz w:val="28"/>
          <w:szCs w:val="20"/>
          <w:highlight w:val="none"/>
        </w:rPr>
      </w:pPr>
      <w:bookmarkStart w:id="2097" w:name="_Toc29475"/>
      <w:bookmarkStart w:id="2098" w:name="_Toc8877"/>
      <w:bookmarkStart w:id="2099" w:name="_Toc21094"/>
      <w:bookmarkStart w:id="2100" w:name="_Toc1619"/>
      <w:bookmarkStart w:id="2101" w:name="_Toc29065"/>
      <w:r>
        <w:rPr>
          <w:rFonts w:hint="eastAsia" w:eastAsia="黑体"/>
          <w:color w:val="000000"/>
          <w:sz w:val="28"/>
          <w:szCs w:val="20"/>
          <w:highlight w:val="none"/>
        </w:rPr>
        <w:t>（五）拟投入的勘察设备</w:t>
      </w:r>
      <w:bookmarkEnd w:id="2096"/>
      <w:bookmarkEnd w:id="2097"/>
      <w:bookmarkEnd w:id="2098"/>
      <w:bookmarkEnd w:id="2099"/>
      <w:bookmarkEnd w:id="2100"/>
      <w:bookmarkEnd w:id="2101"/>
    </w:p>
    <w:p>
      <w:pPr>
        <w:widowControl/>
        <w:jc w:val="left"/>
        <w:rPr>
          <w:highlight w:val="none"/>
        </w:rPr>
      </w:pPr>
    </w:p>
    <w:p>
      <w:pPr>
        <w:widowControl/>
        <w:jc w:val="center"/>
        <w:rPr>
          <w:sz w:val="28"/>
          <w:szCs w:val="28"/>
          <w:highlight w:val="none"/>
        </w:rPr>
      </w:pPr>
      <w:r>
        <w:rPr>
          <w:rFonts w:hint="eastAsia"/>
          <w:sz w:val="28"/>
          <w:szCs w:val="28"/>
          <w:highlight w:val="none"/>
        </w:rPr>
        <w:t>拟投入本项目的主要勘察设备表</w:t>
      </w:r>
    </w:p>
    <w:tbl>
      <w:tblPr>
        <w:tblStyle w:val="55"/>
        <w:tblW w:w="88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240"/>
        <w:gridCol w:w="1323"/>
        <w:gridCol w:w="1132"/>
        <w:gridCol w:w="1132"/>
        <w:gridCol w:w="1294"/>
        <w:gridCol w:w="1132"/>
        <w:gridCol w:w="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759" w:type="dxa"/>
            <w:vAlign w:val="center"/>
          </w:tcPr>
          <w:p>
            <w:pPr>
              <w:spacing w:line="440" w:lineRule="exact"/>
              <w:rPr>
                <w:szCs w:val="21"/>
                <w:highlight w:val="none"/>
              </w:rPr>
            </w:pPr>
            <w:r>
              <w:rPr>
                <w:rFonts w:hint="eastAsia"/>
                <w:szCs w:val="21"/>
                <w:highlight w:val="none"/>
              </w:rPr>
              <w:t>序号</w:t>
            </w:r>
          </w:p>
        </w:tc>
        <w:tc>
          <w:tcPr>
            <w:tcW w:w="1240" w:type="dxa"/>
            <w:vAlign w:val="center"/>
          </w:tcPr>
          <w:p>
            <w:pPr>
              <w:spacing w:line="440" w:lineRule="exact"/>
              <w:jc w:val="center"/>
              <w:rPr>
                <w:szCs w:val="21"/>
                <w:highlight w:val="none"/>
              </w:rPr>
            </w:pPr>
            <w:r>
              <w:rPr>
                <w:rFonts w:hint="eastAsia"/>
                <w:szCs w:val="21"/>
                <w:highlight w:val="none"/>
              </w:rPr>
              <w:t>设备名称</w:t>
            </w:r>
          </w:p>
        </w:tc>
        <w:tc>
          <w:tcPr>
            <w:tcW w:w="1323" w:type="dxa"/>
            <w:vAlign w:val="center"/>
          </w:tcPr>
          <w:p>
            <w:pPr>
              <w:spacing w:line="440" w:lineRule="exact"/>
              <w:jc w:val="center"/>
              <w:rPr>
                <w:szCs w:val="21"/>
                <w:highlight w:val="none"/>
              </w:rPr>
            </w:pPr>
            <w:r>
              <w:rPr>
                <w:rFonts w:hint="eastAsia"/>
                <w:szCs w:val="21"/>
                <w:highlight w:val="none"/>
              </w:rPr>
              <w:t>型号规格</w:t>
            </w:r>
          </w:p>
        </w:tc>
        <w:tc>
          <w:tcPr>
            <w:tcW w:w="1132" w:type="dxa"/>
            <w:vAlign w:val="center"/>
          </w:tcPr>
          <w:p>
            <w:pPr>
              <w:spacing w:line="440" w:lineRule="exact"/>
              <w:jc w:val="center"/>
              <w:rPr>
                <w:szCs w:val="21"/>
                <w:highlight w:val="none"/>
              </w:rPr>
            </w:pPr>
            <w:r>
              <w:rPr>
                <w:rFonts w:hint="eastAsia"/>
                <w:szCs w:val="21"/>
                <w:highlight w:val="none"/>
              </w:rPr>
              <w:t>单位</w:t>
            </w:r>
          </w:p>
        </w:tc>
        <w:tc>
          <w:tcPr>
            <w:tcW w:w="1132" w:type="dxa"/>
            <w:vAlign w:val="center"/>
          </w:tcPr>
          <w:p>
            <w:pPr>
              <w:spacing w:line="440" w:lineRule="exact"/>
              <w:jc w:val="center"/>
              <w:rPr>
                <w:szCs w:val="21"/>
                <w:highlight w:val="none"/>
              </w:rPr>
            </w:pPr>
            <w:r>
              <w:rPr>
                <w:rFonts w:hint="eastAsia"/>
                <w:szCs w:val="21"/>
                <w:highlight w:val="none"/>
              </w:rPr>
              <w:t>数量</w:t>
            </w:r>
          </w:p>
        </w:tc>
        <w:tc>
          <w:tcPr>
            <w:tcW w:w="1294" w:type="dxa"/>
            <w:vAlign w:val="center"/>
          </w:tcPr>
          <w:p>
            <w:pPr>
              <w:spacing w:line="440" w:lineRule="exact"/>
              <w:jc w:val="center"/>
              <w:rPr>
                <w:szCs w:val="21"/>
                <w:highlight w:val="none"/>
              </w:rPr>
            </w:pPr>
            <w:r>
              <w:rPr>
                <w:rFonts w:hint="eastAsia"/>
                <w:szCs w:val="21"/>
                <w:highlight w:val="none"/>
              </w:rPr>
              <w:t>制造年份</w:t>
            </w:r>
          </w:p>
        </w:tc>
        <w:tc>
          <w:tcPr>
            <w:tcW w:w="1132" w:type="dxa"/>
            <w:vAlign w:val="center"/>
          </w:tcPr>
          <w:p>
            <w:pPr>
              <w:spacing w:line="440" w:lineRule="exact"/>
              <w:jc w:val="center"/>
              <w:rPr>
                <w:szCs w:val="21"/>
                <w:highlight w:val="none"/>
              </w:rPr>
            </w:pPr>
            <w:r>
              <w:rPr>
                <w:color w:val="000000"/>
                <w:szCs w:val="22"/>
                <w:highlight w:val="none"/>
              </w:rPr>
              <w:t>……</w:t>
            </w:r>
          </w:p>
        </w:tc>
        <w:tc>
          <w:tcPr>
            <w:tcW w:w="807" w:type="dxa"/>
            <w:vAlign w:val="center"/>
          </w:tcPr>
          <w:p>
            <w:pPr>
              <w:spacing w:line="440" w:lineRule="exact"/>
              <w:jc w:val="center"/>
              <w:rPr>
                <w:szCs w:val="21"/>
                <w:highlight w:val="none"/>
              </w:rPr>
            </w:pPr>
            <w:r>
              <w:rPr>
                <w:rFonts w:hint="eastAsia"/>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vAlign w:val="center"/>
          </w:tcPr>
          <w:p>
            <w:pPr>
              <w:spacing w:line="440" w:lineRule="exact"/>
              <w:jc w:val="center"/>
              <w:rPr>
                <w:szCs w:val="21"/>
                <w:highlight w:val="none"/>
              </w:rPr>
            </w:pPr>
          </w:p>
        </w:tc>
        <w:tc>
          <w:tcPr>
            <w:tcW w:w="1240" w:type="dxa"/>
            <w:vAlign w:val="center"/>
          </w:tcPr>
          <w:p>
            <w:pPr>
              <w:spacing w:line="440" w:lineRule="exact"/>
              <w:jc w:val="center"/>
              <w:rPr>
                <w:szCs w:val="21"/>
                <w:highlight w:val="none"/>
              </w:rPr>
            </w:pPr>
          </w:p>
        </w:tc>
        <w:tc>
          <w:tcPr>
            <w:tcW w:w="1323" w:type="dxa"/>
            <w:vAlign w:val="center"/>
          </w:tcPr>
          <w:p>
            <w:pPr>
              <w:spacing w:line="440" w:lineRule="exact"/>
              <w:jc w:val="center"/>
              <w:rPr>
                <w:szCs w:val="21"/>
                <w:highlight w:val="none"/>
              </w:rPr>
            </w:pPr>
          </w:p>
        </w:tc>
        <w:tc>
          <w:tcPr>
            <w:tcW w:w="1132" w:type="dxa"/>
            <w:vAlign w:val="center"/>
          </w:tcPr>
          <w:p>
            <w:pPr>
              <w:spacing w:line="440" w:lineRule="exact"/>
              <w:jc w:val="center"/>
              <w:rPr>
                <w:szCs w:val="21"/>
                <w:highlight w:val="none"/>
              </w:rPr>
            </w:pPr>
          </w:p>
        </w:tc>
        <w:tc>
          <w:tcPr>
            <w:tcW w:w="1132" w:type="dxa"/>
            <w:vAlign w:val="center"/>
          </w:tcPr>
          <w:p>
            <w:pPr>
              <w:spacing w:line="440" w:lineRule="exact"/>
              <w:jc w:val="center"/>
              <w:rPr>
                <w:szCs w:val="21"/>
                <w:highlight w:val="none"/>
              </w:rPr>
            </w:pPr>
          </w:p>
        </w:tc>
        <w:tc>
          <w:tcPr>
            <w:tcW w:w="1294" w:type="dxa"/>
            <w:vAlign w:val="center"/>
          </w:tcPr>
          <w:p>
            <w:pPr>
              <w:spacing w:line="440" w:lineRule="exact"/>
              <w:jc w:val="center"/>
              <w:rPr>
                <w:szCs w:val="21"/>
                <w:highlight w:val="none"/>
              </w:rPr>
            </w:pPr>
          </w:p>
        </w:tc>
        <w:tc>
          <w:tcPr>
            <w:tcW w:w="1132" w:type="dxa"/>
            <w:vAlign w:val="center"/>
          </w:tcPr>
          <w:p>
            <w:pPr>
              <w:spacing w:line="440" w:lineRule="exact"/>
              <w:jc w:val="center"/>
              <w:rPr>
                <w:szCs w:val="21"/>
                <w:highlight w:val="none"/>
              </w:rPr>
            </w:pPr>
          </w:p>
        </w:tc>
        <w:tc>
          <w:tcPr>
            <w:tcW w:w="807" w:type="dxa"/>
            <w:vAlign w:val="center"/>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vAlign w:val="center"/>
          </w:tcPr>
          <w:p>
            <w:pPr>
              <w:spacing w:line="440" w:lineRule="exact"/>
              <w:jc w:val="center"/>
              <w:rPr>
                <w:szCs w:val="21"/>
                <w:highlight w:val="none"/>
              </w:rPr>
            </w:pPr>
          </w:p>
        </w:tc>
        <w:tc>
          <w:tcPr>
            <w:tcW w:w="1240" w:type="dxa"/>
            <w:vAlign w:val="center"/>
          </w:tcPr>
          <w:p>
            <w:pPr>
              <w:spacing w:line="440" w:lineRule="exact"/>
              <w:jc w:val="center"/>
              <w:rPr>
                <w:szCs w:val="21"/>
                <w:highlight w:val="none"/>
              </w:rPr>
            </w:pPr>
          </w:p>
        </w:tc>
        <w:tc>
          <w:tcPr>
            <w:tcW w:w="1323" w:type="dxa"/>
            <w:vAlign w:val="center"/>
          </w:tcPr>
          <w:p>
            <w:pPr>
              <w:spacing w:line="440" w:lineRule="exact"/>
              <w:jc w:val="center"/>
              <w:rPr>
                <w:szCs w:val="21"/>
                <w:highlight w:val="none"/>
              </w:rPr>
            </w:pPr>
          </w:p>
        </w:tc>
        <w:tc>
          <w:tcPr>
            <w:tcW w:w="1132" w:type="dxa"/>
            <w:vAlign w:val="center"/>
          </w:tcPr>
          <w:p>
            <w:pPr>
              <w:spacing w:line="440" w:lineRule="exact"/>
              <w:jc w:val="center"/>
              <w:rPr>
                <w:szCs w:val="21"/>
                <w:highlight w:val="none"/>
              </w:rPr>
            </w:pPr>
          </w:p>
        </w:tc>
        <w:tc>
          <w:tcPr>
            <w:tcW w:w="1132" w:type="dxa"/>
            <w:vAlign w:val="center"/>
          </w:tcPr>
          <w:p>
            <w:pPr>
              <w:spacing w:line="440" w:lineRule="exact"/>
              <w:jc w:val="center"/>
              <w:rPr>
                <w:szCs w:val="21"/>
                <w:highlight w:val="none"/>
              </w:rPr>
            </w:pPr>
          </w:p>
        </w:tc>
        <w:tc>
          <w:tcPr>
            <w:tcW w:w="1294" w:type="dxa"/>
            <w:vAlign w:val="center"/>
          </w:tcPr>
          <w:p>
            <w:pPr>
              <w:spacing w:line="440" w:lineRule="exact"/>
              <w:jc w:val="center"/>
              <w:rPr>
                <w:szCs w:val="21"/>
                <w:highlight w:val="none"/>
              </w:rPr>
            </w:pPr>
          </w:p>
        </w:tc>
        <w:tc>
          <w:tcPr>
            <w:tcW w:w="1132" w:type="dxa"/>
            <w:vAlign w:val="center"/>
          </w:tcPr>
          <w:p>
            <w:pPr>
              <w:spacing w:line="440" w:lineRule="exact"/>
              <w:jc w:val="center"/>
              <w:rPr>
                <w:szCs w:val="21"/>
                <w:highlight w:val="none"/>
              </w:rPr>
            </w:pPr>
          </w:p>
        </w:tc>
        <w:tc>
          <w:tcPr>
            <w:tcW w:w="807" w:type="dxa"/>
            <w:vAlign w:val="center"/>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759" w:type="dxa"/>
          </w:tcPr>
          <w:p>
            <w:pPr>
              <w:spacing w:line="440" w:lineRule="exact"/>
              <w:jc w:val="center"/>
              <w:rPr>
                <w:szCs w:val="21"/>
                <w:highlight w:val="none"/>
              </w:rPr>
            </w:pPr>
          </w:p>
        </w:tc>
        <w:tc>
          <w:tcPr>
            <w:tcW w:w="1240" w:type="dxa"/>
          </w:tcPr>
          <w:p>
            <w:pPr>
              <w:spacing w:line="440" w:lineRule="exact"/>
              <w:jc w:val="center"/>
              <w:rPr>
                <w:szCs w:val="21"/>
                <w:highlight w:val="none"/>
              </w:rPr>
            </w:pPr>
          </w:p>
        </w:tc>
        <w:tc>
          <w:tcPr>
            <w:tcW w:w="1323"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1294" w:type="dxa"/>
          </w:tcPr>
          <w:p>
            <w:pPr>
              <w:spacing w:line="440" w:lineRule="exact"/>
              <w:jc w:val="center"/>
              <w:rPr>
                <w:szCs w:val="21"/>
                <w:highlight w:val="none"/>
              </w:rPr>
            </w:pPr>
          </w:p>
        </w:tc>
        <w:tc>
          <w:tcPr>
            <w:tcW w:w="1132" w:type="dxa"/>
          </w:tcPr>
          <w:p>
            <w:pPr>
              <w:spacing w:line="440" w:lineRule="exact"/>
              <w:jc w:val="center"/>
              <w:rPr>
                <w:szCs w:val="21"/>
                <w:highlight w:val="none"/>
              </w:rPr>
            </w:pPr>
          </w:p>
        </w:tc>
        <w:tc>
          <w:tcPr>
            <w:tcW w:w="807" w:type="dxa"/>
          </w:tcPr>
          <w:p>
            <w:pPr>
              <w:spacing w:line="440" w:lineRule="exact"/>
              <w:jc w:val="center"/>
              <w:rPr>
                <w:szCs w:val="21"/>
                <w:highlight w:val="none"/>
              </w:rPr>
            </w:pPr>
          </w:p>
        </w:tc>
      </w:tr>
    </w:tbl>
    <w:p>
      <w:pPr>
        <w:spacing w:line="440" w:lineRule="exact"/>
        <w:ind w:firstLine="420" w:firstLineChars="200"/>
        <w:rPr>
          <w:szCs w:val="22"/>
          <w:highlight w:val="none"/>
        </w:rPr>
      </w:pPr>
      <w:r>
        <w:rPr>
          <w:szCs w:val="22"/>
          <w:highlight w:val="none"/>
        </w:rPr>
        <w:t>附相关证明材料</w:t>
      </w:r>
      <w:r>
        <w:rPr>
          <w:rFonts w:hint="eastAsia"/>
          <w:szCs w:val="22"/>
          <w:highlight w:val="none"/>
        </w:rPr>
        <w:t>。</w:t>
      </w:r>
    </w:p>
    <w:p>
      <w:pPr>
        <w:widowControl/>
        <w:jc w:val="left"/>
        <w:rPr>
          <w:highlight w:val="none"/>
        </w:rPr>
      </w:pPr>
      <w:r>
        <w:rPr>
          <w:highlight w:val="none"/>
        </w:rPr>
        <w:br w:type="page"/>
      </w:r>
    </w:p>
    <w:p>
      <w:pPr>
        <w:pStyle w:val="2"/>
        <w:jc w:val="center"/>
        <w:rPr>
          <w:highlight w:val="none"/>
        </w:rPr>
      </w:pPr>
    </w:p>
    <w:p>
      <w:pPr>
        <w:keepNext/>
        <w:keepLines/>
        <w:spacing w:before="260" w:line="412" w:lineRule="auto"/>
        <w:jc w:val="center"/>
        <w:outlineLvl w:val="0"/>
        <w:rPr>
          <w:rFonts w:eastAsia="黑体"/>
          <w:color w:val="000000"/>
          <w:sz w:val="32"/>
          <w:szCs w:val="20"/>
          <w:highlight w:val="none"/>
        </w:rPr>
      </w:pPr>
      <w:bookmarkStart w:id="2102" w:name="_Toc75857128"/>
      <w:bookmarkStart w:id="2103" w:name="_Toc6252"/>
      <w:bookmarkStart w:id="2104" w:name="_Toc7916"/>
      <w:bookmarkStart w:id="2105" w:name="_Toc20523"/>
      <w:bookmarkStart w:id="2106" w:name="_Toc5901"/>
      <w:bookmarkStart w:id="2107" w:name="_Toc32053"/>
      <w:r>
        <w:rPr>
          <w:rFonts w:hint="eastAsia" w:eastAsia="黑体"/>
          <w:color w:val="000000"/>
          <w:sz w:val="32"/>
          <w:szCs w:val="20"/>
          <w:highlight w:val="none"/>
        </w:rPr>
        <w:t>三、</w:t>
      </w:r>
      <w:bookmarkEnd w:id="2102"/>
      <w:bookmarkEnd w:id="2103"/>
      <w:bookmarkEnd w:id="2104"/>
      <w:r>
        <w:rPr>
          <w:rFonts w:hint="eastAsia" w:eastAsia="黑体"/>
          <w:color w:val="000000"/>
          <w:sz w:val="32"/>
          <w:szCs w:val="20"/>
          <w:highlight w:val="none"/>
        </w:rPr>
        <w:t>技术部分</w:t>
      </w:r>
      <w:bookmarkEnd w:id="2105"/>
      <w:bookmarkEnd w:id="2106"/>
      <w:bookmarkEnd w:id="2107"/>
    </w:p>
    <w:p>
      <w:pPr>
        <w:spacing w:line="360" w:lineRule="auto"/>
        <w:ind w:firstLine="474" w:firstLineChars="226"/>
        <w:jc w:val="center"/>
        <w:rPr>
          <w:szCs w:val="22"/>
          <w:highlight w:val="none"/>
        </w:rPr>
      </w:pPr>
    </w:p>
    <w:p>
      <w:pPr>
        <w:spacing w:line="360" w:lineRule="auto"/>
        <w:jc w:val="center"/>
        <w:rPr>
          <w:szCs w:val="22"/>
          <w:highlight w:val="none"/>
        </w:rPr>
      </w:pPr>
    </w:p>
    <w:p>
      <w:pPr>
        <w:spacing w:line="360" w:lineRule="auto"/>
        <w:jc w:val="center"/>
        <w:rPr>
          <w:rFonts w:hint="eastAsia"/>
          <w:i/>
          <w:iCs/>
          <w:szCs w:val="22"/>
          <w:highlight w:val="none"/>
        </w:rPr>
      </w:pPr>
      <w:r>
        <w:rPr>
          <w:rFonts w:hint="eastAsia"/>
          <w:i/>
          <w:iCs/>
          <w:szCs w:val="22"/>
          <w:highlight w:val="none"/>
        </w:rPr>
        <w:t>[提示：不设置技术方案（或技术要点）评审的不设此部分]</w:t>
      </w:r>
    </w:p>
    <w:p>
      <w:pPr>
        <w:widowControl/>
        <w:jc w:val="center"/>
        <w:rPr>
          <w:rFonts w:eastAsia="黑体"/>
          <w:sz w:val="28"/>
          <w:szCs w:val="28"/>
          <w:highlight w:val="none"/>
        </w:rPr>
      </w:pPr>
      <w:r>
        <w:rPr>
          <w:rFonts w:hint="eastAsia"/>
          <w:szCs w:val="22"/>
          <w:highlight w:val="none"/>
        </w:rPr>
        <w:t>（注：电子投标文件技术明、暗标均不设封面）</w:t>
      </w:r>
      <w:r>
        <w:rPr>
          <w:rFonts w:eastAsia="黑体"/>
          <w:sz w:val="28"/>
          <w:szCs w:val="28"/>
          <w:highlight w:val="none"/>
        </w:rPr>
        <w:br w:type="page"/>
      </w:r>
    </w:p>
    <w:p>
      <w:pPr>
        <w:keepNext/>
        <w:keepLines/>
        <w:spacing w:before="20" w:line="412" w:lineRule="auto"/>
        <w:ind w:firstLine="137" w:firstLineChars="49"/>
        <w:jc w:val="center"/>
        <w:outlineLvl w:val="2"/>
        <w:rPr>
          <w:rFonts w:eastAsia="黑体"/>
          <w:sz w:val="28"/>
          <w:szCs w:val="20"/>
          <w:highlight w:val="none"/>
        </w:rPr>
      </w:pPr>
      <w:bookmarkStart w:id="2108" w:name="_Toc20335"/>
      <w:bookmarkStart w:id="2109" w:name="_Toc20585"/>
      <w:bookmarkStart w:id="2110" w:name="_Toc75857129"/>
      <w:bookmarkStart w:id="2111" w:name="_Toc21959"/>
      <w:bookmarkStart w:id="2112" w:name="_Toc23433"/>
      <w:bookmarkStart w:id="2113" w:name="_Toc8411"/>
      <w:r>
        <w:rPr>
          <w:rFonts w:hint="eastAsia" w:eastAsia="黑体"/>
          <w:color w:val="000000"/>
          <w:sz w:val="28"/>
          <w:szCs w:val="20"/>
          <w:highlight w:val="none"/>
        </w:rPr>
        <w:t>（一）</w:t>
      </w:r>
      <w:r>
        <w:rPr>
          <w:rFonts w:eastAsia="黑体"/>
          <w:color w:val="000000"/>
          <w:sz w:val="28"/>
          <w:szCs w:val="20"/>
          <w:highlight w:val="none"/>
        </w:rPr>
        <w:t>勘察纲要</w:t>
      </w:r>
      <w:bookmarkEnd w:id="2108"/>
      <w:bookmarkEnd w:id="2109"/>
      <w:bookmarkEnd w:id="2110"/>
      <w:bookmarkEnd w:id="2111"/>
      <w:bookmarkEnd w:id="2112"/>
      <w:bookmarkEnd w:id="2113"/>
    </w:p>
    <w:p>
      <w:pPr>
        <w:spacing w:line="360" w:lineRule="auto"/>
        <w:ind w:firstLine="420" w:firstLineChars="200"/>
        <w:rPr>
          <w:i/>
          <w:highlight w:val="none"/>
        </w:rPr>
      </w:pPr>
      <w:r>
        <w:rPr>
          <w:rFonts w:hint="eastAsia"/>
          <w:i/>
          <w:highlight w:val="none"/>
        </w:rPr>
        <w:t>[提示：采用综合评估法时]</w:t>
      </w:r>
    </w:p>
    <w:p>
      <w:pPr>
        <w:spacing w:line="360" w:lineRule="auto"/>
        <w:ind w:firstLine="420" w:firstLineChars="200"/>
        <w:rPr>
          <w:szCs w:val="21"/>
          <w:highlight w:val="none"/>
        </w:rPr>
      </w:pPr>
      <w:r>
        <w:rPr>
          <w:rFonts w:hint="eastAsia"/>
          <w:szCs w:val="21"/>
          <w:highlight w:val="none"/>
        </w:rPr>
        <w:t>勘察纲要应包括（但不限于）下列内容：</w:t>
      </w:r>
    </w:p>
    <w:p>
      <w:pPr>
        <w:pStyle w:val="2"/>
        <w:spacing w:line="360" w:lineRule="auto"/>
        <w:ind w:firstLine="840" w:firstLineChars="400"/>
        <w:rPr>
          <w:rFonts w:ascii="宋体" w:hAnsi="宋体" w:cs="宋体"/>
          <w:szCs w:val="21"/>
          <w:highlight w:val="none"/>
          <w:u w:val="single"/>
        </w:rPr>
      </w:pPr>
      <w:r>
        <w:rPr>
          <w:rFonts w:hint="eastAsia"/>
          <w:highlight w:val="none"/>
          <w:u w:val="single"/>
        </w:rPr>
        <w:t>1、</w:t>
      </w:r>
      <w:r>
        <w:rPr>
          <w:rFonts w:hint="eastAsia" w:ascii="宋体" w:hAnsi="宋体" w:cs="宋体"/>
          <w:szCs w:val="21"/>
          <w:highlight w:val="none"/>
          <w:u w:val="single"/>
        </w:rPr>
        <w:t>综合说明书</w:t>
      </w:r>
    </w:p>
    <w:p>
      <w:pPr>
        <w:pStyle w:val="2"/>
        <w:ind w:firstLine="840" w:firstLineChars="400"/>
        <w:rPr>
          <w:highlight w:val="none"/>
          <w:u w:val="single"/>
        </w:rPr>
      </w:pPr>
      <w:r>
        <w:rPr>
          <w:rFonts w:hint="eastAsia"/>
          <w:highlight w:val="none"/>
          <w:u w:val="single"/>
        </w:rPr>
        <w:t>勘察方案编制的依据、原则</w:t>
      </w:r>
    </w:p>
    <w:p>
      <w:pPr>
        <w:pStyle w:val="2"/>
        <w:ind w:firstLine="840" w:firstLineChars="400"/>
        <w:rPr>
          <w:highlight w:val="none"/>
          <w:u w:val="single"/>
        </w:rPr>
      </w:pPr>
      <w:r>
        <w:rPr>
          <w:rFonts w:hint="eastAsia"/>
          <w:highlight w:val="none"/>
          <w:u w:val="single"/>
        </w:rPr>
        <w:t>资料收集及场地工程地质条件预分析</w:t>
      </w:r>
    </w:p>
    <w:p>
      <w:pPr>
        <w:pStyle w:val="2"/>
        <w:ind w:firstLine="840" w:firstLineChars="400"/>
        <w:rPr>
          <w:highlight w:val="none"/>
          <w:u w:val="single"/>
        </w:rPr>
      </w:pPr>
      <w:r>
        <w:rPr>
          <w:rFonts w:hint="eastAsia"/>
          <w:highlight w:val="none"/>
          <w:u w:val="single"/>
        </w:rPr>
        <w:t>基础方案预分析</w:t>
      </w:r>
    </w:p>
    <w:p>
      <w:pPr>
        <w:pStyle w:val="2"/>
        <w:ind w:firstLine="840" w:firstLineChars="400"/>
        <w:rPr>
          <w:highlight w:val="none"/>
          <w:u w:val="single"/>
        </w:rPr>
      </w:pPr>
      <w:r>
        <w:rPr>
          <w:rFonts w:hint="eastAsia"/>
          <w:highlight w:val="none"/>
          <w:u w:val="single"/>
        </w:rPr>
        <w:t>勘察工作的目的及应解决的技术问题</w:t>
      </w:r>
    </w:p>
    <w:p>
      <w:pPr>
        <w:pStyle w:val="2"/>
        <w:ind w:firstLine="840" w:firstLineChars="400"/>
        <w:rPr>
          <w:highlight w:val="none"/>
          <w:u w:val="single"/>
        </w:rPr>
      </w:pPr>
      <w:r>
        <w:rPr>
          <w:rFonts w:hint="eastAsia"/>
          <w:highlight w:val="none"/>
          <w:u w:val="single"/>
        </w:rPr>
        <w:t>2、勘察方案的编制</w:t>
      </w:r>
    </w:p>
    <w:p>
      <w:pPr>
        <w:pStyle w:val="2"/>
        <w:ind w:firstLine="840" w:firstLineChars="400"/>
        <w:rPr>
          <w:highlight w:val="none"/>
          <w:u w:val="single"/>
        </w:rPr>
      </w:pPr>
      <w:r>
        <w:rPr>
          <w:rFonts w:hint="eastAsia"/>
          <w:highlight w:val="none"/>
          <w:u w:val="single"/>
        </w:rPr>
        <w:t>勘探孔（钻孔、原位测试孔、螺纹孔）平面布置</w:t>
      </w:r>
    </w:p>
    <w:p>
      <w:pPr>
        <w:pStyle w:val="2"/>
        <w:ind w:firstLine="840" w:firstLineChars="400"/>
        <w:rPr>
          <w:highlight w:val="none"/>
          <w:u w:val="single"/>
        </w:rPr>
      </w:pPr>
      <w:r>
        <w:rPr>
          <w:rFonts w:hint="eastAsia"/>
          <w:highlight w:val="none"/>
          <w:u w:val="single"/>
        </w:rPr>
        <w:t>勘探孔（钻孔、原位测试孔、螺纹孔）深度</w:t>
      </w:r>
    </w:p>
    <w:p>
      <w:pPr>
        <w:pStyle w:val="2"/>
        <w:ind w:firstLine="840" w:firstLineChars="400"/>
        <w:rPr>
          <w:highlight w:val="none"/>
          <w:u w:val="single"/>
        </w:rPr>
      </w:pPr>
      <w:r>
        <w:rPr>
          <w:rFonts w:hint="eastAsia"/>
          <w:highlight w:val="none"/>
          <w:u w:val="single"/>
        </w:rPr>
        <w:t>取土与标贯的数量及间距</w:t>
      </w:r>
    </w:p>
    <w:p>
      <w:pPr>
        <w:pStyle w:val="2"/>
        <w:ind w:firstLine="840" w:firstLineChars="400"/>
        <w:rPr>
          <w:highlight w:val="none"/>
          <w:u w:val="single"/>
        </w:rPr>
      </w:pPr>
      <w:r>
        <w:rPr>
          <w:rFonts w:hint="eastAsia"/>
          <w:highlight w:val="none"/>
          <w:u w:val="single"/>
        </w:rPr>
        <w:t>室内土水试验内容及数量</w:t>
      </w:r>
    </w:p>
    <w:p>
      <w:pPr>
        <w:pStyle w:val="2"/>
        <w:ind w:firstLine="840" w:firstLineChars="400"/>
        <w:rPr>
          <w:highlight w:val="none"/>
          <w:u w:val="single"/>
        </w:rPr>
      </w:pPr>
      <w:r>
        <w:rPr>
          <w:rFonts w:hint="eastAsia"/>
          <w:highlight w:val="none"/>
          <w:u w:val="single"/>
        </w:rPr>
        <w:t>3、勘察报告书</w:t>
      </w:r>
    </w:p>
    <w:p>
      <w:pPr>
        <w:pStyle w:val="2"/>
        <w:ind w:firstLine="840" w:firstLineChars="400"/>
        <w:rPr>
          <w:highlight w:val="none"/>
          <w:u w:val="single"/>
        </w:rPr>
      </w:pPr>
      <w:r>
        <w:rPr>
          <w:rFonts w:hint="eastAsia"/>
          <w:highlight w:val="none"/>
          <w:u w:val="single"/>
        </w:rPr>
        <w:t>拟定的勘察报告书内容和提交的主要图表</w:t>
      </w:r>
    </w:p>
    <w:p>
      <w:pPr>
        <w:pStyle w:val="2"/>
        <w:ind w:firstLine="840" w:firstLineChars="400"/>
        <w:rPr>
          <w:highlight w:val="none"/>
          <w:u w:val="single"/>
        </w:rPr>
      </w:pPr>
      <w:r>
        <w:rPr>
          <w:rFonts w:hint="eastAsia"/>
          <w:highlight w:val="none"/>
          <w:u w:val="single"/>
        </w:rPr>
        <w:t>4、质保措施和技术措施</w:t>
      </w:r>
    </w:p>
    <w:p>
      <w:pPr>
        <w:pStyle w:val="2"/>
        <w:spacing w:line="360" w:lineRule="auto"/>
        <w:ind w:firstLine="840" w:firstLineChars="400"/>
        <w:rPr>
          <w:highlight w:val="none"/>
          <w:u w:val="single"/>
        </w:rPr>
      </w:pPr>
      <w:r>
        <w:rPr>
          <w:rFonts w:hint="eastAsia"/>
          <w:highlight w:val="none"/>
          <w:u w:val="single"/>
        </w:rPr>
        <w:t>质保措施、机具设备配置、施工措施等</w:t>
      </w:r>
    </w:p>
    <w:p>
      <w:pPr>
        <w:spacing w:line="300" w:lineRule="auto"/>
        <w:ind w:firstLine="420" w:firstLineChars="200"/>
        <w:rPr>
          <w:i/>
          <w:highlight w:val="none"/>
        </w:rPr>
      </w:pPr>
    </w:p>
    <w:p>
      <w:pPr>
        <w:spacing w:line="300" w:lineRule="auto"/>
        <w:ind w:firstLine="420" w:firstLineChars="200"/>
        <w:rPr>
          <w:i/>
          <w:highlight w:val="none"/>
        </w:rPr>
      </w:pPr>
      <w:r>
        <w:rPr>
          <w:i/>
          <w:highlight w:val="none"/>
        </w:rPr>
        <w:t>[</w:t>
      </w:r>
      <w:r>
        <w:rPr>
          <w:rFonts w:hint="eastAsia"/>
          <w:i/>
          <w:highlight w:val="none"/>
        </w:rPr>
        <w:t>提示：采用经评审的最低投标价时</w:t>
      </w:r>
      <w:r>
        <w:rPr>
          <w:i/>
          <w:highlight w:val="none"/>
        </w:rPr>
        <w:t>]</w:t>
      </w:r>
    </w:p>
    <w:p>
      <w:pPr>
        <w:spacing w:line="300" w:lineRule="auto"/>
        <w:ind w:firstLine="420" w:firstLineChars="200"/>
        <w:rPr>
          <w:szCs w:val="21"/>
          <w:highlight w:val="none"/>
        </w:rPr>
      </w:pPr>
      <w:r>
        <w:rPr>
          <w:rFonts w:hint="eastAsia"/>
          <w:szCs w:val="21"/>
          <w:highlight w:val="none"/>
        </w:rPr>
        <w:t>勘察纲要应包括（但不限于）下列内容：</w:t>
      </w:r>
    </w:p>
    <w:p>
      <w:pPr>
        <w:numPr>
          <w:ilvl w:val="0"/>
          <w:numId w:val="2"/>
        </w:numPr>
        <w:spacing w:line="360" w:lineRule="auto"/>
        <w:rPr>
          <w:rFonts w:ascii="宋体" w:hAnsi="宋体"/>
          <w:color w:val="000000"/>
          <w:szCs w:val="21"/>
          <w:highlight w:val="none"/>
          <w:u w:val="single"/>
        </w:rPr>
      </w:pPr>
      <w:r>
        <w:rPr>
          <w:rFonts w:hint="eastAsia" w:ascii="宋体" w:hAnsi="宋体"/>
          <w:color w:val="000000"/>
          <w:szCs w:val="21"/>
          <w:highlight w:val="none"/>
          <w:u w:val="single"/>
        </w:rPr>
        <w:t>勘察方案编制的依据及编制原则是否正确；</w:t>
      </w:r>
    </w:p>
    <w:p>
      <w:pPr>
        <w:numPr>
          <w:ilvl w:val="0"/>
          <w:numId w:val="2"/>
        </w:numPr>
        <w:spacing w:line="360" w:lineRule="auto"/>
        <w:rPr>
          <w:rFonts w:ascii="宋体" w:hAnsi="宋体"/>
          <w:color w:val="000000"/>
          <w:szCs w:val="21"/>
          <w:highlight w:val="none"/>
          <w:u w:val="single"/>
        </w:rPr>
      </w:pPr>
      <w:r>
        <w:rPr>
          <w:rFonts w:hint="eastAsia" w:ascii="宋体" w:hAnsi="宋体"/>
          <w:szCs w:val="21"/>
          <w:highlight w:val="none"/>
          <w:u w:val="single"/>
        </w:rPr>
        <w:t>收集的资料及场地工程地质条件预分析是否可信；</w:t>
      </w:r>
      <w:r>
        <w:rPr>
          <w:rFonts w:ascii="宋体" w:hAnsi="宋体"/>
          <w:color w:val="000000"/>
          <w:szCs w:val="21"/>
          <w:highlight w:val="none"/>
          <w:u w:val="single"/>
        </w:rPr>
        <w:t xml:space="preserve"> </w:t>
      </w:r>
    </w:p>
    <w:p>
      <w:pPr>
        <w:numPr>
          <w:ilvl w:val="0"/>
          <w:numId w:val="2"/>
        </w:numPr>
        <w:spacing w:line="360" w:lineRule="auto"/>
        <w:rPr>
          <w:rFonts w:ascii="宋体" w:hAnsi="宋体"/>
          <w:color w:val="000000"/>
          <w:szCs w:val="21"/>
          <w:highlight w:val="none"/>
          <w:u w:val="single"/>
        </w:rPr>
      </w:pPr>
      <w:r>
        <w:rPr>
          <w:rFonts w:hint="eastAsia" w:ascii="宋体" w:hAnsi="宋体"/>
          <w:color w:val="000000"/>
          <w:szCs w:val="21"/>
          <w:highlight w:val="none"/>
          <w:u w:val="single"/>
        </w:rPr>
        <w:t>地基基础方案预分析是否合理；</w:t>
      </w:r>
    </w:p>
    <w:p>
      <w:pPr>
        <w:numPr>
          <w:ilvl w:val="0"/>
          <w:numId w:val="2"/>
        </w:numPr>
        <w:spacing w:line="360" w:lineRule="auto"/>
        <w:rPr>
          <w:rFonts w:ascii="宋体" w:hAnsi="宋体"/>
          <w:color w:val="000000"/>
          <w:szCs w:val="21"/>
          <w:highlight w:val="none"/>
          <w:u w:val="single"/>
        </w:rPr>
      </w:pPr>
      <w:r>
        <w:rPr>
          <w:rFonts w:hint="eastAsia" w:ascii="宋体" w:hAnsi="宋体"/>
          <w:color w:val="000000"/>
          <w:szCs w:val="21"/>
          <w:highlight w:val="none"/>
          <w:u w:val="single"/>
        </w:rPr>
        <w:t>勘察的目的及需要解决的技术问题是否有针对性；</w:t>
      </w:r>
      <w:r>
        <w:rPr>
          <w:rFonts w:ascii="宋体" w:hAnsi="宋体"/>
          <w:color w:val="000000"/>
          <w:szCs w:val="21"/>
          <w:highlight w:val="none"/>
          <w:u w:val="single"/>
        </w:rPr>
        <w:t xml:space="preserve"> </w:t>
      </w:r>
    </w:p>
    <w:p>
      <w:pPr>
        <w:numPr>
          <w:ilvl w:val="0"/>
          <w:numId w:val="2"/>
        </w:numPr>
        <w:spacing w:line="360" w:lineRule="auto"/>
        <w:rPr>
          <w:rFonts w:ascii="宋体" w:hAnsi="宋体"/>
          <w:color w:val="000000"/>
          <w:szCs w:val="21"/>
          <w:highlight w:val="none"/>
          <w:u w:val="single"/>
        </w:rPr>
      </w:pPr>
      <w:r>
        <w:rPr>
          <w:rFonts w:hint="eastAsia" w:ascii="宋体" w:hAnsi="宋体"/>
          <w:szCs w:val="21"/>
          <w:highlight w:val="none"/>
          <w:u w:val="single"/>
        </w:rPr>
        <w:t>勘探孔（钻孔、原位测试孔、螺纹孔）平面布置是否合理；</w:t>
      </w:r>
      <w:r>
        <w:rPr>
          <w:rFonts w:ascii="宋体" w:hAnsi="宋体"/>
          <w:color w:val="000000"/>
          <w:szCs w:val="21"/>
          <w:highlight w:val="none"/>
          <w:u w:val="single"/>
        </w:rPr>
        <w:t xml:space="preserve"> </w:t>
      </w:r>
    </w:p>
    <w:p>
      <w:pPr>
        <w:numPr>
          <w:ilvl w:val="0"/>
          <w:numId w:val="2"/>
        </w:numPr>
        <w:spacing w:line="360" w:lineRule="auto"/>
        <w:rPr>
          <w:rFonts w:ascii="宋体" w:hAnsi="宋体"/>
          <w:color w:val="000000"/>
          <w:szCs w:val="21"/>
          <w:highlight w:val="none"/>
          <w:u w:val="single"/>
        </w:rPr>
      </w:pPr>
      <w:r>
        <w:rPr>
          <w:rFonts w:hint="eastAsia" w:ascii="宋体" w:hAnsi="宋体"/>
          <w:szCs w:val="21"/>
          <w:highlight w:val="none"/>
          <w:u w:val="single"/>
        </w:rPr>
        <w:t>勘探孔（钻孔、原位测试孔、螺纹孔）深度是否合理；</w:t>
      </w:r>
      <w:r>
        <w:rPr>
          <w:rFonts w:ascii="宋体" w:hAnsi="宋体"/>
          <w:color w:val="000000"/>
          <w:szCs w:val="21"/>
          <w:highlight w:val="none"/>
          <w:u w:val="single"/>
        </w:rPr>
        <w:t xml:space="preserve"> </w:t>
      </w:r>
    </w:p>
    <w:p>
      <w:pPr>
        <w:numPr>
          <w:ilvl w:val="0"/>
          <w:numId w:val="2"/>
        </w:numPr>
        <w:spacing w:line="360" w:lineRule="auto"/>
        <w:rPr>
          <w:rFonts w:ascii="宋体" w:hAnsi="宋体"/>
          <w:color w:val="000000"/>
          <w:szCs w:val="21"/>
          <w:highlight w:val="none"/>
          <w:u w:val="single"/>
        </w:rPr>
      </w:pPr>
      <w:r>
        <w:rPr>
          <w:rFonts w:hint="eastAsia" w:ascii="宋体" w:hAnsi="宋体"/>
          <w:szCs w:val="21"/>
          <w:highlight w:val="none"/>
          <w:u w:val="single"/>
        </w:rPr>
        <w:t>取土、标贯的数量及间距是否恰当；</w:t>
      </w:r>
    </w:p>
    <w:p>
      <w:pPr>
        <w:numPr>
          <w:ilvl w:val="0"/>
          <w:numId w:val="2"/>
        </w:numPr>
        <w:spacing w:line="360" w:lineRule="auto"/>
        <w:rPr>
          <w:rFonts w:ascii="宋体" w:hAnsi="宋体"/>
          <w:color w:val="000000"/>
          <w:szCs w:val="21"/>
          <w:highlight w:val="none"/>
          <w:u w:val="single"/>
        </w:rPr>
      </w:pPr>
      <w:r>
        <w:rPr>
          <w:rFonts w:hint="eastAsia" w:ascii="宋体" w:hAnsi="宋体"/>
          <w:szCs w:val="21"/>
          <w:highlight w:val="none"/>
          <w:u w:val="single"/>
        </w:rPr>
        <w:t>室内土水试验内容及数量是否恰当；</w:t>
      </w:r>
    </w:p>
    <w:p>
      <w:pPr>
        <w:numPr>
          <w:ilvl w:val="0"/>
          <w:numId w:val="2"/>
        </w:numPr>
        <w:spacing w:line="360" w:lineRule="auto"/>
        <w:rPr>
          <w:rFonts w:ascii="宋体" w:hAnsi="宋体"/>
          <w:color w:val="000000"/>
          <w:szCs w:val="21"/>
          <w:highlight w:val="none"/>
          <w:u w:val="single"/>
        </w:rPr>
      </w:pPr>
      <w:r>
        <w:rPr>
          <w:rFonts w:hint="eastAsia" w:ascii="宋体" w:hAnsi="宋体"/>
          <w:color w:val="000000"/>
          <w:szCs w:val="21"/>
          <w:highlight w:val="none"/>
          <w:u w:val="single"/>
        </w:rPr>
        <w:t>拟定的勘察报告书内容和主要的图表是否合理；</w:t>
      </w:r>
    </w:p>
    <w:p>
      <w:pPr>
        <w:numPr>
          <w:ilvl w:val="0"/>
          <w:numId w:val="2"/>
        </w:numPr>
        <w:spacing w:line="360" w:lineRule="auto"/>
        <w:rPr>
          <w:rFonts w:ascii="宋体" w:hAnsi="宋体"/>
          <w:color w:val="000000"/>
          <w:szCs w:val="21"/>
          <w:highlight w:val="none"/>
          <w:u w:val="single"/>
        </w:rPr>
      </w:pPr>
      <w:r>
        <w:rPr>
          <w:rFonts w:hint="eastAsia" w:ascii="宋体" w:hAnsi="宋体"/>
          <w:color w:val="000000"/>
          <w:szCs w:val="21"/>
          <w:highlight w:val="none"/>
          <w:u w:val="single"/>
        </w:rPr>
        <w:t>质量保证措施是否可行；</w:t>
      </w:r>
    </w:p>
    <w:p>
      <w:pPr>
        <w:numPr>
          <w:ilvl w:val="0"/>
          <w:numId w:val="2"/>
        </w:numPr>
        <w:spacing w:line="360" w:lineRule="auto"/>
        <w:rPr>
          <w:rFonts w:ascii="宋体" w:hAnsi="宋体"/>
          <w:color w:val="000000"/>
          <w:szCs w:val="21"/>
          <w:highlight w:val="none"/>
          <w:u w:val="single"/>
        </w:rPr>
      </w:pPr>
      <w:r>
        <w:rPr>
          <w:rFonts w:hint="eastAsia" w:ascii="宋体" w:hAnsi="宋体" w:cs="宋体"/>
          <w:szCs w:val="21"/>
          <w:highlight w:val="none"/>
          <w:u w:val="single"/>
        </w:rPr>
        <w:t>工期安排是否合理；</w:t>
      </w:r>
    </w:p>
    <w:p>
      <w:pPr>
        <w:pStyle w:val="2"/>
        <w:rPr>
          <w:highlight w:val="none"/>
        </w:rPr>
      </w:pPr>
    </w:p>
    <w:p>
      <w:pPr>
        <w:pStyle w:val="4"/>
        <w:spacing w:line="360" w:lineRule="auto"/>
        <w:jc w:val="center"/>
        <w:outlineLvl w:val="0"/>
        <w:rPr>
          <w:rFonts w:ascii="宋体" w:hAnsi="宋体" w:cs="宋体"/>
          <w:b w:val="0"/>
          <w:bCs w:val="0"/>
          <w:sz w:val="44"/>
          <w:szCs w:val="44"/>
          <w:highlight w:val="none"/>
        </w:rPr>
      </w:pPr>
      <w:bookmarkStart w:id="2114" w:name="_Toc16932"/>
      <w:bookmarkStart w:id="2115" w:name="_Toc20663"/>
      <w:bookmarkStart w:id="2116" w:name="_Toc232"/>
      <w:bookmarkStart w:id="2117" w:name="_Toc75857130"/>
      <w:bookmarkStart w:id="2118" w:name="_Toc17207"/>
      <w:bookmarkStart w:id="2119" w:name="_Toc22263"/>
      <w:r>
        <w:rPr>
          <w:rFonts w:hint="eastAsia" w:ascii="宋体" w:hAnsi="宋体" w:cs="宋体"/>
          <w:b w:val="0"/>
          <w:bCs w:val="0"/>
          <w:sz w:val="44"/>
          <w:szCs w:val="44"/>
          <w:highlight w:val="none"/>
        </w:rPr>
        <w:t>四、</w:t>
      </w:r>
      <w:bookmarkEnd w:id="2072"/>
      <w:r>
        <w:rPr>
          <w:rFonts w:hint="eastAsia" w:ascii="宋体" w:hAnsi="宋体" w:cs="宋体"/>
          <w:b w:val="0"/>
          <w:bCs w:val="0"/>
          <w:sz w:val="44"/>
          <w:szCs w:val="44"/>
          <w:highlight w:val="none"/>
        </w:rPr>
        <w:t>资格审查部分</w:t>
      </w:r>
      <w:bookmarkEnd w:id="2114"/>
      <w:bookmarkEnd w:id="2115"/>
      <w:bookmarkEnd w:id="2116"/>
      <w:bookmarkEnd w:id="2117"/>
      <w:bookmarkEnd w:id="2118"/>
      <w:bookmarkEnd w:id="2119"/>
    </w:p>
    <w:p>
      <w:pPr>
        <w:widowControl/>
        <w:jc w:val="left"/>
        <w:rPr>
          <w:rFonts w:ascii="宋体" w:hAnsi="宋体" w:cs="宋体"/>
          <w:sz w:val="44"/>
          <w:szCs w:val="44"/>
          <w:highlight w:val="none"/>
        </w:rPr>
      </w:pPr>
      <w:r>
        <w:rPr>
          <w:rFonts w:ascii="宋体" w:hAnsi="宋体" w:cs="宋体"/>
          <w:b/>
          <w:bCs/>
          <w:sz w:val="44"/>
          <w:szCs w:val="44"/>
          <w:highlight w:val="none"/>
        </w:rPr>
        <w:br w:type="page"/>
      </w:r>
    </w:p>
    <w:p>
      <w:pPr>
        <w:spacing w:line="400" w:lineRule="exact"/>
        <w:rPr>
          <w:szCs w:val="22"/>
          <w:highlight w:val="none"/>
        </w:rPr>
      </w:pPr>
    </w:p>
    <w:p>
      <w:pPr>
        <w:jc w:val="center"/>
        <w:outlineLvl w:val="9"/>
        <w:rPr>
          <w:rFonts w:eastAsia="黑体"/>
          <w:sz w:val="28"/>
          <w:szCs w:val="28"/>
          <w:highlight w:val="none"/>
          <w:u w:val="single"/>
        </w:rPr>
      </w:pPr>
      <w:r>
        <w:rPr>
          <w:rFonts w:eastAsia="黑体"/>
          <w:sz w:val="28"/>
          <w:szCs w:val="28"/>
          <w:highlight w:val="none"/>
          <w:u w:val="single"/>
        </w:rPr>
        <w:t xml:space="preserve">        （项目名称）</w:t>
      </w:r>
      <w:r>
        <w:rPr>
          <w:rFonts w:hint="eastAsia" w:eastAsia="黑体"/>
          <w:sz w:val="28"/>
          <w:szCs w:val="28"/>
          <w:highlight w:val="none"/>
          <w:u w:val="single"/>
        </w:rPr>
        <w:t xml:space="preserve">    </w:t>
      </w:r>
    </w:p>
    <w:p>
      <w:pPr>
        <w:rPr>
          <w:rFonts w:eastAsia="黑体"/>
          <w:color w:val="000000"/>
          <w:sz w:val="20"/>
          <w:szCs w:val="22"/>
          <w:highlight w:val="none"/>
        </w:rPr>
      </w:pPr>
    </w:p>
    <w:p>
      <w:pPr>
        <w:rPr>
          <w:rFonts w:eastAsia="黑体"/>
          <w:color w:val="000000"/>
          <w:sz w:val="20"/>
          <w:szCs w:val="22"/>
          <w:highlight w:val="none"/>
        </w:rPr>
      </w:pPr>
    </w:p>
    <w:p>
      <w:pPr>
        <w:jc w:val="center"/>
        <w:rPr>
          <w:rFonts w:eastAsia="黑体"/>
          <w:color w:val="000000"/>
          <w:sz w:val="44"/>
          <w:szCs w:val="22"/>
          <w:highlight w:val="none"/>
        </w:rPr>
      </w:pPr>
      <w:r>
        <w:rPr>
          <w:rFonts w:eastAsia="黑体"/>
          <w:color w:val="000000"/>
          <w:sz w:val="44"/>
          <w:szCs w:val="22"/>
          <w:highlight w:val="none"/>
        </w:rPr>
        <w:t>投 标 文 件</w:t>
      </w:r>
    </w:p>
    <w:p>
      <w:pPr>
        <w:spacing w:line="400" w:lineRule="exact"/>
        <w:rPr>
          <w:szCs w:val="22"/>
          <w:highlight w:val="none"/>
        </w:rPr>
      </w:pPr>
    </w:p>
    <w:p>
      <w:pPr>
        <w:spacing w:line="400" w:lineRule="exact"/>
        <w:rPr>
          <w:szCs w:val="22"/>
          <w:highlight w:val="none"/>
        </w:rPr>
      </w:pPr>
    </w:p>
    <w:p>
      <w:pPr>
        <w:autoSpaceDE w:val="0"/>
        <w:autoSpaceDN w:val="0"/>
        <w:adjustRightInd w:val="0"/>
        <w:snapToGrid w:val="0"/>
        <w:spacing w:line="360" w:lineRule="auto"/>
        <w:jc w:val="center"/>
        <w:rPr>
          <w:rFonts w:ascii="宋体" w:hAnsi="宋体"/>
          <w:kern w:val="0"/>
          <w:sz w:val="36"/>
          <w:szCs w:val="36"/>
          <w:highlight w:val="none"/>
        </w:rPr>
      </w:pPr>
      <w:r>
        <w:rPr>
          <w:rFonts w:hint="eastAsia" w:ascii="宋体" w:hAnsi="宋体"/>
          <w:kern w:val="0"/>
          <w:sz w:val="36"/>
          <w:szCs w:val="36"/>
          <w:highlight w:val="none"/>
        </w:rPr>
        <w:t>资格审查部分</w:t>
      </w:r>
    </w:p>
    <w:p>
      <w:pPr>
        <w:jc w:val="center"/>
        <w:rPr>
          <w:rFonts w:eastAsia="黑体"/>
          <w:sz w:val="20"/>
          <w:szCs w:val="22"/>
          <w:highlight w:val="none"/>
        </w:rPr>
      </w:pPr>
    </w:p>
    <w:p>
      <w:pPr>
        <w:jc w:val="center"/>
        <w:rPr>
          <w:rFonts w:eastAsia="黑体"/>
          <w:color w:val="000000"/>
          <w:sz w:val="44"/>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rPr>
          <w:rFonts w:eastAsia="黑体"/>
          <w:color w:val="000000"/>
          <w:sz w:val="28"/>
          <w:szCs w:val="22"/>
          <w:highlight w:val="none"/>
        </w:rPr>
      </w:pPr>
    </w:p>
    <w:p>
      <w:pPr>
        <w:spacing w:line="360" w:lineRule="auto"/>
        <w:ind w:firstLine="1120" w:firstLineChars="400"/>
        <w:rPr>
          <w:rFonts w:eastAsia="黑体"/>
          <w:color w:val="000000"/>
          <w:sz w:val="28"/>
          <w:szCs w:val="22"/>
          <w:highlight w:val="none"/>
          <w:u w:val="single"/>
        </w:rPr>
      </w:pPr>
      <w:r>
        <w:rPr>
          <w:rFonts w:eastAsia="黑体"/>
          <w:color w:val="000000"/>
          <w:sz w:val="28"/>
          <w:szCs w:val="22"/>
          <w:highlight w:val="none"/>
        </w:rPr>
        <w:t>投标人：</w:t>
      </w:r>
      <w:r>
        <w:rPr>
          <w:color w:val="000000"/>
          <w:szCs w:val="22"/>
          <w:highlight w:val="none"/>
          <w:u w:val="single"/>
        </w:rPr>
        <w:t xml:space="preserve">                                            </w:t>
      </w:r>
      <w:r>
        <w:rPr>
          <w:rFonts w:eastAsia="黑体"/>
          <w:color w:val="000000"/>
          <w:sz w:val="28"/>
          <w:szCs w:val="22"/>
          <w:highlight w:val="none"/>
        </w:rPr>
        <w:t>（</w:t>
      </w:r>
      <w:r>
        <w:rPr>
          <w:rFonts w:hint="eastAsia" w:eastAsia="黑体"/>
          <w:color w:val="000000"/>
          <w:sz w:val="28"/>
          <w:szCs w:val="22"/>
          <w:highlight w:val="none"/>
        </w:rPr>
        <w:t>盖单位法人章</w:t>
      </w:r>
      <w:r>
        <w:rPr>
          <w:rFonts w:eastAsia="黑体"/>
          <w:color w:val="000000"/>
          <w:sz w:val="28"/>
          <w:szCs w:val="22"/>
          <w:highlight w:val="none"/>
        </w:rPr>
        <w:t>）</w:t>
      </w:r>
    </w:p>
    <w:p>
      <w:pPr>
        <w:spacing w:line="360" w:lineRule="auto"/>
        <w:ind w:firstLine="1120" w:firstLineChars="400"/>
        <w:jc w:val="left"/>
        <w:rPr>
          <w:rFonts w:eastAsia="黑体"/>
          <w:color w:val="000000"/>
          <w:sz w:val="28"/>
          <w:szCs w:val="22"/>
          <w:highlight w:val="none"/>
        </w:rPr>
      </w:pPr>
      <w:r>
        <w:rPr>
          <w:rFonts w:eastAsia="黑体"/>
          <w:color w:val="000000"/>
          <w:sz w:val="28"/>
          <w:szCs w:val="22"/>
          <w:highlight w:val="none"/>
        </w:rPr>
        <w:t>法定代表人或其委托代理人：</w:t>
      </w:r>
      <w:r>
        <w:rPr>
          <w:color w:val="000000"/>
          <w:szCs w:val="22"/>
          <w:highlight w:val="none"/>
          <w:u w:val="single"/>
        </w:rPr>
        <w:t xml:space="preserve">    </w:t>
      </w:r>
      <w:r>
        <w:rPr>
          <w:rFonts w:hint="eastAsia"/>
          <w:color w:val="000000"/>
          <w:szCs w:val="22"/>
          <w:highlight w:val="none"/>
          <w:u w:val="single"/>
        </w:rPr>
        <w:t xml:space="preserve">   </w:t>
      </w:r>
      <w:r>
        <w:rPr>
          <w:color w:val="000000"/>
          <w:szCs w:val="22"/>
          <w:highlight w:val="none"/>
          <w:u w:val="single"/>
        </w:rPr>
        <w:t xml:space="preserve">   </w:t>
      </w:r>
      <w:r>
        <w:rPr>
          <w:rFonts w:eastAsia="黑体"/>
          <w:color w:val="000000"/>
          <w:sz w:val="28"/>
          <w:szCs w:val="22"/>
          <w:highlight w:val="none"/>
        </w:rPr>
        <w:t>（签名或盖章）</w:t>
      </w:r>
    </w:p>
    <w:p>
      <w:pPr>
        <w:widowControl/>
        <w:ind w:firstLine="2730" w:firstLineChars="1300"/>
        <w:jc w:val="left"/>
        <w:rPr>
          <w:rFonts w:eastAsia="黑体"/>
          <w:color w:val="000000"/>
          <w:sz w:val="28"/>
          <w:szCs w:val="22"/>
          <w:highlight w:val="none"/>
        </w:rPr>
      </w:pPr>
      <w:r>
        <w:rPr>
          <w:color w:val="000000"/>
          <w:szCs w:val="22"/>
          <w:highlight w:val="none"/>
          <w:u w:val="single"/>
        </w:rPr>
        <w:t xml:space="preserve">       </w:t>
      </w:r>
      <w:r>
        <w:rPr>
          <w:rFonts w:eastAsia="黑体"/>
          <w:color w:val="000000"/>
          <w:sz w:val="28"/>
          <w:szCs w:val="22"/>
          <w:highlight w:val="none"/>
        </w:rPr>
        <w:t>年</w:t>
      </w:r>
      <w:r>
        <w:rPr>
          <w:color w:val="000000"/>
          <w:szCs w:val="22"/>
          <w:highlight w:val="none"/>
          <w:u w:val="single"/>
        </w:rPr>
        <w:t xml:space="preserve">       </w:t>
      </w:r>
      <w:r>
        <w:rPr>
          <w:rFonts w:eastAsia="黑体"/>
          <w:color w:val="000000"/>
          <w:sz w:val="28"/>
          <w:szCs w:val="22"/>
          <w:highlight w:val="none"/>
        </w:rPr>
        <w:t>月</w:t>
      </w:r>
      <w:r>
        <w:rPr>
          <w:color w:val="000000"/>
          <w:szCs w:val="22"/>
          <w:highlight w:val="none"/>
          <w:u w:val="single"/>
        </w:rPr>
        <w:t xml:space="preserve">       </w:t>
      </w:r>
      <w:r>
        <w:rPr>
          <w:rFonts w:eastAsia="黑体"/>
          <w:color w:val="000000"/>
          <w:sz w:val="28"/>
          <w:szCs w:val="22"/>
          <w:highlight w:val="none"/>
        </w:rPr>
        <w:t>日</w:t>
      </w:r>
    </w:p>
    <w:p>
      <w:pPr>
        <w:pStyle w:val="2"/>
        <w:rPr>
          <w:highlight w:val="none"/>
        </w:rPr>
      </w:pPr>
    </w:p>
    <w:p>
      <w:pPr>
        <w:keepNext/>
        <w:keepLines/>
        <w:spacing w:before="20" w:line="412" w:lineRule="auto"/>
        <w:ind w:firstLine="137" w:firstLineChars="49"/>
        <w:jc w:val="center"/>
        <w:outlineLvl w:val="1"/>
        <w:rPr>
          <w:rFonts w:eastAsia="黑体"/>
          <w:color w:val="000000"/>
          <w:sz w:val="28"/>
          <w:szCs w:val="20"/>
          <w:highlight w:val="none"/>
        </w:rPr>
      </w:pPr>
      <w:bookmarkStart w:id="2120" w:name="_Toc20217"/>
      <w:bookmarkStart w:id="2121" w:name="_Toc75857131"/>
      <w:bookmarkStart w:id="2122" w:name="_Toc2349"/>
      <w:bookmarkStart w:id="2123" w:name="_Toc492300949"/>
      <w:bookmarkStart w:id="2124" w:name="_Toc15820"/>
      <w:bookmarkStart w:id="2125" w:name="_Toc29657"/>
      <w:bookmarkStart w:id="2126" w:name="_Toc25673"/>
      <w:r>
        <w:rPr>
          <w:rFonts w:hint="eastAsia" w:eastAsia="黑体"/>
          <w:color w:val="000000"/>
          <w:sz w:val="28"/>
          <w:szCs w:val="20"/>
          <w:highlight w:val="none"/>
        </w:rPr>
        <w:t>（一）基本情况表</w:t>
      </w:r>
      <w:bookmarkEnd w:id="2120"/>
      <w:bookmarkEnd w:id="2121"/>
      <w:bookmarkEnd w:id="2122"/>
      <w:bookmarkEnd w:id="2123"/>
      <w:bookmarkEnd w:id="2124"/>
      <w:bookmarkEnd w:id="2125"/>
      <w:bookmarkEnd w:id="2126"/>
    </w:p>
    <w:tbl>
      <w:tblPr>
        <w:tblStyle w:val="55"/>
        <w:tblW w:w="8886"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898"/>
        <w:gridCol w:w="1026"/>
        <w:gridCol w:w="1287"/>
        <w:gridCol w:w="414"/>
        <w:gridCol w:w="873"/>
        <w:gridCol w:w="828"/>
        <w:gridCol w:w="284"/>
        <w:gridCol w:w="12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33"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投标人名称</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1"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注册地址</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9" w:hRule="atLeast"/>
          <w:jc w:val="center"/>
        </w:trPr>
        <w:tc>
          <w:tcPr>
            <w:tcW w:w="2046"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联系人</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电</w:t>
            </w:r>
            <w:r>
              <w:rPr>
                <w:szCs w:val="22"/>
                <w:highlight w:val="none"/>
              </w:rPr>
              <w:t xml:space="preserve"> </w:t>
            </w:r>
            <w:r>
              <w:rPr>
                <w:rFonts w:hint="eastAsia"/>
                <w:szCs w:val="22"/>
                <w:highlight w:val="none"/>
              </w:rPr>
              <w:t>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9" w:hRule="atLeast"/>
          <w:jc w:val="center"/>
        </w:trPr>
        <w:tc>
          <w:tcPr>
            <w:tcW w:w="2046" w:type="dxa"/>
            <w:vMerge w:val="continue"/>
            <w:tcBorders>
              <w:top w:val="single" w:color="auto" w:sz="4" w:space="0"/>
              <w:left w:val="single" w:color="auto" w:sz="4" w:space="0"/>
              <w:bottom w:val="single" w:color="auto" w:sz="4" w:space="0"/>
              <w:right w:val="single" w:color="auto" w:sz="4" w:space="0"/>
            </w:tcBorders>
            <w:vAlign w:val="center"/>
          </w:tcPr>
          <w:p>
            <w:pPr>
              <w:jc w:val="center"/>
              <w:rPr>
                <w:szCs w:val="22"/>
                <w:highlight w:val="none"/>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传</w:t>
            </w:r>
            <w:r>
              <w:rPr>
                <w:szCs w:val="22"/>
                <w:highlight w:val="none"/>
              </w:rPr>
              <w:t xml:space="preserve">  </w:t>
            </w:r>
            <w:r>
              <w:rPr>
                <w:rFonts w:hint="eastAsia"/>
                <w:szCs w:val="22"/>
                <w:highlight w:val="none"/>
              </w:rPr>
              <w:t>真</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网</w:t>
            </w:r>
            <w:r>
              <w:rPr>
                <w:szCs w:val="22"/>
                <w:highlight w:val="none"/>
              </w:rPr>
              <w:t xml:space="preserve"> </w:t>
            </w:r>
            <w:r>
              <w:rPr>
                <w:rFonts w:hint="eastAsia"/>
                <w:szCs w:val="22"/>
                <w:highlight w:val="none"/>
              </w:rPr>
              <w:t>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2"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1112"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92"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1"/>
                <w:highlight w:val="none"/>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1112"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54"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企业</w:t>
            </w:r>
            <w:r>
              <w:rPr>
                <w:rFonts w:hint="eastAsia"/>
                <w:szCs w:val="21"/>
                <w:highlight w:val="none"/>
              </w:rPr>
              <w:t>勘察</w:t>
            </w:r>
            <w:r>
              <w:rPr>
                <w:rFonts w:hint="eastAsia"/>
                <w:szCs w:val="22"/>
                <w:highlight w:val="none"/>
              </w:rPr>
              <w:t>资质证书</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ind w:firstLine="105" w:firstLineChars="50"/>
              <w:jc w:val="center"/>
              <w:rPr>
                <w:szCs w:val="22"/>
                <w:highlight w:val="none"/>
              </w:rPr>
            </w:pPr>
            <w:r>
              <w:rPr>
                <w:rFonts w:hint="eastAsia"/>
                <w:szCs w:val="22"/>
                <w:highlight w:val="none"/>
              </w:rPr>
              <w:t>类型：</w:t>
            </w:r>
            <w:r>
              <w:rPr>
                <w:szCs w:val="22"/>
                <w:highlight w:val="none"/>
              </w:rPr>
              <w:t xml:space="preserve">                    </w:t>
            </w:r>
            <w:r>
              <w:rPr>
                <w:rFonts w:hint="eastAsia"/>
                <w:szCs w:val="22"/>
                <w:highlight w:val="none"/>
              </w:rPr>
              <w:t>等级：</w:t>
            </w:r>
            <w:r>
              <w:rPr>
                <w:szCs w:val="22"/>
                <w:highlight w:val="none"/>
              </w:rPr>
              <w:t xml:space="preserve">      </w:t>
            </w:r>
            <w:r>
              <w:rPr>
                <w:rFonts w:hint="eastAsia"/>
                <w:szCs w:val="22"/>
                <w:highlight w:val="none"/>
              </w:rPr>
              <w:t>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质量管理体系证书（如有）</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ind w:firstLine="105" w:firstLineChars="50"/>
              <w:jc w:val="center"/>
              <w:rPr>
                <w:szCs w:val="22"/>
                <w:highlight w:val="none"/>
              </w:rPr>
            </w:pPr>
            <w:r>
              <w:rPr>
                <w:rFonts w:hint="eastAsia"/>
                <w:szCs w:val="22"/>
                <w:highlight w:val="none"/>
              </w:rPr>
              <w:t>类型：</w:t>
            </w:r>
            <w:r>
              <w:rPr>
                <w:szCs w:val="22"/>
                <w:highlight w:val="none"/>
              </w:rPr>
              <w:t xml:space="preserve">                    </w:t>
            </w:r>
            <w:r>
              <w:rPr>
                <w:rFonts w:hint="eastAsia"/>
                <w:szCs w:val="22"/>
                <w:highlight w:val="none"/>
              </w:rPr>
              <w:t>等级：</w:t>
            </w:r>
            <w:r>
              <w:rPr>
                <w:szCs w:val="22"/>
                <w:highlight w:val="none"/>
              </w:rPr>
              <w:t xml:space="preserve">      </w:t>
            </w:r>
            <w:r>
              <w:rPr>
                <w:rFonts w:hint="eastAsia"/>
                <w:szCs w:val="22"/>
                <w:highlight w:val="none"/>
              </w:rPr>
              <w:t>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3"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rFonts w:hint="default"/>
                <w:szCs w:val="22"/>
                <w:highlight w:val="none"/>
              </w:rPr>
            </w:pPr>
            <w:r>
              <w:rPr>
                <w:rFonts w:hint="eastAsia"/>
                <w:szCs w:val="22"/>
                <w:highlight w:val="none"/>
                <w:lang w:val="en-US" w:eastAsia="zh-CN"/>
              </w:rPr>
              <w:t>统一社会信用代码</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3629" w:type="dxa"/>
            <w:gridSpan w:val="5"/>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2"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注册资本</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414" w:type="dxa"/>
            <w:vMerge w:val="restart"/>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其中</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高级职称人员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0"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成立日期</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414" w:type="dxa"/>
            <w:vMerge w:val="continue"/>
            <w:tcBorders>
              <w:left w:val="single" w:color="auto" w:sz="4" w:space="0"/>
              <w:right w:val="single" w:color="auto" w:sz="4" w:space="0"/>
            </w:tcBorders>
            <w:vAlign w:val="center"/>
          </w:tcPr>
          <w:p>
            <w:pPr>
              <w:jc w:val="center"/>
              <w:rPr>
                <w:szCs w:val="22"/>
                <w:highlight w:val="none"/>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中级职称人员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1"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基本账户开户银行</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414" w:type="dxa"/>
            <w:vMerge w:val="continue"/>
            <w:tcBorders>
              <w:left w:val="single" w:color="auto" w:sz="4" w:space="0"/>
              <w:right w:val="single" w:color="auto" w:sz="4" w:space="0"/>
            </w:tcBorders>
            <w:vAlign w:val="center"/>
          </w:tcPr>
          <w:p>
            <w:pPr>
              <w:jc w:val="center"/>
              <w:rPr>
                <w:szCs w:val="22"/>
                <w:highlight w:val="none"/>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技术人员数量</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7"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基本账户银行账号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c>
          <w:tcPr>
            <w:tcW w:w="414" w:type="dxa"/>
            <w:vMerge w:val="continue"/>
            <w:tcBorders>
              <w:left w:val="single" w:color="auto" w:sz="4" w:space="0"/>
              <w:right w:val="single" w:color="auto" w:sz="4" w:space="0"/>
            </w:tcBorders>
            <w:vAlign w:val="center"/>
          </w:tcPr>
          <w:p>
            <w:pPr>
              <w:jc w:val="center"/>
              <w:rPr>
                <w:szCs w:val="22"/>
                <w:highlight w:val="none"/>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1"/>
                <w:highlight w:val="none"/>
              </w:rPr>
              <w:t>各类注册人员</w:t>
            </w:r>
          </w:p>
        </w:tc>
        <w:tc>
          <w:tcPr>
            <w:tcW w:w="1514" w:type="dxa"/>
            <w:gridSpan w:val="2"/>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32" w:hRule="atLeast"/>
          <w:jc w:val="center"/>
        </w:trPr>
        <w:tc>
          <w:tcPr>
            <w:tcW w:w="2046" w:type="dxa"/>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ind w:firstLine="210" w:firstLineChars="100"/>
              <w:jc w:val="center"/>
              <w:rPr>
                <w:szCs w:val="22"/>
                <w:highlight w:val="none"/>
              </w:rPr>
            </w:pPr>
            <w:r>
              <w:rPr>
                <w:rFonts w:hint="eastAsia"/>
                <w:szCs w:val="22"/>
                <w:highlight w:val="none"/>
              </w:rPr>
              <w:t>经营范围</w:t>
            </w:r>
          </w:p>
        </w:tc>
        <w:tc>
          <w:tcPr>
            <w:tcW w:w="6840" w:type="dxa"/>
            <w:gridSpan w:val="8"/>
            <w:tcBorders>
              <w:top w:val="single" w:color="auto" w:sz="4" w:space="0"/>
              <w:left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1"/>
                <w:highlight w:val="none"/>
              </w:rPr>
              <w:t>投标人关联企业情况（包括但不限于与投标人法定代表人为同一人或者存在控股、管理关系的不同单位）</w:t>
            </w:r>
          </w:p>
        </w:tc>
        <w:tc>
          <w:tcPr>
            <w:tcW w:w="6840" w:type="dxa"/>
            <w:gridSpan w:val="8"/>
            <w:tcBorders>
              <w:top w:val="single" w:color="auto" w:sz="4" w:space="0"/>
              <w:left w:val="single" w:color="auto" w:sz="4" w:space="0"/>
              <w:right w:val="single" w:color="auto" w:sz="4" w:space="0"/>
            </w:tcBorders>
            <w:vAlign w:val="center"/>
          </w:tcPr>
          <w:p>
            <w:pPr>
              <w:topLinePunct/>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78"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40" w:lineRule="exact"/>
              <w:jc w:val="center"/>
              <w:rPr>
                <w:szCs w:val="22"/>
                <w:highlight w:val="none"/>
              </w:rPr>
            </w:pPr>
            <w:r>
              <w:rPr>
                <w:rFonts w:hint="eastAsia"/>
                <w:szCs w:val="22"/>
                <w:highlight w:val="none"/>
              </w:rPr>
              <w:t>备注</w:t>
            </w:r>
          </w:p>
        </w:tc>
        <w:tc>
          <w:tcPr>
            <w:tcW w:w="6840" w:type="dxa"/>
            <w:gridSpan w:val="8"/>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p>
        </w:tc>
      </w:tr>
    </w:tbl>
    <w:p>
      <w:pPr>
        <w:keepNext/>
        <w:keepLines/>
        <w:spacing w:before="260" w:after="260" w:line="412" w:lineRule="auto"/>
        <w:ind w:firstLine="137" w:firstLineChars="49"/>
        <w:outlineLvl w:val="1"/>
        <w:rPr>
          <w:rFonts w:eastAsia="黑体"/>
          <w:sz w:val="28"/>
          <w:szCs w:val="20"/>
          <w:highlight w:val="none"/>
        </w:rPr>
      </w:pPr>
      <w:bookmarkStart w:id="2127" w:name="_Toc24497"/>
      <w:bookmarkStart w:id="2128" w:name="_Toc31919"/>
      <w:bookmarkStart w:id="2129" w:name="_Toc21447"/>
      <w:bookmarkStart w:id="2130" w:name="_Toc27805"/>
      <w:bookmarkStart w:id="2131" w:name="_Toc75857132"/>
      <w:bookmarkStart w:id="2132" w:name="_Toc25934"/>
      <w:bookmarkStart w:id="2133" w:name="_Toc492300950"/>
      <w:r>
        <w:rPr>
          <w:rFonts w:hint="eastAsia" w:eastAsia="黑体"/>
          <w:sz w:val="28"/>
          <w:szCs w:val="20"/>
          <w:highlight w:val="none"/>
        </w:rPr>
        <w:t>（二）法定代表人身份证明或附有法定代表人身份证明的授权委托书</w:t>
      </w:r>
      <w:bookmarkEnd w:id="2127"/>
      <w:bookmarkEnd w:id="2128"/>
      <w:bookmarkEnd w:id="2129"/>
      <w:bookmarkEnd w:id="2130"/>
      <w:bookmarkEnd w:id="2131"/>
      <w:bookmarkEnd w:id="2132"/>
    </w:p>
    <w:p>
      <w:pPr>
        <w:keepNext/>
        <w:keepLines/>
        <w:spacing w:before="260" w:after="260" w:line="413" w:lineRule="auto"/>
        <w:jc w:val="center"/>
        <w:outlineLvl w:val="9"/>
        <w:rPr>
          <w:rFonts w:eastAsia="黑体"/>
          <w:b/>
          <w:color w:val="000000"/>
          <w:sz w:val="32"/>
          <w:szCs w:val="20"/>
          <w:highlight w:val="none"/>
        </w:rPr>
      </w:pPr>
      <w:r>
        <w:rPr>
          <w:rFonts w:eastAsia="黑体"/>
          <w:b/>
          <w:color w:val="000000"/>
          <w:sz w:val="32"/>
          <w:szCs w:val="20"/>
          <w:highlight w:val="none"/>
        </w:rPr>
        <w:t>法定代表人身份证明</w:t>
      </w:r>
    </w:p>
    <w:p>
      <w:pPr>
        <w:spacing w:line="440" w:lineRule="exact"/>
        <w:rPr>
          <w:color w:val="000000"/>
          <w:sz w:val="20"/>
          <w:szCs w:val="22"/>
          <w:highlight w:val="none"/>
        </w:rPr>
      </w:pPr>
    </w:p>
    <w:p>
      <w:pPr>
        <w:spacing w:line="440" w:lineRule="exact"/>
        <w:rPr>
          <w:color w:val="000000"/>
          <w:szCs w:val="22"/>
          <w:highlight w:val="none"/>
        </w:rPr>
      </w:pPr>
    </w:p>
    <w:p>
      <w:pPr>
        <w:spacing w:line="440" w:lineRule="exact"/>
        <w:rPr>
          <w:color w:val="000000"/>
          <w:szCs w:val="22"/>
          <w:highlight w:val="none"/>
        </w:rPr>
      </w:pPr>
      <w:r>
        <w:rPr>
          <w:color w:val="000000"/>
          <w:szCs w:val="22"/>
          <w:highlight w:val="none"/>
        </w:rPr>
        <w:t>投标人名称：</w:t>
      </w:r>
      <w:r>
        <w:rPr>
          <w:szCs w:val="22"/>
          <w:highlight w:val="none"/>
          <w:u w:val="single"/>
        </w:rPr>
        <w:t xml:space="preserve">                        </w:t>
      </w:r>
    </w:p>
    <w:p>
      <w:pPr>
        <w:spacing w:line="440" w:lineRule="exact"/>
        <w:rPr>
          <w:color w:val="000000"/>
          <w:szCs w:val="22"/>
          <w:highlight w:val="none"/>
        </w:rPr>
      </w:pPr>
      <w:r>
        <w:rPr>
          <w:color w:val="000000"/>
          <w:szCs w:val="22"/>
          <w:highlight w:val="none"/>
        </w:rPr>
        <w:t>姓名：</w:t>
      </w:r>
      <w:r>
        <w:rPr>
          <w:szCs w:val="22"/>
          <w:highlight w:val="none"/>
          <w:u w:val="single"/>
        </w:rPr>
        <w:t xml:space="preserve">                </w:t>
      </w:r>
      <w:r>
        <w:rPr>
          <w:color w:val="000000"/>
          <w:szCs w:val="22"/>
          <w:highlight w:val="none"/>
        </w:rPr>
        <w:t>性别：</w:t>
      </w:r>
      <w:r>
        <w:rPr>
          <w:szCs w:val="22"/>
          <w:highlight w:val="none"/>
          <w:u w:val="single"/>
        </w:rPr>
        <w:t xml:space="preserve">        </w:t>
      </w:r>
      <w:r>
        <w:rPr>
          <w:color w:val="000000"/>
          <w:szCs w:val="22"/>
          <w:highlight w:val="none"/>
        </w:rPr>
        <w:t>年龄：</w:t>
      </w:r>
      <w:r>
        <w:rPr>
          <w:szCs w:val="22"/>
          <w:highlight w:val="none"/>
          <w:u w:val="single"/>
        </w:rPr>
        <w:t xml:space="preserve">        </w:t>
      </w:r>
      <w:r>
        <w:rPr>
          <w:color w:val="000000"/>
          <w:szCs w:val="22"/>
          <w:highlight w:val="none"/>
        </w:rPr>
        <w:t>职务：</w:t>
      </w:r>
      <w:r>
        <w:rPr>
          <w:szCs w:val="22"/>
          <w:highlight w:val="none"/>
          <w:u w:val="single"/>
        </w:rPr>
        <w:t xml:space="preserve">        </w:t>
      </w:r>
    </w:p>
    <w:p>
      <w:pPr>
        <w:spacing w:line="440" w:lineRule="exact"/>
        <w:rPr>
          <w:color w:val="000000"/>
          <w:szCs w:val="22"/>
          <w:highlight w:val="none"/>
        </w:rPr>
      </w:pPr>
      <w:r>
        <w:rPr>
          <w:color w:val="000000"/>
          <w:szCs w:val="22"/>
          <w:highlight w:val="none"/>
        </w:rPr>
        <w:t>系</w:t>
      </w:r>
      <w:r>
        <w:rPr>
          <w:szCs w:val="22"/>
          <w:highlight w:val="none"/>
          <w:u w:val="single"/>
        </w:rPr>
        <w:t xml:space="preserve">                        </w:t>
      </w:r>
      <w:r>
        <w:rPr>
          <w:color w:val="000000"/>
          <w:szCs w:val="22"/>
          <w:highlight w:val="none"/>
        </w:rPr>
        <w:t>（投标人名称）的法定代表人。</w:t>
      </w:r>
    </w:p>
    <w:p>
      <w:pPr>
        <w:spacing w:line="440" w:lineRule="exact"/>
        <w:ind w:firstLine="420" w:firstLineChars="200"/>
        <w:rPr>
          <w:color w:val="000000"/>
          <w:szCs w:val="22"/>
          <w:highlight w:val="none"/>
        </w:rPr>
      </w:pPr>
      <w:r>
        <w:rPr>
          <w:color w:val="000000"/>
          <w:szCs w:val="22"/>
          <w:highlight w:val="none"/>
        </w:rPr>
        <w:t>特此证明。</w:t>
      </w:r>
    </w:p>
    <w:p>
      <w:pPr>
        <w:spacing w:line="440" w:lineRule="exact"/>
        <w:rPr>
          <w:color w:val="000000"/>
          <w:szCs w:val="22"/>
          <w:highlight w:val="none"/>
        </w:rPr>
      </w:pPr>
    </w:p>
    <w:p>
      <w:pPr>
        <w:spacing w:line="440" w:lineRule="exact"/>
        <w:rPr>
          <w:color w:val="000000"/>
          <w:szCs w:val="22"/>
          <w:highlight w:val="none"/>
        </w:rPr>
      </w:pPr>
      <w:r>
        <w:rPr>
          <w:color w:val="000000"/>
          <w:szCs w:val="22"/>
          <w:highlight w:val="none"/>
        </w:rPr>
        <w:t>附：法定代表人身份证复印件。</w:t>
      </w:r>
    </w:p>
    <w:p>
      <w:pPr>
        <w:spacing w:line="440" w:lineRule="exact"/>
        <w:rPr>
          <w:color w:val="000000"/>
          <w:szCs w:val="22"/>
          <w:highlight w:val="none"/>
        </w:rPr>
      </w:pPr>
    </w:p>
    <w:p>
      <w:pPr>
        <w:spacing w:line="440" w:lineRule="exact"/>
        <w:rPr>
          <w:color w:val="000000"/>
          <w:szCs w:val="22"/>
          <w:highlight w:val="none"/>
        </w:rPr>
      </w:pPr>
      <w:r>
        <w:rPr>
          <w:color w:val="000000"/>
          <w:szCs w:val="22"/>
          <w:highlight w:val="none"/>
        </w:rPr>
        <w:t>注：本身份证明需由投标人加盖</w:t>
      </w:r>
      <w:r>
        <w:rPr>
          <w:rFonts w:hint="eastAsia"/>
          <w:color w:val="000000"/>
          <w:szCs w:val="22"/>
          <w:highlight w:val="none"/>
        </w:rPr>
        <w:t>单位法人章</w:t>
      </w:r>
      <w:r>
        <w:rPr>
          <w:color w:val="000000"/>
          <w:szCs w:val="22"/>
          <w:highlight w:val="none"/>
        </w:rPr>
        <w:t>。</w:t>
      </w:r>
    </w:p>
    <w:p>
      <w:pPr>
        <w:spacing w:line="440" w:lineRule="exact"/>
        <w:rPr>
          <w:color w:val="000000"/>
          <w:szCs w:val="22"/>
          <w:highlight w:val="none"/>
        </w:rPr>
      </w:pPr>
    </w:p>
    <w:p>
      <w:pPr>
        <w:spacing w:line="440" w:lineRule="exact"/>
        <w:rPr>
          <w:color w:val="000000"/>
          <w:szCs w:val="22"/>
          <w:highlight w:val="none"/>
        </w:rPr>
      </w:pPr>
    </w:p>
    <w:p>
      <w:pPr>
        <w:spacing w:line="440" w:lineRule="exact"/>
        <w:jc w:val="center"/>
        <w:rPr>
          <w:color w:val="000000"/>
          <w:szCs w:val="22"/>
          <w:highlight w:val="none"/>
        </w:rPr>
      </w:pPr>
      <w:r>
        <w:rPr>
          <w:color w:val="000000"/>
          <w:szCs w:val="22"/>
          <w:highlight w:val="none"/>
        </w:rPr>
        <w:t xml:space="preserve">                              投标人：</w:t>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szCs w:val="21"/>
          <w:highlight w:val="none"/>
          <w:u w:val="single"/>
        </w:rPr>
        <w:tab/>
      </w:r>
      <w:r>
        <w:rPr>
          <w:color w:val="000000"/>
          <w:szCs w:val="22"/>
          <w:highlight w:val="none"/>
        </w:rPr>
        <w:t>（</w:t>
      </w:r>
      <w:r>
        <w:rPr>
          <w:rFonts w:hint="eastAsia"/>
          <w:color w:val="000000"/>
          <w:szCs w:val="22"/>
          <w:highlight w:val="none"/>
        </w:rPr>
        <w:t>盖单位法人章</w:t>
      </w:r>
      <w:r>
        <w:rPr>
          <w:color w:val="000000"/>
          <w:szCs w:val="22"/>
          <w:highlight w:val="none"/>
        </w:rPr>
        <w:t>）</w:t>
      </w:r>
    </w:p>
    <w:p>
      <w:pPr>
        <w:spacing w:line="440" w:lineRule="exact"/>
        <w:rPr>
          <w:color w:val="000000"/>
          <w:szCs w:val="22"/>
          <w:highlight w:val="none"/>
        </w:rPr>
      </w:pPr>
    </w:p>
    <w:p>
      <w:pPr>
        <w:spacing w:line="440" w:lineRule="exact"/>
        <w:ind w:firstLine="4620" w:firstLineChars="2200"/>
        <w:rPr>
          <w:color w:val="000000"/>
          <w:szCs w:val="22"/>
          <w:highlight w:val="none"/>
        </w:rPr>
      </w:pPr>
      <w:r>
        <w:rPr>
          <w:szCs w:val="22"/>
          <w:highlight w:val="none"/>
          <w:u w:val="single"/>
        </w:rPr>
        <w:t xml:space="preserve">      </w:t>
      </w:r>
      <w:r>
        <w:rPr>
          <w:color w:val="000000"/>
          <w:szCs w:val="22"/>
          <w:highlight w:val="none"/>
        </w:rPr>
        <w:t>年</w:t>
      </w:r>
      <w:r>
        <w:rPr>
          <w:szCs w:val="22"/>
          <w:highlight w:val="none"/>
          <w:u w:val="single"/>
        </w:rPr>
        <w:t xml:space="preserve">      </w:t>
      </w:r>
      <w:r>
        <w:rPr>
          <w:color w:val="000000"/>
          <w:szCs w:val="22"/>
          <w:highlight w:val="none"/>
        </w:rPr>
        <w:t>月</w:t>
      </w:r>
      <w:r>
        <w:rPr>
          <w:szCs w:val="22"/>
          <w:highlight w:val="none"/>
          <w:u w:val="single"/>
        </w:rPr>
        <w:t xml:space="preserve">      </w:t>
      </w:r>
      <w:r>
        <w:rPr>
          <w:color w:val="000000"/>
          <w:szCs w:val="22"/>
          <w:highlight w:val="none"/>
        </w:rPr>
        <w:t>日</w:t>
      </w:r>
    </w:p>
    <w:p>
      <w:pPr>
        <w:spacing w:line="440" w:lineRule="exact"/>
        <w:rPr>
          <w:rFonts w:eastAsia="黑体"/>
          <w:color w:val="000000"/>
          <w:sz w:val="20"/>
          <w:szCs w:val="22"/>
          <w:highlight w:val="none"/>
        </w:rPr>
      </w:pPr>
    </w:p>
    <w:p>
      <w:pPr>
        <w:spacing w:line="440" w:lineRule="exact"/>
        <w:jc w:val="center"/>
        <w:rPr>
          <w:rFonts w:eastAsia="黑体"/>
          <w:color w:val="000000"/>
          <w:sz w:val="20"/>
          <w:szCs w:val="22"/>
          <w:highlight w:val="none"/>
        </w:rPr>
      </w:pPr>
      <w:r>
        <w:rPr>
          <w:rFonts w:eastAsia="黑体"/>
          <w:color w:val="000000"/>
          <w:sz w:val="20"/>
          <w:szCs w:val="22"/>
          <w:highlight w:val="none"/>
        </w:rPr>
        <w:br w:type="page"/>
      </w:r>
    </w:p>
    <w:p>
      <w:pPr>
        <w:keepNext/>
        <w:keepLines/>
        <w:spacing w:before="260" w:after="260" w:line="413" w:lineRule="auto"/>
        <w:jc w:val="center"/>
        <w:outlineLvl w:val="9"/>
        <w:rPr>
          <w:rFonts w:eastAsia="黑体"/>
          <w:b/>
          <w:color w:val="000000"/>
          <w:sz w:val="32"/>
          <w:szCs w:val="20"/>
          <w:highlight w:val="none"/>
        </w:rPr>
      </w:pPr>
      <w:r>
        <w:rPr>
          <w:rFonts w:hint="eastAsia" w:eastAsia="黑体"/>
          <w:b/>
          <w:color w:val="000000"/>
          <w:sz w:val="32"/>
          <w:szCs w:val="20"/>
          <w:highlight w:val="none"/>
        </w:rPr>
        <w:t>授权委托书</w:t>
      </w:r>
    </w:p>
    <w:p>
      <w:pPr>
        <w:spacing w:line="440" w:lineRule="exact"/>
        <w:rPr>
          <w:rFonts w:eastAsia="黑体"/>
          <w:color w:val="000000"/>
          <w:szCs w:val="22"/>
          <w:highlight w:val="none"/>
        </w:rPr>
      </w:pPr>
    </w:p>
    <w:p>
      <w:pPr>
        <w:topLinePunct/>
        <w:spacing w:line="440" w:lineRule="exact"/>
        <w:ind w:firstLine="420" w:firstLineChars="200"/>
        <w:rPr>
          <w:color w:val="000000"/>
          <w:szCs w:val="22"/>
          <w:highlight w:val="none"/>
        </w:rPr>
      </w:pPr>
      <w:r>
        <w:rPr>
          <w:color w:val="000000"/>
          <w:szCs w:val="22"/>
          <w:highlight w:val="none"/>
        </w:rPr>
        <w:t>本人</w:t>
      </w:r>
      <w:r>
        <w:rPr>
          <w:szCs w:val="22"/>
          <w:highlight w:val="none"/>
          <w:u w:val="single"/>
        </w:rPr>
        <w:t xml:space="preserve">      </w:t>
      </w:r>
      <w:r>
        <w:rPr>
          <w:color w:val="000000"/>
          <w:szCs w:val="22"/>
          <w:highlight w:val="none"/>
          <w:u w:val="single"/>
        </w:rPr>
        <w:t>（姓名）</w:t>
      </w:r>
      <w:r>
        <w:rPr>
          <w:color w:val="000000"/>
          <w:szCs w:val="22"/>
          <w:highlight w:val="none"/>
        </w:rPr>
        <w:t>系</w:t>
      </w:r>
      <w:r>
        <w:rPr>
          <w:szCs w:val="22"/>
          <w:highlight w:val="none"/>
          <w:u w:val="single"/>
        </w:rPr>
        <w:t xml:space="preserve">                   </w:t>
      </w:r>
      <w:r>
        <w:rPr>
          <w:color w:val="000000"/>
          <w:szCs w:val="22"/>
          <w:highlight w:val="none"/>
          <w:u w:val="single"/>
        </w:rPr>
        <w:t>（投标人名称）</w:t>
      </w:r>
      <w:r>
        <w:rPr>
          <w:color w:val="000000"/>
          <w:szCs w:val="22"/>
          <w:highlight w:val="none"/>
        </w:rPr>
        <w:t>的法定代表人，现委托</w:t>
      </w:r>
      <w:r>
        <w:rPr>
          <w:szCs w:val="22"/>
          <w:highlight w:val="none"/>
          <w:u w:val="single"/>
        </w:rPr>
        <w:t xml:space="preserve">        </w:t>
      </w:r>
      <w:r>
        <w:rPr>
          <w:color w:val="000000"/>
          <w:szCs w:val="22"/>
          <w:highlight w:val="none"/>
          <w:u w:val="single"/>
        </w:rPr>
        <w:t>（姓名）</w:t>
      </w:r>
      <w:r>
        <w:rPr>
          <w:rFonts w:hint="eastAsia"/>
          <w:color w:val="000000"/>
          <w:szCs w:val="22"/>
          <w:highlight w:val="none"/>
          <w:u w:val="single"/>
        </w:rPr>
        <w:t xml:space="preserve">   </w:t>
      </w:r>
      <w:r>
        <w:rPr>
          <w:color w:val="000000"/>
          <w:szCs w:val="22"/>
          <w:highlight w:val="none"/>
        </w:rPr>
        <w:t>为我方代理人。代理人根据授权，以我方名义签署、澄清确认、递交、撤回、修改</w:t>
      </w:r>
      <w:r>
        <w:rPr>
          <w:rFonts w:hint="eastAsia" w:ascii="宋体" w:hAnsi="宋体"/>
          <w:w w:val="200"/>
          <w:kern w:val="0"/>
          <w:szCs w:val="21"/>
          <w:highlight w:val="none"/>
          <w:u w:val="single"/>
        </w:rPr>
        <w:t xml:space="preserve">     </w:t>
      </w:r>
      <w:r>
        <w:rPr>
          <w:rFonts w:ascii="宋体" w:hAnsi="宋体"/>
          <w:kern w:val="0"/>
          <w:szCs w:val="21"/>
          <w:highlight w:val="none"/>
          <w:u w:val="single"/>
        </w:rPr>
        <w:t>（项</w:t>
      </w:r>
      <w:r>
        <w:rPr>
          <w:rFonts w:ascii="宋体" w:hAnsi="宋体"/>
          <w:spacing w:val="-1"/>
          <w:kern w:val="0"/>
          <w:szCs w:val="21"/>
          <w:highlight w:val="none"/>
          <w:u w:val="single"/>
        </w:rPr>
        <w:t>目</w:t>
      </w:r>
      <w:r>
        <w:rPr>
          <w:rFonts w:ascii="宋体" w:hAnsi="宋体"/>
          <w:kern w:val="0"/>
          <w:szCs w:val="21"/>
          <w:highlight w:val="none"/>
          <w:u w:val="single"/>
        </w:rPr>
        <w:t>名称）</w:t>
      </w:r>
      <w:r>
        <w:rPr>
          <w:color w:val="000000"/>
          <w:szCs w:val="22"/>
          <w:highlight w:val="none"/>
        </w:rPr>
        <w:t>项目投标文件、签订合同和处理有关事宜，其法律后果由我方承担。</w:t>
      </w:r>
    </w:p>
    <w:p>
      <w:pPr>
        <w:spacing w:line="440" w:lineRule="exact"/>
        <w:ind w:firstLine="420" w:firstLineChars="200"/>
        <w:rPr>
          <w:color w:val="000000"/>
          <w:szCs w:val="22"/>
          <w:highlight w:val="none"/>
        </w:rPr>
      </w:pPr>
      <w:r>
        <w:rPr>
          <w:color w:val="000000"/>
          <w:szCs w:val="22"/>
          <w:highlight w:val="none"/>
        </w:rPr>
        <w:t>委托期限：</w:t>
      </w:r>
      <w:r>
        <w:rPr>
          <w:szCs w:val="22"/>
          <w:highlight w:val="none"/>
          <w:u w:val="single"/>
        </w:rPr>
        <w:t xml:space="preserve">                       </w:t>
      </w:r>
      <w:r>
        <w:rPr>
          <w:color w:val="000000"/>
          <w:szCs w:val="22"/>
          <w:highlight w:val="none"/>
        </w:rPr>
        <w:t>。</w:t>
      </w:r>
    </w:p>
    <w:p>
      <w:pPr>
        <w:spacing w:line="440" w:lineRule="exact"/>
        <w:ind w:firstLine="420" w:firstLineChars="200"/>
        <w:rPr>
          <w:color w:val="000000"/>
          <w:szCs w:val="22"/>
          <w:highlight w:val="none"/>
        </w:rPr>
      </w:pPr>
      <w:r>
        <w:rPr>
          <w:color w:val="000000"/>
          <w:szCs w:val="22"/>
          <w:highlight w:val="none"/>
        </w:rPr>
        <w:t>代理人无转委托权。</w:t>
      </w:r>
    </w:p>
    <w:p>
      <w:pPr>
        <w:spacing w:line="440" w:lineRule="exact"/>
        <w:ind w:firstLine="420" w:firstLineChars="200"/>
        <w:rPr>
          <w:color w:val="000000"/>
          <w:szCs w:val="22"/>
          <w:highlight w:val="none"/>
        </w:rPr>
      </w:pPr>
    </w:p>
    <w:p>
      <w:pPr>
        <w:autoSpaceDE w:val="0"/>
        <w:autoSpaceDN w:val="0"/>
        <w:adjustRightInd w:val="0"/>
        <w:snapToGrid w:val="0"/>
        <w:spacing w:line="480" w:lineRule="auto"/>
        <w:jc w:val="left"/>
        <w:rPr>
          <w:rFonts w:ascii="宋体" w:hAnsi="宋体"/>
          <w:kern w:val="0"/>
          <w:szCs w:val="21"/>
          <w:highlight w:val="none"/>
        </w:rPr>
      </w:pPr>
      <w:r>
        <w:rPr>
          <w:rFonts w:hint="eastAsia" w:ascii="宋体" w:hAnsi="宋体"/>
          <w:kern w:val="0"/>
          <w:szCs w:val="21"/>
          <w:highlight w:val="none"/>
        </w:rPr>
        <w:t>附：法定代表人和委托代理人身份证明扫描件（双面）</w:t>
      </w:r>
    </w:p>
    <w:p>
      <w:pPr>
        <w:spacing w:line="440" w:lineRule="exact"/>
        <w:rPr>
          <w:color w:val="000000"/>
          <w:szCs w:val="22"/>
          <w:highlight w:val="none"/>
        </w:rPr>
      </w:pPr>
    </w:p>
    <w:p>
      <w:pPr>
        <w:spacing w:line="440" w:lineRule="exact"/>
        <w:ind w:firstLine="2692" w:firstLineChars="1282"/>
        <w:rPr>
          <w:color w:val="000000"/>
          <w:szCs w:val="22"/>
          <w:highlight w:val="none"/>
        </w:rPr>
      </w:pPr>
      <w:r>
        <w:rPr>
          <w:color w:val="000000"/>
          <w:szCs w:val="22"/>
          <w:highlight w:val="none"/>
        </w:rPr>
        <w:t>投  标  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szCs w:val="21"/>
          <w:highlight w:val="none"/>
          <w:u w:val="single"/>
        </w:rPr>
        <w:tab/>
      </w:r>
      <w:r>
        <w:rPr>
          <w:color w:val="000000"/>
          <w:szCs w:val="22"/>
          <w:highlight w:val="none"/>
        </w:rPr>
        <w:t>（</w:t>
      </w:r>
      <w:r>
        <w:rPr>
          <w:rFonts w:hint="eastAsia"/>
          <w:color w:val="000000"/>
          <w:szCs w:val="22"/>
          <w:highlight w:val="none"/>
        </w:rPr>
        <w:t>盖单位法人章</w:t>
      </w:r>
      <w:r>
        <w:rPr>
          <w:color w:val="000000"/>
          <w:szCs w:val="22"/>
          <w:highlight w:val="none"/>
        </w:rPr>
        <w:t>）</w:t>
      </w:r>
    </w:p>
    <w:p>
      <w:pPr>
        <w:spacing w:line="440" w:lineRule="exact"/>
        <w:ind w:firstLine="2692" w:firstLineChars="1282"/>
        <w:rPr>
          <w:color w:val="000000"/>
          <w:szCs w:val="22"/>
          <w:highlight w:val="none"/>
        </w:rPr>
      </w:pPr>
    </w:p>
    <w:p>
      <w:pPr>
        <w:spacing w:line="480" w:lineRule="auto"/>
        <w:ind w:firstLine="2690" w:firstLineChars="1281"/>
        <w:jc w:val="left"/>
        <w:rPr>
          <w:color w:val="000000"/>
          <w:szCs w:val="22"/>
          <w:highlight w:val="none"/>
        </w:rPr>
      </w:pPr>
      <w:r>
        <w:rPr>
          <w:color w:val="000000"/>
          <w:szCs w:val="22"/>
          <w:highlight w:val="none"/>
        </w:rPr>
        <w:t>法定代表人：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szCs w:val="21"/>
          <w:highlight w:val="none"/>
          <w:u w:val="single"/>
        </w:rPr>
        <w:tab/>
      </w:r>
      <w:r>
        <w:rPr>
          <w:color w:val="000000"/>
          <w:szCs w:val="22"/>
          <w:highlight w:val="none"/>
        </w:rPr>
        <w:t>（签名或盖章</w:t>
      </w:r>
      <w:r>
        <w:rPr>
          <w:rFonts w:hint="eastAsia"/>
          <w:color w:val="000000"/>
          <w:szCs w:val="22"/>
          <w:highlight w:val="none"/>
        </w:rPr>
        <w:t>）</w:t>
      </w:r>
    </w:p>
    <w:p>
      <w:pPr>
        <w:spacing w:line="480" w:lineRule="auto"/>
        <w:ind w:firstLine="2692" w:firstLineChars="1282"/>
        <w:rPr>
          <w:color w:val="000000"/>
          <w:szCs w:val="22"/>
          <w:highlight w:val="none"/>
        </w:rPr>
      </w:pPr>
      <w:r>
        <w:rPr>
          <w:color w:val="000000"/>
          <w:szCs w:val="22"/>
          <w:highlight w:val="none"/>
        </w:rPr>
        <w:t>身份证号码：</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szCs w:val="21"/>
          <w:highlight w:val="none"/>
          <w:u w:val="single"/>
        </w:rPr>
        <w:tab/>
      </w:r>
    </w:p>
    <w:p>
      <w:pPr>
        <w:spacing w:line="480" w:lineRule="auto"/>
        <w:ind w:firstLine="2692" w:firstLineChars="1282"/>
        <w:rPr>
          <w:color w:val="000000"/>
          <w:szCs w:val="22"/>
          <w:highlight w:val="none"/>
        </w:rPr>
      </w:pPr>
      <w:r>
        <w:rPr>
          <w:color w:val="000000"/>
          <w:szCs w:val="22"/>
          <w:highlight w:val="none"/>
        </w:rPr>
        <w:t>委托代理人：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color w:val="000000"/>
          <w:szCs w:val="22"/>
          <w:highlight w:val="none"/>
        </w:rPr>
        <w:t>（签名或盖章）</w:t>
      </w:r>
    </w:p>
    <w:p>
      <w:pPr>
        <w:spacing w:line="480" w:lineRule="auto"/>
        <w:ind w:firstLine="2692" w:firstLineChars="1282"/>
        <w:rPr>
          <w:color w:val="000000"/>
          <w:szCs w:val="22"/>
          <w:highlight w:val="none"/>
        </w:rPr>
      </w:pPr>
      <w:r>
        <w:rPr>
          <w:color w:val="000000"/>
          <w:szCs w:val="22"/>
          <w:highlight w:val="none"/>
        </w:rPr>
        <w:t>身份证号码：</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szCs w:val="21"/>
          <w:highlight w:val="none"/>
          <w:u w:val="single"/>
        </w:rPr>
        <w:tab/>
      </w:r>
    </w:p>
    <w:p>
      <w:pPr>
        <w:spacing w:line="480" w:lineRule="auto"/>
        <w:ind w:firstLine="2692" w:firstLineChars="1282"/>
        <w:rPr>
          <w:color w:val="000000"/>
          <w:szCs w:val="22"/>
          <w:highlight w:val="none"/>
        </w:rPr>
      </w:pPr>
      <w:r>
        <w:rPr>
          <w:rFonts w:hint="eastAsia"/>
          <w:color w:val="000000"/>
          <w:szCs w:val="22"/>
          <w:highlight w:val="none"/>
        </w:rPr>
        <w:t>单位电话（座机）：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r>
        <w:rPr>
          <w:rFonts w:hint="eastAsia"/>
          <w:szCs w:val="21"/>
          <w:highlight w:val="none"/>
          <w:u w:val="single"/>
        </w:rPr>
        <w:t xml:space="preserve"> </w:t>
      </w:r>
    </w:p>
    <w:p>
      <w:pPr>
        <w:spacing w:line="480" w:lineRule="auto"/>
        <w:ind w:firstLine="2692" w:firstLineChars="1282"/>
        <w:rPr>
          <w:color w:val="000000"/>
          <w:szCs w:val="22"/>
          <w:highlight w:val="none"/>
        </w:rPr>
      </w:pPr>
      <w:r>
        <w:rPr>
          <w:rFonts w:hint="eastAsia"/>
          <w:color w:val="000000"/>
          <w:szCs w:val="22"/>
          <w:highlight w:val="none"/>
        </w:rPr>
        <w:t>委托代理人电话（手机）：</w:t>
      </w:r>
      <w:r>
        <w:rPr>
          <w:szCs w:val="21"/>
          <w:highlight w:val="none"/>
          <w:u w:val="single"/>
        </w:rPr>
        <w:tab/>
      </w:r>
      <w:r>
        <w:rPr>
          <w:szCs w:val="21"/>
          <w:highlight w:val="none"/>
          <w:u w:val="single"/>
        </w:rPr>
        <w:tab/>
      </w:r>
      <w:r>
        <w:rPr>
          <w:szCs w:val="21"/>
          <w:highlight w:val="none"/>
          <w:u w:val="single"/>
        </w:rPr>
        <w:tab/>
      </w:r>
      <w:r>
        <w:rPr>
          <w:szCs w:val="21"/>
          <w:highlight w:val="none"/>
          <w:u w:val="single"/>
        </w:rPr>
        <w:t xml:space="preserve">                    </w:t>
      </w:r>
    </w:p>
    <w:p>
      <w:pPr>
        <w:spacing w:line="440" w:lineRule="exact"/>
        <w:ind w:right="840" w:firstLine="4057" w:firstLineChars="1932"/>
        <w:jc w:val="center"/>
        <w:rPr>
          <w:color w:val="000000"/>
          <w:szCs w:val="22"/>
          <w:highlight w:val="none"/>
        </w:rPr>
      </w:pPr>
      <w:r>
        <w:rPr>
          <w:color w:val="000000"/>
          <w:szCs w:val="22"/>
          <w:highlight w:val="none"/>
          <w:u w:val="single"/>
        </w:rPr>
        <w:t xml:space="preserve">       </w:t>
      </w:r>
      <w:r>
        <w:rPr>
          <w:color w:val="000000"/>
          <w:szCs w:val="22"/>
          <w:highlight w:val="none"/>
        </w:rPr>
        <w:t>年</w:t>
      </w:r>
      <w:r>
        <w:rPr>
          <w:color w:val="000000"/>
          <w:szCs w:val="22"/>
          <w:highlight w:val="none"/>
          <w:u w:val="single"/>
        </w:rPr>
        <w:t xml:space="preserve">       </w:t>
      </w:r>
      <w:r>
        <w:rPr>
          <w:color w:val="000000"/>
          <w:szCs w:val="22"/>
          <w:highlight w:val="none"/>
        </w:rPr>
        <w:t>月</w:t>
      </w:r>
      <w:r>
        <w:rPr>
          <w:color w:val="000000"/>
          <w:szCs w:val="22"/>
          <w:highlight w:val="none"/>
          <w:u w:val="single"/>
        </w:rPr>
        <w:t xml:space="preserve">       </w:t>
      </w:r>
      <w:r>
        <w:rPr>
          <w:color w:val="000000"/>
          <w:szCs w:val="22"/>
          <w:highlight w:val="none"/>
        </w:rPr>
        <w:t>日</w:t>
      </w: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highlight w:val="none"/>
        </w:rPr>
      </w:pPr>
      <w:r>
        <w:rPr>
          <w:rFonts w:hint="eastAsia" w:ascii="宋体" w:hAnsi="宋体"/>
          <w:kern w:val="0"/>
          <w:szCs w:val="21"/>
          <w:highlight w:val="none"/>
        </w:rPr>
        <w:t>注：1、法定代表人参加投标活动并签署文件的不需要授权委托书，只需提供法定代表人身份证明；非法定代表人参加投标活动及签署文件的除提供法定代表人身份证明外还须提供授权委托书。</w:t>
      </w:r>
    </w:p>
    <w:p>
      <w:pPr>
        <w:autoSpaceDE w:val="0"/>
        <w:autoSpaceDN w:val="0"/>
        <w:adjustRightInd w:val="0"/>
        <w:snapToGrid w:val="0"/>
        <w:spacing w:line="360" w:lineRule="auto"/>
        <w:ind w:firstLine="420" w:firstLineChars="200"/>
        <w:rPr>
          <w:rFonts w:ascii="宋体" w:hAnsi="宋体"/>
          <w:highlight w:val="none"/>
        </w:rPr>
      </w:pPr>
      <w:r>
        <w:rPr>
          <w:rFonts w:hint="eastAsia" w:ascii="宋体" w:hAnsi="宋体"/>
          <w:kern w:val="0"/>
          <w:szCs w:val="21"/>
          <w:highlight w:val="none"/>
        </w:rPr>
        <w:t>2.</w:t>
      </w:r>
      <w:r>
        <w:rPr>
          <w:rFonts w:hint="eastAsia" w:ascii="宋体" w:hAnsi="宋体"/>
          <w:highlight w:val="none"/>
        </w:rPr>
        <w:t>授权委托书需按上述格式填写完整，不可缺少内容。在此基础上增加内容的不影响其有效性。</w:t>
      </w:r>
    </w:p>
    <w:p>
      <w:pPr>
        <w:keepNext/>
        <w:keepLines/>
        <w:spacing w:before="260" w:after="260" w:line="412" w:lineRule="auto"/>
        <w:ind w:firstLine="137" w:firstLineChars="49"/>
        <w:jc w:val="center"/>
        <w:outlineLvl w:val="1"/>
        <w:rPr>
          <w:rFonts w:eastAsia="黑体"/>
          <w:sz w:val="28"/>
          <w:szCs w:val="20"/>
          <w:highlight w:val="none"/>
        </w:rPr>
      </w:pPr>
      <w:bookmarkStart w:id="2134" w:name="_Toc12549"/>
      <w:bookmarkStart w:id="2135" w:name="_Toc9194"/>
      <w:bookmarkStart w:id="2136" w:name="_Toc75857133"/>
      <w:bookmarkStart w:id="2137" w:name="_Toc19162"/>
      <w:bookmarkStart w:id="2138" w:name="_Toc32643"/>
      <w:bookmarkStart w:id="2139" w:name="_Toc22796"/>
      <w:r>
        <w:rPr>
          <w:rFonts w:hint="eastAsia" w:eastAsia="黑体"/>
          <w:sz w:val="28"/>
          <w:szCs w:val="20"/>
          <w:highlight w:val="none"/>
        </w:rPr>
        <w:t>（三）联合体协议书（如有）</w:t>
      </w:r>
      <w:bookmarkEnd w:id="2134"/>
      <w:bookmarkEnd w:id="2135"/>
      <w:bookmarkEnd w:id="2136"/>
      <w:bookmarkEnd w:id="2137"/>
      <w:bookmarkEnd w:id="2138"/>
      <w:bookmarkEnd w:id="2139"/>
    </w:p>
    <w:p>
      <w:pPr>
        <w:topLinePunct/>
        <w:spacing w:line="440" w:lineRule="exact"/>
        <w:ind w:firstLine="420" w:firstLineChars="200"/>
        <w:rPr>
          <w:color w:val="000000"/>
          <w:szCs w:val="22"/>
          <w:highlight w:val="none"/>
        </w:rPr>
      </w:pPr>
      <w:r>
        <w:rPr>
          <w:szCs w:val="22"/>
          <w:highlight w:val="none"/>
          <w:u w:val="single"/>
        </w:rPr>
        <w:t xml:space="preserve">           </w:t>
      </w:r>
      <w:r>
        <w:rPr>
          <w:rFonts w:hint="eastAsia"/>
          <w:szCs w:val="22"/>
          <w:highlight w:val="none"/>
          <w:u w:val="single"/>
        </w:rPr>
        <w:t xml:space="preserve">                                        </w:t>
      </w:r>
      <w:r>
        <w:rPr>
          <w:szCs w:val="22"/>
          <w:highlight w:val="none"/>
          <w:u w:val="single"/>
        </w:rPr>
        <w:t xml:space="preserve">     </w:t>
      </w:r>
      <w:r>
        <w:rPr>
          <w:color w:val="000000"/>
          <w:szCs w:val="22"/>
          <w:highlight w:val="none"/>
        </w:rPr>
        <w:t>（所有成员单位名称）自愿组成联合体，共同参加</w:t>
      </w:r>
      <w:r>
        <w:rPr>
          <w:szCs w:val="22"/>
          <w:highlight w:val="none"/>
          <w:u w:val="single"/>
        </w:rPr>
        <w:t xml:space="preserve">                 （项目名称）</w:t>
      </w:r>
      <w:r>
        <w:rPr>
          <w:szCs w:val="21"/>
          <w:highlight w:val="none"/>
        </w:rPr>
        <w:t>投标。现就联</w:t>
      </w:r>
      <w:r>
        <w:rPr>
          <w:color w:val="000000"/>
          <w:szCs w:val="22"/>
          <w:highlight w:val="none"/>
        </w:rPr>
        <w:t>合体投标事宜订立如下协议。</w:t>
      </w:r>
    </w:p>
    <w:p>
      <w:pPr>
        <w:tabs>
          <w:tab w:val="left" w:pos="3465"/>
          <w:tab w:val="left" w:pos="4200"/>
        </w:tabs>
        <w:autoSpaceDE w:val="0"/>
        <w:autoSpaceDN w:val="0"/>
        <w:adjustRightInd w:val="0"/>
        <w:snapToGrid w:val="0"/>
        <w:spacing w:line="466" w:lineRule="exact"/>
        <w:ind w:firstLine="405" w:firstLineChars="193"/>
        <w:jc w:val="left"/>
        <w:rPr>
          <w:rFonts w:ascii="宋体" w:hAnsi="宋体"/>
          <w:snapToGrid w:val="0"/>
          <w:kern w:val="0"/>
          <w:szCs w:val="21"/>
          <w:highlight w:val="none"/>
        </w:rPr>
      </w:pPr>
      <w:r>
        <w:rPr>
          <w:rFonts w:ascii="宋体" w:hAnsi="宋体"/>
          <w:snapToGrid w:val="0"/>
          <w:kern w:val="0"/>
          <w:szCs w:val="21"/>
          <w:highlight w:val="none"/>
        </w:rPr>
        <w:t>1.</w:t>
      </w:r>
      <w:r>
        <w:rPr>
          <w:rFonts w:hint="eastAsia" w:ascii="宋体" w:hAnsi="宋体"/>
          <w:snapToGrid w:val="0"/>
          <w:kern w:val="0"/>
          <w:szCs w:val="21"/>
          <w:highlight w:val="none"/>
        </w:rPr>
        <w:t xml:space="preserve"> </w:t>
      </w:r>
      <w:r>
        <w:rPr>
          <w:rFonts w:ascii="宋体" w:hAnsi="宋体"/>
          <w:snapToGrid w:val="0"/>
          <w:w w:val="200"/>
          <w:kern w:val="0"/>
          <w:szCs w:val="21"/>
          <w:highlight w:val="none"/>
          <w:u w:val="single"/>
        </w:rPr>
        <w:t xml:space="preserve"> </w:t>
      </w:r>
      <w:r>
        <w:rPr>
          <w:rFonts w:hint="eastAsia" w:ascii="宋体" w:hAnsi="宋体"/>
          <w:snapToGrid w:val="0"/>
          <w:kern w:val="0"/>
          <w:szCs w:val="21"/>
          <w:highlight w:val="none"/>
          <w:u w:val="single"/>
        </w:rPr>
        <w:t xml:space="preserve">              </w:t>
      </w:r>
      <w:r>
        <w:rPr>
          <w:rFonts w:ascii="宋体" w:hAnsi="宋体"/>
          <w:snapToGrid w:val="0"/>
          <w:kern w:val="0"/>
          <w:szCs w:val="21"/>
          <w:highlight w:val="none"/>
        </w:rPr>
        <w:t>（某成员单位名称）</w:t>
      </w:r>
      <w:r>
        <w:rPr>
          <w:rFonts w:hint="eastAsia" w:ascii="宋体" w:hAnsi="宋体"/>
          <w:snapToGrid w:val="0"/>
          <w:kern w:val="0"/>
          <w:szCs w:val="21"/>
          <w:highlight w:val="none"/>
        </w:rPr>
        <w:t>为</w:t>
      </w:r>
      <w:r>
        <w:rPr>
          <w:rFonts w:ascii="宋体" w:hAnsi="宋体"/>
          <w:snapToGrid w:val="0"/>
          <w:kern w:val="0"/>
          <w:szCs w:val="21"/>
          <w:highlight w:val="none"/>
          <w:u w:val="single"/>
        </w:rPr>
        <w:tab/>
      </w:r>
      <w:r>
        <w:rPr>
          <w:rFonts w:ascii="宋体" w:hAnsi="宋体"/>
          <w:snapToGrid w:val="0"/>
          <w:kern w:val="0"/>
          <w:szCs w:val="21"/>
          <w:highlight w:val="none"/>
          <w:u w:val="single"/>
        </w:rPr>
        <w:t xml:space="preserve">          </w:t>
      </w:r>
      <w:r>
        <w:rPr>
          <w:rFonts w:hint="eastAsia" w:ascii="宋体" w:hAnsi="宋体"/>
          <w:snapToGrid w:val="0"/>
          <w:kern w:val="0"/>
          <w:szCs w:val="21"/>
          <w:highlight w:val="none"/>
          <w:u w:val="single"/>
        </w:rPr>
        <w:t xml:space="preserve">        </w:t>
      </w:r>
      <w:r>
        <w:rPr>
          <w:rFonts w:ascii="宋体" w:hAnsi="宋体"/>
          <w:snapToGrid w:val="0"/>
          <w:kern w:val="0"/>
          <w:szCs w:val="21"/>
          <w:highlight w:val="none"/>
          <w:u w:val="single"/>
        </w:rPr>
        <w:t>（项目名称</w:t>
      </w:r>
      <w:r>
        <w:rPr>
          <w:rFonts w:hint="eastAsia" w:ascii="宋体" w:hAnsi="宋体"/>
          <w:snapToGrid w:val="0"/>
          <w:kern w:val="0"/>
          <w:szCs w:val="21"/>
          <w:highlight w:val="none"/>
          <w:u w:val="single"/>
        </w:rPr>
        <w:t>）</w:t>
      </w:r>
      <w:r>
        <w:rPr>
          <w:rFonts w:ascii="宋体" w:hAnsi="宋体"/>
          <w:snapToGrid w:val="0"/>
          <w:kern w:val="0"/>
          <w:szCs w:val="21"/>
          <w:highlight w:val="none"/>
        </w:rPr>
        <w:t>联合体牵头人。由联合体牵头人递交投标保证金。</w:t>
      </w:r>
    </w:p>
    <w:p>
      <w:pPr>
        <w:autoSpaceDE w:val="0"/>
        <w:autoSpaceDN w:val="0"/>
        <w:adjustRightInd w:val="0"/>
        <w:snapToGrid w:val="0"/>
        <w:spacing w:line="466" w:lineRule="exact"/>
        <w:ind w:firstLine="420"/>
        <w:rPr>
          <w:rFonts w:ascii="宋体" w:hAnsi="宋体"/>
          <w:snapToGrid w:val="0"/>
          <w:kern w:val="0"/>
          <w:szCs w:val="21"/>
          <w:highlight w:val="none"/>
        </w:rPr>
      </w:pPr>
      <w:r>
        <w:rPr>
          <w:rFonts w:ascii="宋体" w:hAnsi="宋体"/>
          <w:snapToGrid w:val="0"/>
          <w:kern w:val="0"/>
          <w:szCs w:val="21"/>
          <w:highlight w:val="none"/>
        </w:rPr>
        <w:t>2.</w:t>
      </w:r>
      <w:r>
        <w:rPr>
          <w:rFonts w:hint="eastAsia" w:ascii="宋体" w:hAnsi="宋体"/>
          <w:snapToGrid w:val="0"/>
          <w:kern w:val="0"/>
          <w:szCs w:val="21"/>
          <w:highlight w:val="none"/>
        </w:rPr>
        <w:t xml:space="preserve"> </w:t>
      </w:r>
      <w:r>
        <w:rPr>
          <w:rFonts w:ascii="宋体" w:hAnsi="宋体"/>
          <w:snapToGrid w:val="0"/>
          <w:kern w:val="0"/>
          <w:szCs w:val="21"/>
          <w:highlight w:val="none"/>
        </w:rPr>
        <w:t>联合体牵头人合法代表联合体各成员负责本招标项目投标文件编制和合同谈判活动， 并代表联合体提交和接收相关的资料、信息及指示，并处理与之有关的一切事务，负责合同 实施阶段的主办、组织和协调工作。</w:t>
      </w: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ascii="宋体" w:hAnsi="宋体"/>
          <w:snapToGrid w:val="0"/>
          <w:kern w:val="0"/>
          <w:szCs w:val="21"/>
          <w:highlight w:val="none"/>
        </w:rPr>
        <w:t>3.</w:t>
      </w:r>
      <w:r>
        <w:rPr>
          <w:rFonts w:hint="eastAsia" w:ascii="宋体" w:hAnsi="宋体"/>
          <w:snapToGrid w:val="0"/>
          <w:kern w:val="0"/>
          <w:szCs w:val="21"/>
          <w:highlight w:val="none"/>
        </w:rPr>
        <w:t xml:space="preserve"> </w:t>
      </w:r>
      <w:r>
        <w:rPr>
          <w:rFonts w:ascii="宋体" w:hAnsi="宋体"/>
          <w:snapToGrid w:val="0"/>
          <w:kern w:val="0"/>
          <w:szCs w:val="21"/>
          <w:highlight w:val="none"/>
        </w:rPr>
        <w:t>联合体将严格按照招标文件的各项要求，递交投标文件，履行合同，并对外承担连带责任。</w:t>
      </w:r>
    </w:p>
    <w:p>
      <w:pPr>
        <w:topLinePunct/>
        <w:spacing w:line="440" w:lineRule="exact"/>
        <w:ind w:firstLine="420" w:firstLineChars="200"/>
        <w:rPr>
          <w:color w:val="000000"/>
          <w:szCs w:val="22"/>
          <w:highlight w:val="none"/>
        </w:rPr>
      </w:pPr>
      <w:r>
        <w:rPr>
          <w:rFonts w:ascii="宋体" w:hAnsi="宋体"/>
          <w:kern w:val="0"/>
          <w:szCs w:val="21"/>
          <w:highlight w:val="none"/>
        </w:rPr>
        <w:t>4.</w:t>
      </w:r>
      <w:r>
        <w:rPr>
          <w:rFonts w:hint="eastAsia" w:ascii="宋体" w:hAnsi="宋体"/>
          <w:kern w:val="0"/>
          <w:szCs w:val="21"/>
          <w:highlight w:val="none"/>
        </w:rPr>
        <w:t xml:space="preserve"> </w:t>
      </w:r>
      <w:r>
        <w:rPr>
          <w:rFonts w:ascii="宋体" w:hAnsi="宋体"/>
          <w:kern w:val="0"/>
          <w:szCs w:val="21"/>
          <w:highlight w:val="none"/>
        </w:rPr>
        <w:t>联合体牵头人代表联合体签署投标文件</w:t>
      </w:r>
      <w:r>
        <w:rPr>
          <w:rFonts w:ascii="宋体" w:hAnsi="宋体"/>
          <w:spacing w:val="-19"/>
          <w:kern w:val="0"/>
          <w:szCs w:val="21"/>
          <w:highlight w:val="none"/>
        </w:rPr>
        <w:t>，</w:t>
      </w:r>
      <w:r>
        <w:rPr>
          <w:rFonts w:ascii="宋体" w:hAnsi="宋体"/>
          <w:kern w:val="0"/>
          <w:szCs w:val="21"/>
          <w:highlight w:val="none"/>
        </w:rPr>
        <w:t>联合体牵头人的所有承诺均认为代表了联合体各成员。</w:t>
      </w:r>
    </w:p>
    <w:p>
      <w:pPr>
        <w:tabs>
          <w:tab w:val="left" w:pos="2020"/>
          <w:tab w:val="left" w:pos="4680"/>
          <w:tab w:val="left" w:pos="7640"/>
          <w:tab w:val="left" w:pos="7820"/>
        </w:tabs>
        <w:autoSpaceDE w:val="0"/>
        <w:autoSpaceDN w:val="0"/>
        <w:adjustRightInd w:val="0"/>
        <w:spacing w:line="466" w:lineRule="exact"/>
        <w:ind w:firstLine="420" w:firstLineChars="200"/>
        <w:jc w:val="left"/>
        <w:rPr>
          <w:rFonts w:ascii="宋体" w:hAnsi="宋体"/>
          <w:snapToGrid w:val="0"/>
          <w:kern w:val="0"/>
          <w:szCs w:val="21"/>
          <w:highlight w:val="none"/>
        </w:rPr>
      </w:pPr>
      <w:r>
        <w:rPr>
          <w:rFonts w:ascii="宋体" w:hAnsi="宋体"/>
          <w:snapToGrid w:val="0"/>
          <w:kern w:val="0"/>
          <w:szCs w:val="21"/>
          <w:highlight w:val="none"/>
        </w:rPr>
        <w:t>5.</w:t>
      </w:r>
      <w:r>
        <w:rPr>
          <w:rFonts w:hint="eastAsia" w:ascii="宋体" w:hAnsi="宋体"/>
          <w:snapToGrid w:val="0"/>
          <w:kern w:val="0"/>
          <w:szCs w:val="21"/>
          <w:highlight w:val="none"/>
        </w:rPr>
        <w:t xml:space="preserve"> </w:t>
      </w:r>
      <w:r>
        <w:rPr>
          <w:rFonts w:ascii="宋体" w:hAnsi="宋体"/>
          <w:snapToGrid w:val="0"/>
          <w:kern w:val="0"/>
          <w:szCs w:val="21"/>
          <w:highlight w:val="none"/>
        </w:rPr>
        <w:t>联合体各成员单位内部的职责分工如下：</w:t>
      </w:r>
    </w:p>
    <w:tbl>
      <w:tblPr>
        <w:tblStyle w:val="56"/>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9"/>
        <w:gridCol w:w="2410"/>
        <w:gridCol w:w="2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jc w:val="center"/>
              <w:rPr>
                <w:rFonts w:ascii="宋体" w:hAnsi="宋体"/>
                <w:snapToGrid w:val="0"/>
                <w:kern w:val="0"/>
                <w:szCs w:val="21"/>
                <w:highlight w:val="none"/>
              </w:rPr>
            </w:pPr>
            <w:r>
              <w:rPr>
                <w:rFonts w:hint="eastAsia" w:ascii="宋体" w:hAnsi="宋体"/>
                <w:snapToGrid w:val="0"/>
                <w:kern w:val="0"/>
                <w:szCs w:val="21"/>
                <w:highlight w:val="none"/>
              </w:rPr>
              <w:t>联合体成员</w:t>
            </w:r>
            <w:r>
              <w:rPr>
                <w:rFonts w:ascii="宋体" w:hAnsi="宋体"/>
                <w:snapToGrid w:val="0"/>
                <w:kern w:val="0"/>
                <w:szCs w:val="21"/>
                <w:highlight w:val="none"/>
              </w:rPr>
              <w:t>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highlight w:val="none"/>
              </w:rPr>
            </w:pPr>
            <w:r>
              <w:rPr>
                <w:rFonts w:ascii="宋体" w:hAnsi="宋体"/>
                <w:snapToGrid w:val="0"/>
                <w:kern w:val="0"/>
                <w:szCs w:val="21"/>
                <w:highlight w:val="none"/>
              </w:rPr>
              <w:t>社会信用代码</w:t>
            </w:r>
          </w:p>
        </w:tc>
        <w:tc>
          <w:tcPr>
            <w:tcW w:w="2885" w:type="dxa"/>
          </w:tcPr>
          <w:p>
            <w:pPr>
              <w:autoSpaceDE w:val="0"/>
              <w:autoSpaceDN w:val="0"/>
              <w:adjustRightInd w:val="0"/>
              <w:snapToGrid w:val="0"/>
              <w:spacing w:line="500" w:lineRule="exact"/>
              <w:jc w:val="center"/>
              <w:rPr>
                <w:rFonts w:ascii="宋体" w:hAnsi="宋体"/>
                <w:snapToGrid w:val="0"/>
                <w:kern w:val="0"/>
                <w:szCs w:val="21"/>
                <w:highlight w:val="none"/>
              </w:rPr>
            </w:pPr>
            <w:r>
              <w:rPr>
                <w:rFonts w:ascii="宋体" w:hAnsi="宋体"/>
                <w:snapToGrid w:val="0"/>
                <w:kern w:val="0"/>
                <w:szCs w:val="21"/>
                <w:highlight w:val="none"/>
              </w:rPr>
              <w:t>职责分工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Calibri" w:hAnsi="Calibri"/>
                <w:snapToGrid w:val="0"/>
                <w:kern w:val="0"/>
                <w:szCs w:val="21"/>
                <w:highlight w:val="none"/>
                <w:u w:val="single"/>
              </w:rPr>
            </w:pPr>
            <w:r>
              <w:rPr>
                <w:rFonts w:ascii="宋体" w:hAnsi="宋体"/>
                <w:snapToGrid w:val="0"/>
                <w:kern w:val="0"/>
                <w:szCs w:val="21"/>
                <w:highlight w:val="none"/>
                <w:u w:val="single"/>
              </w:rPr>
              <w:t>联合体牵头人名称</w:t>
            </w:r>
          </w:p>
        </w:tc>
        <w:tc>
          <w:tcPr>
            <w:tcW w:w="2410" w:type="dxa"/>
          </w:tcPr>
          <w:p>
            <w:pPr>
              <w:suppressLineNumbers/>
              <w:suppressAutoHyphens/>
              <w:autoSpaceDE w:val="0"/>
              <w:autoSpaceDN w:val="0"/>
              <w:adjustRightInd w:val="0"/>
              <w:snapToGrid w:val="0"/>
              <w:spacing w:line="500" w:lineRule="exact"/>
              <w:ind w:firstLine="420"/>
              <w:jc w:val="left"/>
              <w:rPr>
                <w:rFonts w:ascii="Calibri" w:hAnsi="Calibri"/>
                <w:snapToGrid w:val="0"/>
                <w:kern w:val="0"/>
                <w:szCs w:val="21"/>
                <w:highlight w:val="none"/>
                <w:u w:val="single"/>
              </w:rPr>
            </w:pPr>
            <w:r>
              <w:rPr>
                <w:rFonts w:ascii="宋体" w:hAnsi="宋体"/>
                <w:snapToGrid w:val="0"/>
                <w:kern w:val="0"/>
                <w:szCs w:val="21"/>
                <w:highlight w:val="none"/>
                <w:u w:val="single"/>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suppressLineNumbers/>
              <w:suppressAutoHyphens/>
              <w:autoSpaceDE w:val="0"/>
              <w:autoSpaceDN w:val="0"/>
              <w:adjustRightInd w:val="0"/>
              <w:snapToGrid w:val="0"/>
              <w:spacing w:line="500" w:lineRule="exact"/>
              <w:ind w:firstLine="420"/>
              <w:jc w:val="left"/>
              <w:rPr>
                <w:rFonts w:ascii="Calibri" w:hAnsi="Calibri"/>
                <w:snapToGrid w:val="0"/>
                <w:kern w:val="0"/>
                <w:szCs w:val="21"/>
                <w:highlight w:val="none"/>
                <w:u w:val="single"/>
              </w:rPr>
            </w:pPr>
            <w:r>
              <w:rPr>
                <w:rFonts w:ascii="宋体" w:hAnsi="宋体"/>
                <w:snapToGrid w:val="0"/>
                <w:kern w:val="0"/>
                <w:szCs w:val="21"/>
                <w:highlight w:val="none"/>
                <w:u w:val="single"/>
              </w:rPr>
              <w:t>联合体其他成员单位一名称</w:t>
            </w:r>
          </w:p>
        </w:tc>
        <w:tc>
          <w:tcPr>
            <w:tcW w:w="2410" w:type="dxa"/>
          </w:tcPr>
          <w:p>
            <w:pPr>
              <w:suppressLineNumbers/>
              <w:suppressAutoHyphens/>
              <w:autoSpaceDE w:val="0"/>
              <w:autoSpaceDN w:val="0"/>
              <w:adjustRightInd w:val="0"/>
              <w:snapToGrid w:val="0"/>
              <w:spacing w:line="500" w:lineRule="exact"/>
              <w:ind w:firstLine="420"/>
              <w:jc w:val="left"/>
              <w:rPr>
                <w:rFonts w:ascii="Calibri" w:hAnsi="Calibri"/>
                <w:snapToGrid w:val="0"/>
                <w:kern w:val="0"/>
                <w:szCs w:val="21"/>
                <w:highlight w:val="none"/>
                <w:u w:val="single"/>
              </w:rPr>
            </w:pPr>
            <w:r>
              <w:rPr>
                <w:rFonts w:ascii="宋体" w:hAnsi="宋体"/>
                <w:snapToGrid w:val="0"/>
                <w:kern w:val="0"/>
                <w:szCs w:val="21"/>
                <w:highlight w:val="none"/>
                <w:u w:val="single"/>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suppressLineNumbers/>
              <w:suppressAutoHyphens/>
              <w:autoSpaceDE w:val="0"/>
              <w:autoSpaceDN w:val="0"/>
              <w:adjustRightInd w:val="0"/>
              <w:snapToGrid w:val="0"/>
              <w:spacing w:line="500" w:lineRule="exact"/>
              <w:ind w:firstLine="420"/>
              <w:jc w:val="left"/>
              <w:rPr>
                <w:rFonts w:ascii="Calibri" w:hAnsi="Calibri"/>
                <w:snapToGrid w:val="0"/>
                <w:kern w:val="0"/>
                <w:szCs w:val="21"/>
                <w:highlight w:val="none"/>
                <w:u w:val="single"/>
              </w:rPr>
            </w:pPr>
            <w:r>
              <w:rPr>
                <w:rFonts w:ascii="宋体" w:hAnsi="宋体"/>
                <w:snapToGrid w:val="0"/>
                <w:kern w:val="0"/>
                <w:szCs w:val="21"/>
                <w:highlight w:val="none"/>
                <w:u w:val="single"/>
              </w:rPr>
              <w:t>联合体其他成员单位二名称</w:t>
            </w:r>
          </w:p>
        </w:tc>
        <w:tc>
          <w:tcPr>
            <w:tcW w:w="2410" w:type="dxa"/>
          </w:tcPr>
          <w:p>
            <w:pPr>
              <w:suppressLineNumbers/>
              <w:suppressAutoHyphens/>
              <w:autoSpaceDE w:val="0"/>
              <w:autoSpaceDN w:val="0"/>
              <w:adjustRightInd w:val="0"/>
              <w:snapToGrid w:val="0"/>
              <w:spacing w:line="500" w:lineRule="exact"/>
              <w:ind w:firstLine="420"/>
              <w:jc w:val="left"/>
              <w:rPr>
                <w:rFonts w:ascii="Calibri" w:hAnsi="Calibri"/>
                <w:snapToGrid w:val="0"/>
                <w:kern w:val="0"/>
                <w:szCs w:val="21"/>
                <w:highlight w:val="none"/>
                <w:u w:val="single"/>
              </w:rPr>
            </w:pPr>
            <w:r>
              <w:rPr>
                <w:rFonts w:ascii="宋体" w:hAnsi="宋体"/>
                <w:snapToGrid w:val="0"/>
                <w:kern w:val="0"/>
                <w:szCs w:val="21"/>
                <w:highlight w:val="none"/>
                <w:u w:val="single"/>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highlight w:val="none"/>
              </w:rPr>
            </w:pPr>
            <w:r>
              <w:rPr>
                <w:rFonts w:ascii="宋体" w:hAnsi="宋体"/>
                <w:snapToGrid w:val="0"/>
                <w:kern w:val="0"/>
                <w:szCs w:val="21"/>
                <w:highlight w:val="none"/>
              </w:rPr>
              <w:t>……</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highlight w:val="none"/>
              </w:rPr>
            </w:pP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highlight w:val="none"/>
              </w:rPr>
            </w:pPr>
          </w:p>
        </w:tc>
      </w:tr>
    </w:tbl>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ascii="宋体" w:hAnsi="宋体"/>
          <w:snapToGrid w:val="0"/>
          <w:kern w:val="0"/>
          <w:szCs w:val="21"/>
          <w:highlight w:val="none"/>
        </w:rPr>
        <w:t>6.由联合体牵头人委派本项目的委托代理人。</w:t>
      </w: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ascii="宋体" w:hAnsi="宋体"/>
          <w:snapToGrid w:val="0"/>
          <w:kern w:val="0"/>
          <w:szCs w:val="21"/>
          <w:highlight w:val="none"/>
        </w:rPr>
        <w:t>7.投标工作和联合体在中标后工程实施过程中的有关费用按各自承担的工作量分摊。</w:t>
      </w: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ascii="宋体" w:hAnsi="宋体"/>
          <w:snapToGrid w:val="0"/>
          <w:kern w:val="0"/>
          <w:szCs w:val="21"/>
          <w:highlight w:val="none"/>
        </w:rPr>
        <w:t>8.本协议书自签署之日起生效，合同履行完毕后自动失效。</w:t>
      </w: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ascii="宋体" w:hAnsi="宋体"/>
          <w:snapToGrid w:val="0"/>
          <w:kern w:val="0"/>
          <w:szCs w:val="21"/>
          <w:highlight w:val="none"/>
        </w:rPr>
        <w:t>9.本协议书一式</w:t>
      </w:r>
      <w:r>
        <w:rPr>
          <w:rFonts w:ascii="宋体" w:hAnsi="宋体"/>
          <w:snapToGrid w:val="0"/>
          <w:kern w:val="0"/>
          <w:szCs w:val="21"/>
          <w:highlight w:val="none"/>
          <w:u w:val="single"/>
        </w:rPr>
        <w:t xml:space="preserve">    </w:t>
      </w:r>
      <w:r>
        <w:rPr>
          <w:rFonts w:hint="eastAsia" w:ascii="宋体" w:hAnsi="宋体"/>
          <w:snapToGrid w:val="0"/>
          <w:kern w:val="0"/>
          <w:szCs w:val="21"/>
          <w:highlight w:val="none"/>
        </w:rPr>
        <w:t>份，联合体成员和招标人各执</w:t>
      </w:r>
      <w:r>
        <w:rPr>
          <w:rFonts w:ascii="宋体" w:hAnsi="宋体"/>
          <w:snapToGrid w:val="0"/>
          <w:kern w:val="0"/>
          <w:szCs w:val="21"/>
          <w:highlight w:val="none"/>
          <w:u w:val="single"/>
        </w:rPr>
        <w:t xml:space="preserve">    </w:t>
      </w:r>
      <w:r>
        <w:rPr>
          <w:rFonts w:hint="eastAsia" w:ascii="宋体" w:hAnsi="宋体"/>
          <w:snapToGrid w:val="0"/>
          <w:kern w:val="0"/>
          <w:szCs w:val="21"/>
          <w:highlight w:val="none"/>
        </w:rPr>
        <w:t>份。</w:t>
      </w:r>
    </w:p>
    <w:p>
      <w:pPr>
        <w:widowControl/>
        <w:jc w:val="left"/>
        <w:rPr>
          <w:rFonts w:ascii="宋体" w:hAnsi="宋体"/>
          <w:spacing w:val="-1"/>
          <w:kern w:val="0"/>
          <w:szCs w:val="21"/>
          <w:highlight w:val="none"/>
          <w:u w:val="single"/>
        </w:rPr>
      </w:pP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hint="eastAsia" w:ascii="宋体" w:hAnsi="宋体"/>
          <w:snapToGrid w:val="0"/>
          <w:kern w:val="0"/>
          <w:szCs w:val="21"/>
          <w:highlight w:val="none"/>
        </w:rPr>
        <w:t>牵头人名称：</w:t>
      </w:r>
      <w:r>
        <w:rPr>
          <w:rFonts w:ascii="宋体" w:hAnsi="宋体"/>
          <w:snapToGrid w:val="0"/>
          <w:kern w:val="0"/>
          <w:szCs w:val="21"/>
          <w:highlight w:val="none"/>
          <w:u w:val="single"/>
        </w:rPr>
        <w:t xml:space="preserve">                                （盖单位法人章）</w:t>
      </w: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hint="eastAsia" w:ascii="宋体" w:hAnsi="宋体"/>
          <w:snapToGrid w:val="0"/>
          <w:kern w:val="0"/>
          <w:szCs w:val="21"/>
          <w:highlight w:val="none"/>
        </w:rPr>
        <w:t>法定代表人或其委托代理人：</w:t>
      </w:r>
      <w:r>
        <w:rPr>
          <w:rFonts w:ascii="宋体" w:hAnsi="宋体"/>
          <w:snapToGrid w:val="0"/>
          <w:kern w:val="0"/>
          <w:szCs w:val="21"/>
          <w:highlight w:val="none"/>
          <w:u w:val="single"/>
        </w:rPr>
        <w:t xml:space="preserve">                  （签名或盖章）</w:t>
      </w: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hint="eastAsia" w:ascii="宋体" w:hAnsi="宋体"/>
          <w:snapToGrid w:val="0"/>
          <w:kern w:val="0"/>
          <w:szCs w:val="21"/>
          <w:highlight w:val="none"/>
        </w:rPr>
        <w:t>联合体其他成员单位一名称：</w:t>
      </w:r>
      <w:r>
        <w:rPr>
          <w:rFonts w:ascii="宋体" w:hAnsi="宋体"/>
          <w:snapToGrid w:val="0"/>
          <w:kern w:val="0"/>
          <w:szCs w:val="21"/>
          <w:highlight w:val="none"/>
          <w:u w:val="single"/>
        </w:rPr>
        <w:t xml:space="preserve">                  （盖单位法人章）</w:t>
      </w: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hint="eastAsia" w:ascii="宋体" w:hAnsi="宋体"/>
          <w:snapToGrid w:val="0"/>
          <w:kern w:val="0"/>
          <w:szCs w:val="21"/>
          <w:highlight w:val="none"/>
        </w:rPr>
        <w:t>法定代表人或其委托代理人：</w:t>
      </w:r>
      <w:r>
        <w:rPr>
          <w:rFonts w:ascii="宋体" w:hAnsi="宋体"/>
          <w:snapToGrid w:val="0"/>
          <w:kern w:val="0"/>
          <w:szCs w:val="21"/>
          <w:highlight w:val="none"/>
          <w:u w:val="single"/>
        </w:rPr>
        <w:t xml:space="preserve">                  （签名或盖章）</w:t>
      </w:r>
    </w:p>
    <w:p>
      <w:pPr>
        <w:autoSpaceDE w:val="0"/>
        <w:autoSpaceDN w:val="0"/>
        <w:adjustRightInd w:val="0"/>
        <w:snapToGrid w:val="0"/>
        <w:spacing w:line="466" w:lineRule="exact"/>
        <w:ind w:firstLine="420"/>
        <w:jc w:val="left"/>
        <w:rPr>
          <w:rFonts w:ascii="宋体" w:hAnsi="宋体"/>
          <w:snapToGrid w:val="0"/>
          <w:kern w:val="0"/>
          <w:szCs w:val="21"/>
          <w:highlight w:val="none"/>
        </w:rPr>
      </w:pPr>
      <w:r>
        <w:rPr>
          <w:rFonts w:hint="eastAsia" w:ascii="宋体" w:hAnsi="宋体"/>
          <w:snapToGrid w:val="0"/>
          <w:kern w:val="0"/>
          <w:szCs w:val="21"/>
          <w:highlight w:val="none"/>
        </w:rPr>
        <w:t>联合体其他成员单位二名称：</w:t>
      </w:r>
      <w:r>
        <w:rPr>
          <w:rFonts w:ascii="宋体" w:hAnsi="宋体"/>
          <w:snapToGrid w:val="0"/>
          <w:kern w:val="0"/>
          <w:szCs w:val="21"/>
          <w:highlight w:val="none"/>
          <w:u w:val="single"/>
        </w:rPr>
        <w:t xml:space="preserve">                  （盖单位法人章）</w:t>
      </w:r>
    </w:p>
    <w:p>
      <w:pPr>
        <w:tabs>
          <w:tab w:val="left" w:pos="5140"/>
          <w:tab w:val="left" w:pos="6100"/>
          <w:tab w:val="left" w:pos="6820"/>
        </w:tabs>
        <w:autoSpaceDE w:val="0"/>
        <w:autoSpaceDN w:val="0"/>
        <w:adjustRightInd w:val="0"/>
        <w:spacing w:line="466" w:lineRule="exact"/>
        <w:ind w:firstLine="420" w:firstLineChars="200"/>
        <w:jc w:val="left"/>
        <w:rPr>
          <w:rFonts w:ascii="宋体" w:hAnsi="宋体"/>
          <w:kern w:val="0"/>
          <w:szCs w:val="21"/>
          <w:highlight w:val="none"/>
        </w:rPr>
      </w:pPr>
      <w:r>
        <w:rPr>
          <w:rFonts w:hint="eastAsia" w:ascii="宋体" w:hAnsi="宋体"/>
          <w:snapToGrid w:val="0"/>
          <w:kern w:val="0"/>
          <w:szCs w:val="21"/>
          <w:highlight w:val="none"/>
        </w:rPr>
        <w:t>法定代表人或其委托代理人：</w:t>
      </w:r>
      <w:r>
        <w:rPr>
          <w:rFonts w:ascii="宋体" w:hAnsi="宋体"/>
          <w:snapToGrid w:val="0"/>
          <w:kern w:val="0"/>
          <w:szCs w:val="21"/>
          <w:highlight w:val="none"/>
          <w:u w:val="single"/>
        </w:rPr>
        <w:t xml:space="preserve">                  （签名或盖章）</w:t>
      </w:r>
    </w:p>
    <w:p>
      <w:pPr>
        <w:tabs>
          <w:tab w:val="left" w:pos="5140"/>
          <w:tab w:val="left" w:pos="6100"/>
          <w:tab w:val="left" w:pos="6820"/>
        </w:tabs>
        <w:autoSpaceDE w:val="0"/>
        <w:autoSpaceDN w:val="0"/>
        <w:adjustRightInd w:val="0"/>
        <w:spacing w:line="466" w:lineRule="exact"/>
        <w:ind w:firstLine="420" w:firstLineChars="200"/>
        <w:jc w:val="left"/>
        <w:rPr>
          <w:rFonts w:ascii="宋体" w:hAnsi="宋体"/>
          <w:kern w:val="0"/>
          <w:szCs w:val="21"/>
          <w:highlight w:val="none"/>
        </w:rPr>
      </w:pPr>
      <w:r>
        <w:rPr>
          <w:rFonts w:ascii="宋体" w:hAnsi="宋体"/>
          <w:kern w:val="0"/>
          <w:szCs w:val="21"/>
          <w:highlight w:val="none"/>
        </w:rPr>
        <w:t>……</w:t>
      </w:r>
    </w:p>
    <w:p>
      <w:pPr>
        <w:tabs>
          <w:tab w:val="left" w:pos="3840"/>
          <w:tab w:val="left" w:pos="4780"/>
          <w:tab w:val="left" w:pos="5720"/>
        </w:tabs>
        <w:wordWrap w:val="0"/>
        <w:autoSpaceDE w:val="0"/>
        <w:autoSpaceDN w:val="0"/>
        <w:adjustRightInd w:val="0"/>
        <w:snapToGrid w:val="0"/>
        <w:spacing w:line="466" w:lineRule="exact"/>
        <w:jc w:val="right"/>
        <w:rPr>
          <w:rFonts w:ascii="宋体" w:hAnsi="宋体"/>
          <w:kern w:val="0"/>
          <w:szCs w:val="21"/>
          <w:highlight w:val="none"/>
        </w:rPr>
      </w:pPr>
      <w:r>
        <w:rPr>
          <w:rFonts w:ascii="宋体" w:hAnsi="宋体"/>
          <w:w w:val="200"/>
          <w:kern w:val="0"/>
          <w:szCs w:val="21"/>
          <w:highlight w:val="none"/>
          <w:u w:val="single"/>
        </w:rPr>
        <w:t xml:space="preserve">      </w:t>
      </w:r>
      <w:r>
        <w:rPr>
          <w:rFonts w:ascii="宋体" w:hAnsi="宋体"/>
          <w:kern w:val="0"/>
          <w:szCs w:val="21"/>
          <w:highlight w:val="none"/>
        </w:rPr>
        <w:t>年</w:t>
      </w:r>
      <w:r>
        <w:rPr>
          <w:rFonts w:ascii="宋体" w:hAnsi="宋体"/>
          <w:w w:val="200"/>
          <w:kern w:val="0"/>
          <w:szCs w:val="21"/>
          <w:highlight w:val="none"/>
          <w:u w:val="single"/>
        </w:rPr>
        <w:t xml:space="preserve">    </w:t>
      </w:r>
      <w:r>
        <w:rPr>
          <w:rFonts w:ascii="宋体" w:hAnsi="宋体"/>
          <w:kern w:val="0"/>
          <w:szCs w:val="21"/>
          <w:highlight w:val="none"/>
        </w:rPr>
        <w:t>月</w:t>
      </w:r>
      <w:r>
        <w:rPr>
          <w:rFonts w:ascii="宋体" w:hAnsi="宋体"/>
          <w:w w:val="200"/>
          <w:kern w:val="0"/>
          <w:szCs w:val="21"/>
          <w:highlight w:val="none"/>
          <w:u w:val="single"/>
        </w:rPr>
        <w:t xml:space="preserve">    </w:t>
      </w:r>
      <w:r>
        <w:rPr>
          <w:rFonts w:ascii="宋体" w:hAnsi="宋体"/>
          <w:kern w:val="0"/>
          <w:szCs w:val="21"/>
          <w:highlight w:val="none"/>
        </w:rPr>
        <w:t>日</w:t>
      </w:r>
      <w:r>
        <w:rPr>
          <w:rFonts w:hint="eastAsia" w:ascii="宋体" w:hAnsi="宋体"/>
          <w:kern w:val="0"/>
          <w:szCs w:val="21"/>
          <w:highlight w:val="none"/>
        </w:rPr>
        <w:t xml:space="preserve">  </w:t>
      </w:r>
    </w:p>
    <w:p>
      <w:pPr>
        <w:pStyle w:val="9"/>
        <w:tabs>
          <w:tab w:val="left" w:pos="315"/>
        </w:tabs>
        <w:spacing w:line="466" w:lineRule="exact"/>
        <w:ind w:firstLine="0"/>
        <w:jc w:val="right"/>
        <w:rPr>
          <w:rFonts w:ascii="宋体" w:hAnsi="宋体" w:eastAsia="宋体"/>
          <w:sz w:val="21"/>
          <w:szCs w:val="21"/>
          <w:highlight w:val="none"/>
        </w:rPr>
      </w:pPr>
      <w:r>
        <w:rPr>
          <w:rFonts w:eastAsia="仿宋_GB2312"/>
          <w:kern w:val="0"/>
          <w:sz w:val="30"/>
          <w:szCs w:val="20"/>
          <w:highlight w:val="none"/>
        </w:rPr>
        <mc:AlternateContent>
          <mc:Choice Requires="wps">
            <w:drawing>
              <wp:anchor distT="0" distB="0" distL="114300" distR="114300" simplePos="0" relativeHeight="251660288" behindDoc="0" locked="0" layoutInCell="1" allowOverlap="1">
                <wp:simplePos x="0" y="0"/>
                <wp:positionH relativeFrom="column">
                  <wp:posOffset>47625</wp:posOffset>
                </wp:positionH>
                <wp:positionV relativeFrom="paragraph">
                  <wp:posOffset>240665</wp:posOffset>
                </wp:positionV>
                <wp:extent cx="5470525" cy="0"/>
                <wp:effectExtent l="0" t="0" r="0" b="0"/>
                <wp:wrapNone/>
                <wp:docPr id="2" name="直接连接符 4"/>
                <wp:cNvGraphicFramePr/>
                <a:graphic xmlns:a="http://schemas.openxmlformats.org/drawingml/2006/main">
                  <a:graphicData uri="http://schemas.microsoft.com/office/word/2010/wordprocessingShape">
                    <wps:wsp>
                      <wps:cNvCnPr/>
                      <wps:spPr>
                        <a:xfrm>
                          <a:off x="0" y="0"/>
                          <a:ext cx="5470525" cy="0"/>
                        </a:xfrm>
                        <a:prstGeom prst="line">
                          <a:avLst/>
                        </a:prstGeom>
                        <a:ln w="3175" cap="flat" cmpd="sng">
                          <a:solidFill>
                            <a:srgbClr val="000000"/>
                          </a:solidFill>
                          <a:prstDash val="solid"/>
                          <a:headEnd type="none" w="med" len="med"/>
                          <a:tailEnd type="none" w="med" len="med"/>
                        </a:ln>
                      </wps:spPr>
                      <wps:bodyPr/>
                    </wps:wsp>
                  </a:graphicData>
                </a:graphic>
              </wp:anchor>
            </w:drawing>
          </mc:Choice>
          <mc:Fallback>
            <w:pict>
              <v:line id="直接连接符 4" o:spid="_x0000_s1026" o:spt="20" style="position:absolute;left:0pt;margin-left:3.75pt;margin-top:18.95pt;height:0pt;width:430.75pt;z-index:251660288;mso-width-relative:page;mso-height-relative:page;" filled="f" stroked="t" coordsize="21600,21600" o:gfxdata="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XJyg1dcAAAAHAQAADwAAAAAAAAABACAAAAAi&#10;AAAAZHJzL2Rvd25yZXYueG1sUEsBAhQAFAAAAAgAh07iQPNSwM3SAQAAigMAAA4AAAAAAAAAAQAg&#10;AAAAJgEAAGRycy9lMm9Eb2MueG1sUEsFBgAAAAAGAAYAWQEAAGoFAAAAAA==&#10;">
                <v:fill on="f" focussize="0,0"/>
                <v:stroke weight="0.25pt" color="#000000" joinstyle="round"/>
                <v:imagedata o:title=""/>
                <o:lock v:ext="edit" aspectratio="f"/>
              </v:line>
            </w:pict>
          </mc:Fallback>
        </mc:AlternateContent>
      </w:r>
    </w:p>
    <w:p>
      <w:pPr>
        <w:autoSpaceDE w:val="0"/>
        <w:autoSpaceDN w:val="0"/>
        <w:adjustRightInd w:val="0"/>
        <w:snapToGrid w:val="0"/>
        <w:spacing w:line="360" w:lineRule="auto"/>
        <w:ind w:firstLine="420" w:firstLineChars="200"/>
        <w:rPr>
          <w:rFonts w:ascii="宋体" w:hAnsi="宋体"/>
          <w:kern w:val="0"/>
          <w:szCs w:val="21"/>
          <w:highlight w:val="none"/>
        </w:rPr>
      </w:pPr>
      <w:r>
        <w:rPr>
          <w:rFonts w:ascii="宋体" w:hAnsi="宋体"/>
          <w:szCs w:val="21"/>
          <w:highlight w:val="none"/>
        </w:rPr>
        <w:t>注：</w:t>
      </w:r>
      <w:r>
        <w:rPr>
          <w:rFonts w:ascii="宋体" w:hAnsi="宋体"/>
          <w:kern w:val="0"/>
          <w:szCs w:val="21"/>
          <w:highlight w:val="none"/>
        </w:rPr>
        <w:t>1.在联合体协议书第5条联合体各成员单位内部的职责分工中填写的联合体所有成员单位名称应与其营业执照、资质证书一致（依法变更名称的应提交相应证明材料），否则由评标委员会作否决投标处理。</w:t>
      </w:r>
    </w:p>
    <w:p>
      <w:pPr>
        <w:keepNext w:val="0"/>
        <w:keepLines w:val="0"/>
        <w:spacing w:before="0" w:after="0" w:line="240" w:lineRule="auto"/>
        <w:ind w:firstLine="420" w:firstLineChars="200"/>
        <w:jc w:val="left"/>
        <w:outlineLvl w:val="9"/>
        <w:rPr>
          <w:rFonts w:eastAsia="黑体"/>
          <w:sz w:val="28"/>
          <w:szCs w:val="20"/>
          <w:highlight w:val="none"/>
        </w:rPr>
      </w:pPr>
      <w:r>
        <w:rPr>
          <w:rFonts w:ascii="宋体" w:hAnsi="宋体"/>
          <w:kern w:val="0"/>
          <w:szCs w:val="21"/>
          <w:highlight w:val="none"/>
        </w:rPr>
        <w:t>2.本协议书由委托代理人签名或盖章的，应附法定代表人签名或盖章的授权委托书。</w:t>
      </w:r>
      <w:bookmarkStart w:id="2140" w:name="_Toc75857134"/>
      <w:r>
        <w:rPr>
          <w:rFonts w:hint="eastAsia" w:eastAsia="黑体"/>
          <w:sz w:val="28"/>
          <w:szCs w:val="20"/>
          <w:highlight w:val="none"/>
        </w:rPr>
        <w:br w:type="page"/>
      </w:r>
    </w:p>
    <w:p>
      <w:pPr>
        <w:keepNext/>
        <w:keepLines/>
        <w:spacing w:before="260" w:after="260" w:line="412" w:lineRule="auto"/>
        <w:ind w:firstLine="137" w:firstLineChars="49"/>
        <w:jc w:val="center"/>
        <w:outlineLvl w:val="1"/>
        <w:rPr>
          <w:rFonts w:eastAsia="黑体"/>
          <w:sz w:val="28"/>
          <w:szCs w:val="20"/>
          <w:highlight w:val="none"/>
        </w:rPr>
      </w:pPr>
      <w:bookmarkStart w:id="2141" w:name="_Toc21803"/>
      <w:bookmarkStart w:id="2142" w:name="_Toc16597"/>
      <w:bookmarkStart w:id="2143" w:name="_Toc10183"/>
      <w:bookmarkStart w:id="2144" w:name="_Toc18986"/>
      <w:bookmarkStart w:id="2145" w:name="_Toc10372"/>
      <w:r>
        <w:rPr>
          <w:rFonts w:hint="eastAsia" w:eastAsia="黑体"/>
          <w:sz w:val="28"/>
          <w:szCs w:val="20"/>
          <w:highlight w:val="none"/>
        </w:rPr>
        <w:t>（四）近年财务状况表</w:t>
      </w:r>
      <w:bookmarkEnd w:id="2133"/>
      <w:bookmarkEnd w:id="2140"/>
      <w:bookmarkEnd w:id="2141"/>
      <w:bookmarkEnd w:id="2142"/>
      <w:bookmarkEnd w:id="2143"/>
      <w:bookmarkEnd w:id="2144"/>
      <w:bookmarkEnd w:id="2145"/>
    </w:p>
    <w:p>
      <w:pPr>
        <w:topLinePunct/>
        <w:spacing w:line="440" w:lineRule="exact"/>
        <w:ind w:firstLine="420" w:firstLineChars="200"/>
        <w:rPr>
          <w:color w:val="000000"/>
          <w:szCs w:val="22"/>
          <w:highlight w:val="none"/>
        </w:rPr>
      </w:pPr>
      <w:r>
        <w:rPr>
          <w:color w:val="000000"/>
          <w:szCs w:val="22"/>
          <w:highlight w:val="none"/>
        </w:rPr>
        <w:t>附相关证明材料。</w:t>
      </w:r>
    </w:p>
    <w:p>
      <w:pPr>
        <w:topLinePunct/>
        <w:spacing w:line="440" w:lineRule="exact"/>
        <w:ind w:firstLine="420" w:firstLineChars="200"/>
        <w:rPr>
          <w:sz w:val="20"/>
          <w:szCs w:val="22"/>
          <w:highlight w:val="none"/>
        </w:rPr>
      </w:pPr>
      <w:r>
        <w:rPr>
          <w:color w:val="000000"/>
          <w:szCs w:val="22"/>
          <w:highlight w:val="none"/>
        </w:rPr>
        <w:br w:type="page"/>
      </w:r>
    </w:p>
    <w:p>
      <w:pPr>
        <w:keepNext/>
        <w:keepLines/>
        <w:spacing w:before="260" w:after="260" w:line="412" w:lineRule="auto"/>
        <w:ind w:firstLine="137" w:firstLineChars="49"/>
        <w:jc w:val="center"/>
        <w:outlineLvl w:val="1"/>
        <w:rPr>
          <w:rFonts w:eastAsia="黑体"/>
          <w:sz w:val="28"/>
          <w:szCs w:val="20"/>
          <w:highlight w:val="none"/>
        </w:rPr>
      </w:pPr>
      <w:bookmarkStart w:id="2146" w:name="_Toc18466"/>
      <w:bookmarkStart w:id="2147" w:name="_Toc15619"/>
      <w:bookmarkStart w:id="2148" w:name="_Toc492300951"/>
      <w:bookmarkStart w:id="2149" w:name="_Toc16066"/>
      <w:bookmarkStart w:id="2150" w:name="_Toc28"/>
      <w:bookmarkStart w:id="2151" w:name="_Toc75857135"/>
      <w:bookmarkStart w:id="2152" w:name="_Toc7744"/>
      <w:r>
        <w:rPr>
          <w:rFonts w:hint="eastAsia" w:eastAsia="黑体"/>
          <w:sz w:val="28"/>
          <w:szCs w:val="20"/>
          <w:highlight w:val="none"/>
        </w:rPr>
        <w:t>（五）近年完成的类似项目情况表</w:t>
      </w:r>
      <w:bookmarkEnd w:id="2146"/>
      <w:bookmarkEnd w:id="2147"/>
      <w:bookmarkEnd w:id="2148"/>
      <w:bookmarkEnd w:id="2149"/>
      <w:bookmarkEnd w:id="2150"/>
      <w:bookmarkEnd w:id="2151"/>
      <w:bookmarkEnd w:id="2152"/>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发包人电话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勘察服务期限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勘察内容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项目负责人</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p>
            <w:pPr>
              <w:topLinePunct/>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szCs w:val="22"/>
                <w:highlight w:val="none"/>
              </w:rPr>
            </w:pPr>
            <w:r>
              <w:rPr>
                <w:rFonts w:hint="eastAsia"/>
                <w:szCs w:val="22"/>
                <w:highlight w:val="none"/>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40" w:lineRule="exact"/>
              <w:rPr>
                <w:szCs w:val="22"/>
                <w:highlight w:val="none"/>
              </w:rPr>
            </w:pPr>
          </w:p>
        </w:tc>
      </w:tr>
    </w:tbl>
    <w:p>
      <w:pPr>
        <w:topLinePunct/>
        <w:spacing w:line="440" w:lineRule="exact"/>
        <w:ind w:firstLine="420" w:firstLineChars="200"/>
        <w:rPr>
          <w:color w:val="000000"/>
          <w:szCs w:val="22"/>
          <w:highlight w:val="none"/>
        </w:rPr>
      </w:pPr>
      <w:r>
        <w:rPr>
          <w:color w:val="000000"/>
          <w:szCs w:val="22"/>
          <w:highlight w:val="none"/>
        </w:rPr>
        <w:t>附相关证明材料。</w:t>
      </w:r>
    </w:p>
    <w:p>
      <w:pPr>
        <w:spacing w:line="440" w:lineRule="exact"/>
        <w:rPr>
          <w:szCs w:val="22"/>
          <w:highlight w:val="none"/>
        </w:rPr>
      </w:pPr>
    </w:p>
    <w:p>
      <w:pPr>
        <w:spacing w:line="440" w:lineRule="exact"/>
        <w:rPr>
          <w:szCs w:val="22"/>
          <w:highlight w:val="none"/>
        </w:rPr>
      </w:pPr>
    </w:p>
    <w:p>
      <w:pPr>
        <w:spacing w:line="440" w:lineRule="exact"/>
        <w:rPr>
          <w:szCs w:val="22"/>
          <w:highlight w:val="none"/>
        </w:rPr>
      </w:pPr>
    </w:p>
    <w:p>
      <w:pPr>
        <w:topLinePunct/>
        <w:spacing w:line="440" w:lineRule="exact"/>
        <w:rPr>
          <w:szCs w:val="22"/>
          <w:highlight w:val="none"/>
        </w:rPr>
      </w:pPr>
      <w:r>
        <w:rPr>
          <w:szCs w:val="22"/>
          <w:highlight w:val="none"/>
        </w:rPr>
        <w:br w:type="page"/>
      </w:r>
    </w:p>
    <w:bookmarkEnd w:id="2059"/>
    <w:p>
      <w:pPr>
        <w:keepNext/>
        <w:keepLines/>
        <w:spacing w:before="260" w:after="260" w:line="412" w:lineRule="auto"/>
        <w:jc w:val="center"/>
        <w:outlineLvl w:val="1"/>
        <w:rPr>
          <w:rFonts w:eastAsia="黑体"/>
          <w:sz w:val="28"/>
          <w:szCs w:val="20"/>
          <w:highlight w:val="none"/>
        </w:rPr>
      </w:pPr>
      <w:bookmarkStart w:id="2153" w:name="_Toc11919"/>
      <w:bookmarkStart w:id="2154" w:name="_Toc75857136"/>
      <w:bookmarkStart w:id="2155" w:name="_Toc12603"/>
      <w:bookmarkStart w:id="2156" w:name="_Toc492300954"/>
      <w:bookmarkStart w:id="2157" w:name="_Toc5692"/>
      <w:bookmarkStart w:id="2158" w:name="_Toc22525"/>
      <w:bookmarkStart w:id="2159" w:name="_Toc12180"/>
      <w:bookmarkStart w:id="2160" w:name="_Toc482188667"/>
      <w:r>
        <w:rPr>
          <w:rFonts w:hint="eastAsia" w:eastAsia="黑体"/>
          <w:sz w:val="28"/>
          <w:szCs w:val="20"/>
          <w:highlight w:val="none"/>
        </w:rPr>
        <w:t>（六）拟委任的主要人员汇总表</w:t>
      </w:r>
      <w:bookmarkEnd w:id="2153"/>
      <w:bookmarkEnd w:id="2154"/>
      <w:bookmarkEnd w:id="2155"/>
      <w:bookmarkEnd w:id="2156"/>
      <w:bookmarkEnd w:id="2157"/>
      <w:bookmarkEnd w:id="2158"/>
      <w:bookmarkEnd w:id="2159"/>
      <w:bookmarkEnd w:id="2160"/>
    </w:p>
    <w:tbl>
      <w:tblPr>
        <w:tblStyle w:val="55"/>
        <w:tblW w:w="80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75"/>
        <w:gridCol w:w="992"/>
        <w:gridCol w:w="603"/>
        <w:gridCol w:w="488"/>
        <w:gridCol w:w="1134"/>
        <w:gridCol w:w="709"/>
        <w:gridCol w:w="871"/>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Merge w:val="restart"/>
            <w:vAlign w:val="center"/>
          </w:tcPr>
          <w:p>
            <w:pPr>
              <w:spacing w:line="440" w:lineRule="exact"/>
              <w:jc w:val="center"/>
              <w:rPr>
                <w:szCs w:val="22"/>
                <w:highlight w:val="none"/>
              </w:rPr>
            </w:pPr>
            <w:r>
              <w:rPr>
                <w:rFonts w:hint="eastAsia"/>
                <w:szCs w:val="22"/>
                <w:highlight w:val="none"/>
              </w:rPr>
              <w:t>序号</w:t>
            </w:r>
          </w:p>
        </w:tc>
        <w:tc>
          <w:tcPr>
            <w:tcW w:w="1275" w:type="dxa"/>
            <w:vMerge w:val="restart"/>
            <w:vAlign w:val="center"/>
          </w:tcPr>
          <w:p>
            <w:pPr>
              <w:spacing w:line="440" w:lineRule="exact"/>
              <w:jc w:val="center"/>
              <w:rPr>
                <w:szCs w:val="22"/>
                <w:highlight w:val="none"/>
              </w:rPr>
            </w:pPr>
            <w:r>
              <w:rPr>
                <w:rFonts w:hint="eastAsia"/>
                <w:szCs w:val="22"/>
                <w:highlight w:val="none"/>
              </w:rPr>
              <w:t>本项目任职</w:t>
            </w:r>
          </w:p>
        </w:tc>
        <w:tc>
          <w:tcPr>
            <w:tcW w:w="992" w:type="dxa"/>
            <w:vMerge w:val="restart"/>
            <w:vAlign w:val="center"/>
          </w:tcPr>
          <w:p>
            <w:pPr>
              <w:spacing w:line="440" w:lineRule="exact"/>
              <w:jc w:val="center"/>
              <w:rPr>
                <w:szCs w:val="22"/>
                <w:highlight w:val="none"/>
              </w:rPr>
            </w:pPr>
            <w:r>
              <w:rPr>
                <w:rFonts w:hint="eastAsia"/>
                <w:szCs w:val="22"/>
                <w:highlight w:val="none"/>
              </w:rPr>
              <w:t>姓名</w:t>
            </w:r>
          </w:p>
        </w:tc>
        <w:tc>
          <w:tcPr>
            <w:tcW w:w="603" w:type="dxa"/>
            <w:vMerge w:val="restart"/>
            <w:vAlign w:val="center"/>
          </w:tcPr>
          <w:p>
            <w:pPr>
              <w:spacing w:line="440" w:lineRule="exact"/>
              <w:jc w:val="center"/>
              <w:rPr>
                <w:szCs w:val="22"/>
                <w:highlight w:val="none"/>
              </w:rPr>
            </w:pPr>
            <w:r>
              <w:rPr>
                <w:rFonts w:hint="eastAsia"/>
                <w:szCs w:val="22"/>
                <w:highlight w:val="none"/>
              </w:rPr>
              <w:t>职称</w:t>
            </w:r>
          </w:p>
        </w:tc>
        <w:tc>
          <w:tcPr>
            <w:tcW w:w="488" w:type="dxa"/>
            <w:vMerge w:val="restart"/>
            <w:vAlign w:val="center"/>
          </w:tcPr>
          <w:p>
            <w:pPr>
              <w:spacing w:line="440" w:lineRule="exact"/>
              <w:jc w:val="center"/>
              <w:rPr>
                <w:szCs w:val="22"/>
                <w:highlight w:val="none"/>
              </w:rPr>
            </w:pPr>
            <w:r>
              <w:rPr>
                <w:rFonts w:hint="eastAsia"/>
                <w:szCs w:val="22"/>
                <w:highlight w:val="none"/>
              </w:rPr>
              <w:t>专业</w:t>
            </w:r>
          </w:p>
        </w:tc>
        <w:tc>
          <w:tcPr>
            <w:tcW w:w="2714" w:type="dxa"/>
            <w:gridSpan w:val="3"/>
            <w:vAlign w:val="center"/>
          </w:tcPr>
          <w:p>
            <w:pPr>
              <w:spacing w:line="440" w:lineRule="exact"/>
              <w:jc w:val="center"/>
              <w:rPr>
                <w:szCs w:val="22"/>
                <w:highlight w:val="none"/>
              </w:rPr>
            </w:pPr>
            <w:r>
              <w:rPr>
                <w:rFonts w:hint="eastAsia"/>
                <w:szCs w:val="22"/>
                <w:highlight w:val="none"/>
              </w:rPr>
              <w:t>执业或职业资格证明</w:t>
            </w:r>
          </w:p>
        </w:tc>
        <w:tc>
          <w:tcPr>
            <w:tcW w:w="1134" w:type="dxa"/>
            <w:vAlign w:val="center"/>
          </w:tcPr>
          <w:p>
            <w:pPr>
              <w:spacing w:line="440" w:lineRule="exact"/>
              <w:jc w:val="center"/>
              <w:rPr>
                <w:szCs w:val="22"/>
                <w:highlight w:val="none"/>
              </w:rPr>
            </w:pPr>
            <w:r>
              <w:rPr>
                <w:rFonts w:hint="eastAsia"/>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Merge w:val="continue"/>
            <w:vAlign w:val="center"/>
          </w:tcPr>
          <w:p>
            <w:pPr>
              <w:rPr>
                <w:szCs w:val="22"/>
                <w:highlight w:val="none"/>
              </w:rPr>
            </w:pPr>
          </w:p>
        </w:tc>
        <w:tc>
          <w:tcPr>
            <w:tcW w:w="1275" w:type="dxa"/>
            <w:vMerge w:val="continue"/>
          </w:tcPr>
          <w:p>
            <w:pPr>
              <w:rPr>
                <w:szCs w:val="22"/>
                <w:highlight w:val="none"/>
              </w:rPr>
            </w:pPr>
          </w:p>
        </w:tc>
        <w:tc>
          <w:tcPr>
            <w:tcW w:w="992" w:type="dxa"/>
            <w:vMerge w:val="continue"/>
            <w:vAlign w:val="center"/>
          </w:tcPr>
          <w:p>
            <w:pPr>
              <w:rPr>
                <w:szCs w:val="22"/>
                <w:highlight w:val="none"/>
              </w:rPr>
            </w:pPr>
          </w:p>
        </w:tc>
        <w:tc>
          <w:tcPr>
            <w:tcW w:w="603" w:type="dxa"/>
            <w:vMerge w:val="continue"/>
            <w:vAlign w:val="center"/>
          </w:tcPr>
          <w:p>
            <w:pPr>
              <w:rPr>
                <w:szCs w:val="22"/>
                <w:highlight w:val="none"/>
              </w:rPr>
            </w:pPr>
          </w:p>
        </w:tc>
        <w:tc>
          <w:tcPr>
            <w:tcW w:w="488" w:type="dxa"/>
            <w:vMerge w:val="continue"/>
            <w:vAlign w:val="center"/>
          </w:tcPr>
          <w:p>
            <w:pPr>
              <w:spacing w:line="440" w:lineRule="exact"/>
              <w:jc w:val="center"/>
              <w:rPr>
                <w:szCs w:val="22"/>
                <w:highlight w:val="none"/>
              </w:rPr>
            </w:pPr>
          </w:p>
        </w:tc>
        <w:tc>
          <w:tcPr>
            <w:tcW w:w="1134" w:type="dxa"/>
            <w:vAlign w:val="center"/>
          </w:tcPr>
          <w:p>
            <w:pPr>
              <w:spacing w:before="100" w:beforeAutospacing="1" w:after="100" w:afterAutospacing="1" w:line="440" w:lineRule="exact"/>
              <w:jc w:val="center"/>
              <w:rPr>
                <w:szCs w:val="22"/>
                <w:highlight w:val="none"/>
              </w:rPr>
            </w:pPr>
            <w:r>
              <w:rPr>
                <w:rFonts w:hint="eastAsia"/>
                <w:szCs w:val="22"/>
                <w:highlight w:val="none"/>
              </w:rPr>
              <w:t>证书名称</w:t>
            </w:r>
          </w:p>
        </w:tc>
        <w:tc>
          <w:tcPr>
            <w:tcW w:w="709" w:type="dxa"/>
            <w:vAlign w:val="center"/>
          </w:tcPr>
          <w:p>
            <w:pPr>
              <w:spacing w:before="100" w:beforeAutospacing="1" w:after="100" w:afterAutospacing="1" w:line="440" w:lineRule="exact"/>
              <w:jc w:val="center"/>
              <w:rPr>
                <w:szCs w:val="22"/>
                <w:highlight w:val="none"/>
              </w:rPr>
            </w:pPr>
            <w:r>
              <w:rPr>
                <w:rFonts w:hint="eastAsia"/>
                <w:szCs w:val="22"/>
                <w:highlight w:val="none"/>
              </w:rPr>
              <w:t>级别</w:t>
            </w:r>
          </w:p>
        </w:tc>
        <w:tc>
          <w:tcPr>
            <w:tcW w:w="871" w:type="dxa"/>
            <w:vAlign w:val="center"/>
          </w:tcPr>
          <w:p>
            <w:pPr>
              <w:spacing w:before="100" w:beforeAutospacing="1" w:after="100" w:afterAutospacing="1" w:line="440" w:lineRule="exact"/>
              <w:jc w:val="center"/>
              <w:rPr>
                <w:szCs w:val="22"/>
                <w:highlight w:val="none"/>
              </w:rPr>
            </w:pPr>
            <w:r>
              <w:rPr>
                <w:rFonts w:hint="eastAsia"/>
                <w:szCs w:val="22"/>
                <w:highlight w:val="none"/>
              </w:rPr>
              <w:t>证号</w:t>
            </w:r>
          </w:p>
        </w:tc>
        <w:tc>
          <w:tcPr>
            <w:tcW w:w="1134" w:type="dxa"/>
            <w:vAlign w:val="center"/>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Align w:val="center"/>
          </w:tcPr>
          <w:p>
            <w:pPr>
              <w:spacing w:line="440" w:lineRule="exact"/>
              <w:jc w:val="center"/>
              <w:rPr>
                <w:szCs w:val="22"/>
                <w:highlight w:val="none"/>
              </w:rPr>
            </w:pPr>
            <w:r>
              <w:rPr>
                <w:rFonts w:hint="eastAsia"/>
                <w:szCs w:val="22"/>
                <w:highlight w:val="none"/>
              </w:rPr>
              <w:t>1</w:t>
            </w:r>
          </w:p>
        </w:tc>
        <w:tc>
          <w:tcPr>
            <w:tcW w:w="1275" w:type="dxa"/>
          </w:tcPr>
          <w:p>
            <w:pPr>
              <w:spacing w:line="440" w:lineRule="exact"/>
              <w:jc w:val="center"/>
              <w:rPr>
                <w:szCs w:val="22"/>
                <w:highlight w:val="none"/>
              </w:rPr>
            </w:pPr>
            <w:r>
              <w:rPr>
                <w:szCs w:val="22"/>
                <w:highlight w:val="none"/>
              </w:rPr>
              <w:t>项目负责人</w:t>
            </w:r>
          </w:p>
        </w:tc>
        <w:tc>
          <w:tcPr>
            <w:tcW w:w="992" w:type="dxa"/>
            <w:vAlign w:val="center"/>
          </w:tcPr>
          <w:p>
            <w:pPr>
              <w:spacing w:line="440" w:lineRule="exact"/>
              <w:jc w:val="center"/>
              <w:rPr>
                <w:szCs w:val="22"/>
                <w:highlight w:val="none"/>
              </w:rPr>
            </w:pPr>
          </w:p>
        </w:tc>
        <w:tc>
          <w:tcPr>
            <w:tcW w:w="603" w:type="dxa"/>
            <w:vAlign w:val="center"/>
          </w:tcPr>
          <w:p>
            <w:pPr>
              <w:spacing w:line="440" w:lineRule="exact"/>
              <w:jc w:val="center"/>
              <w:rPr>
                <w:szCs w:val="22"/>
                <w:highlight w:val="none"/>
              </w:rPr>
            </w:pPr>
          </w:p>
        </w:tc>
        <w:tc>
          <w:tcPr>
            <w:tcW w:w="488" w:type="dxa"/>
            <w:vAlign w:val="center"/>
          </w:tcPr>
          <w:p>
            <w:pPr>
              <w:spacing w:line="440" w:lineRule="exact"/>
              <w:jc w:val="center"/>
              <w:rPr>
                <w:szCs w:val="22"/>
                <w:highlight w:val="none"/>
              </w:rPr>
            </w:pPr>
          </w:p>
        </w:tc>
        <w:tc>
          <w:tcPr>
            <w:tcW w:w="1134" w:type="dxa"/>
            <w:vAlign w:val="center"/>
          </w:tcPr>
          <w:p>
            <w:pPr>
              <w:spacing w:line="440" w:lineRule="exact"/>
              <w:jc w:val="center"/>
              <w:rPr>
                <w:szCs w:val="22"/>
                <w:highlight w:val="none"/>
              </w:rPr>
            </w:pPr>
          </w:p>
        </w:tc>
        <w:tc>
          <w:tcPr>
            <w:tcW w:w="709" w:type="dxa"/>
            <w:vAlign w:val="center"/>
          </w:tcPr>
          <w:p>
            <w:pPr>
              <w:spacing w:line="440" w:lineRule="exact"/>
              <w:jc w:val="center"/>
              <w:rPr>
                <w:szCs w:val="22"/>
                <w:highlight w:val="none"/>
              </w:rPr>
            </w:pPr>
          </w:p>
        </w:tc>
        <w:tc>
          <w:tcPr>
            <w:tcW w:w="871" w:type="dxa"/>
            <w:vAlign w:val="center"/>
          </w:tcPr>
          <w:p>
            <w:pPr>
              <w:spacing w:line="440" w:lineRule="exact"/>
              <w:jc w:val="center"/>
              <w:rPr>
                <w:szCs w:val="22"/>
                <w:highlight w:val="none"/>
              </w:rPr>
            </w:pPr>
          </w:p>
        </w:tc>
        <w:tc>
          <w:tcPr>
            <w:tcW w:w="1134" w:type="dxa"/>
            <w:vAlign w:val="center"/>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40" w:lineRule="exact"/>
              <w:jc w:val="center"/>
              <w:rPr>
                <w:szCs w:val="22"/>
                <w:highlight w:val="none"/>
              </w:rPr>
            </w:pPr>
          </w:p>
        </w:tc>
        <w:tc>
          <w:tcPr>
            <w:tcW w:w="1275" w:type="dxa"/>
          </w:tcPr>
          <w:p>
            <w:pPr>
              <w:spacing w:line="440" w:lineRule="exact"/>
              <w:jc w:val="center"/>
              <w:rPr>
                <w:szCs w:val="22"/>
                <w:highlight w:val="none"/>
              </w:rPr>
            </w:pPr>
          </w:p>
        </w:tc>
        <w:tc>
          <w:tcPr>
            <w:tcW w:w="992" w:type="dxa"/>
          </w:tcPr>
          <w:p>
            <w:pPr>
              <w:spacing w:line="440" w:lineRule="exact"/>
              <w:jc w:val="center"/>
              <w:rPr>
                <w:szCs w:val="22"/>
                <w:highlight w:val="none"/>
              </w:rPr>
            </w:pPr>
          </w:p>
        </w:tc>
        <w:tc>
          <w:tcPr>
            <w:tcW w:w="603" w:type="dxa"/>
          </w:tcPr>
          <w:p>
            <w:pPr>
              <w:spacing w:line="440" w:lineRule="exact"/>
              <w:jc w:val="center"/>
              <w:rPr>
                <w:szCs w:val="22"/>
                <w:highlight w:val="none"/>
              </w:rPr>
            </w:pPr>
          </w:p>
        </w:tc>
        <w:tc>
          <w:tcPr>
            <w:tcW w:w="488" w:type="dxa"/>
          </w:tcPr>
          <w:p>
            <w:pPr>
              <w:spacing w:line="440" w:lineRule="exact"/>
              <w:jc w:val="center"/>
              <w:rPr>
                <w:szCs w:val="22"/>
                <w:highlight w:val="none"/>
              </w:rPr>
            </w:pPr>
          </w:p>
        </w:tc>
        <w:tc>
          <w:tcPr>
            <w:tcW w:w="1134" w:type="dxa"/>
          </w:tcPr>
          <w:p>
            <w:pPr>
              <w:spacing w:line="440" w:lineRule="exact"/>
              <w:jc w:val="center"/>
              <w:rPr>
                <w:szCs w:val="22"/>
                <w:highlight w:val="none"/>
              </w:rPr>
            </w:pPr>
          </w:p>
        </w:tc>
        <w:tc>
          <w:tcPr>
            <w:tcW w:w="709" w:type="dxa"/>
          </w:tcPr>
          <w:p>
            <w:pPr>
              <w:spacing w:line="440" w:lineRule="exact"/>
              <w:jc w:val="center"/>
              <w:rPr>
                <w:szCs w:val="22"/>
                <w:highlight w:val="none"/>
              </w:rPr>
            </w:pPr>
          </w:p>
        </w:tc>
        <w:tc>
          <w:tcPr>
            <w:tcW w:w="871" w:type="dxa"/>
          </w:tcPr>
          <w:p>
            <w:pPr>
              <w:spacing w:line="440" w:lineRule="exact"/>
              <w:jc w:val="center"/>
              <w:rPr>
                <w:szCs w:val="22"/>
                <w:highlight w:val="none"/>
              </w:rPr>
            </w:pPr>
          </w:p>
        </w:tc>
        <w:tc>
          <w:tcPr>
            <w:tcW w:w="1134" w:type="dxa"/>
          </w:tcPr>
          <w:p>
            <w:pPr>
              <w:spacing w:line="440" w:lineRule="exact"/>
              <w:jc w:val="center"/>
              <w:rPr>
                <w:szCs w:val="22"/>
                <w:highlight w:val="none"/>
              </w:rPr>
            </w:pPr>
          </w:p>
        </w:tc>
      </w:tr>
    </w:tbl>
    <w:p>
      <w:pPr>
        <w:widowControl/>
        <w:jc w:val="left"/>
        <w:rPr>
          <w:szCs w:val="22"/>
          <w:highlight w:val="none"/>
        </w:rPr>
      </w:pPr>
      <w:bookmarkStart w:id="2161" w:name="_Toc152042594"/>
      <w:bookmarkStart w:id="2162" w:name="_Toc144974873"/>
      <w:bookmarkStart w:id="2163" w:name="_Toc179632825"/>
      <w:bookmarkStart w:id="2164" w:name="_Toc152045805"/>
      <w:r>
        <w:rPr>
          <w:szCs w:val="22"/>
          <w:highlight w:val="none"/>
        </w:rPr>
        <w:br w:type="page"/>
      </w:r>
    </w:p>
    <w:p>
      <w:pPr>
        <w:keepNext/>
        <w:keepLines/>
        <w:spacing w:before="260" w:after="260" w:line="412" w:lineRule="auto"/>
        <w:ind w:firstLine="137" w:firstLineChars="49"/>
        <w:jc w:val="center"/>
        <w:outlineLvl w:val="1"/>
        <w:rPr>
          <w:rFonts w:eastAsia="黑体"/>
          <w:sz w:val="28"/>
          <w:szCs w:val="20"/>
          <w:highlight w:val="none"/>
        </w:rPr>
      </w:pPr>
      <w:bookmarkStart w:id="2165" w:name="_Toc14171"/>
      <w:bookmarkStart w:id="2166" w:name="_Toc492300955"/>
      <w:bookmarkStart w:id="2167" w:name="_Toc300835232"/>
      <w:bookmarkStart w:id="2168" w:name="_Toc384308390"/>
      <w:bookmarkStart w:id="2169" w:name="_Toc11727"/>
      <w:bookmarkStart w:id="2170" w:name="_Toc482188668"/>
      <w:bookmarkStart w:id="2171" w:name="_Toc1345"/>
      <w:bookmarkStart w:id="2172" w:name="_Toc359594249"/>
      <w:bookmarkStart w:id="2173" w:name="_Toc370676440"/>
      <w:bookmarkStart w:id="2174" w:name="_Toc2182"/>
      <w:bookmarkStart w:id="2175" w:name="_Toc10465"/>
      <w:bookmarkStart w:id="2176" w:name="_Toc75857137"/>
      <w:bookmarkStart w:id="2177" w:name="_Toc385943079"/>
      <w:bookmarkStart w:id="2178" w:name="_Toc391394125"/>
      <w:r>
        <w:rPr>
          <w:rFonts w:hint="eastAsia" w:eastAsia="黑体"/>
          <w:sz w:val="28"/>
          <w:szCs w:val="20"/>
          <w:highlight w:val="none"/>
        </w:rPr>
        <w:t>（七）主要人员简历表</w:t>
      </w:r>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p>
    <w:p>
      <w:pPr>
        <w:topLinePunct/>
        <w:spacing w:line="440" w:lineRule="exact"/>
        <w:jc w:val="center"/>
        <w:rPr>
          <w:sz w:val="23"/>
          <w:szCs w:val="22"/>
          <w:highlight w:val="none"/>
        </w:rPr>
      </w:pPr>
    </w:p>
    <w:tbl>
      <w:tblPr>
        <w:tblStyle w:val="5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691"/>
        <w:gridCol w:w="958"/>
        <w:gridCol w:w="1065"/>
        <w:gridCol w:w="706"/>
        <w:gridCol w:w="1261"/>
        <w:gridCol w:w="401"/>
        <w:gridCol w:w="1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1" w:hRule="atLeast"/>
          <w:jc w:val="center"/>
        </w:trPr>
        <w:tc>
          <w:tcPr>
            <w:tcW w:w="1187" w:type="dxa"/>
            <w:vAlign w:val="center"/>
          </w:tcPr>
          <w:p>
            <w:pPr>
              <w:spacing w:line="440" w:lineRule="exact"/>
              <w:jc w:val="center"/>
              <w:rPr>
                <w:szCs w:val="22"/>
                <w:highlight w:val="none"/>
              </w:rPr>
            </w:pPr>
            <w:r>
              <w:rPr>
                <w:rFonts w:hint="eastAsia"/>
                <w:szCs w:val="22"/>
                <w:highlight w:val="none"/>
              </w:rPr>
              <w:t>姓</w:t>
            </w:r>
            <w:r>
              <w:rPr>
                <w:szCs w:val="22"/>
                <w:highlight w:val="none"/>
              </w:rPr>
              <w:t xml:space="preserve">  </w:t>
            </w:r>
            <w:r>
              <w:rPr>
                <w:rFonts w:hint="eastAsia"/>
                <w:szCs w:val="22"/>
                <w:highlight w:val="none"/>
              </w:rPr>
              <w:t>名</w:t>
            </w:r>
          </w:p>
        </w:tc>
        <w:tc>
          <w:tcPr>
            <w:tcW w:w="1048" w:type="dxa"/>
            <w:gridSpan w:val="2"/>
            <w:vAlign w:val="center"/>
          </w:tcPr>
          <w:p>
            <w:pPr>
              <w:spacing w:line="440" w:lineRule="exact"/>
              <w:jc w:val="center"/>
              <w:rPr>
                <w:szCs w:val="22"/>
                <w:highlight w:val="none"/>
              </w:rPr>
            </w:pPr>
          </w:p>
        </w:tc>
        <w:tc>
          <w:tcPr>
            <w:tcW w:w="958" w:type="dxa"/>
            <w:vAlign w:val="center"/>
          </w:tcPr>
          <w:p>
            <w:pPr>
              <w:spacing w:line="440" w:lineRule="exact"/>
              <w:jc w:val="center"/>
              <w:rPr>
                <w:szCs w:val="22"/>
                <w:highlight w:val="none"/>
              </w:rPr>
            </w:pPr>
            <w:r>
              <w:rPr>
                <w:rFonts w:hint="eastAsia"/>
                <w:szCs w:val="22"/>
                <w:highlight w:val="none"/>
              </w:rPr>
              <w:t>年龄</w:t>
            </w:r>
          </w:p>
        </w:tc>
        <w:tc>
          <w:tcPr>
            <w:tcW w:w="1065" w:type="dxa"/>
            <w:vAlign w:val="center"/>
          </w:tcPr>
          <w:p>
            <w:pPr>
              <w:spacing w:line="440" w:lineRule="exact"/>
              <w:jc w:val="center"/>
              <w:rPr>
                <w:szCs w:val="22"/>
                <w:highlight w:val="none"/>
              </w:rPr>
            </w:pPr>
          </w:p>
        </w:tc>
        <w:tc>
          <w:tcPr>
            <w:tcW w:w="2368" w:type="dxa"/>
            <w:gridSpan w:val="3"/>
            <w:vAlign w:val="center"/>
          </w:tcPr>
          <w:p>
            <w:pPr>
              <w:spacing w:line="440" w:lineRule="exact"/>
              <w:jc w:val="center"/>
              <w:rPr>
                <w:szCs w:val="22"/>
                <w:highlight w:val="none"/>
              </w:rPr>
            </w:pPr>
            <w:r>
              <w:rPr>
                <w:rFonts w:hint="eastAsia"/>
                <w:szCs w:val="22"/>
                <w:highlight w:val="none"/>
              </w:rPr>
              <w:t>执业资格证书（或上岗证书）名称</w:t>
            </w:r>
          </w:p>
        </w:tc>
        <w:tc>
          <w:tcPr>
            <w:tcW w:w="1896" w:type="dxa"/>
            <w:vAlign w:val="center"/>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jc w:val="center"/>
        </w:trPr>
        <w:tc>
          <w:tcPr>
            <w:tcW w:w="1187" w:type="dxa"/>
            <w:vAlign w:val="center"/>
          </w:tcPr>
          <w:p>
            <w:pPr>
              <w:spacing w:line="440" w:lineRule="exact"/>
              <w:jc w:val="center"/>
              <w:rPr>
                <w:szCs w:val="22"/>
                <w:highlight w:val="none"/>
              </w:rPr>
            </w:pPr>
            <w:r>
              <w:rPr>
                <w:rFonts w:hint="eastAsia"/>
                <w:szCs w:val="22"/>
                <w:highlight w:val="none"/>
              </w:rPr>
              <w:t>职</w:t>
            </w:r>
            <w:r>
              <w:rPr>
                <w:szCs w:val="22"/>
                <w:highlight w:val="none"/>
              </w:rPr>
              <w:t xml:space="preserve">  </w:t>
            </w:r>
            <w:r>
              <w:rPr>
                <w:rFonts w:hint="eastAsia"/>
                <w:szCs w:val="22"/>
                <w:highlight w:val="none"/>
              </w:rPr>
              <w:t>称</w:t>
            </w:r>
          </w:p>
        </w:tc>
        <w:tc>
          <w:tcPr>
            <w:tcW w:w="1048" w:type="dxa"/>
            <w:gridSpan w:val="2"/>
            <w:vAlign w:val="center"/>
          </w:tcPr>
          <w:p>
            <w:pPr>
              <w:spacing w:line="440" w:lineRule="exact"/>
              <w:jc w:val="center"/>
              <w:rPr>
                <w:szCs w:val="22"/>
                <w:highlight w:val="none"/>
              </w:rPr>
            </w:pPr>
          </w:p>
        </w:tc>
        <w:tc>
          <w:tcPr>
            <w:tcW w:w="958" w:type="dxa"/>
            <w:vAlign w:val="center"/>
          </w:tcPr>
          <w:p>
            <w:pPr>
              <w:spacing w:before="100" w:beforeAutospacing="1" w:after="100" w:afterAutospacing="1" w:line="440" w:lineRule="exact"/>
              <w:jc w:val="center"/>
              <w:rPr>
                <w:szCs w:val="22"/>
                <w:highlight w:val="none"/>
              </w:rPr>
            </w:pPr>
            <w:r>
              <w:rPr>
                <w:rFonts w:hint="eastAsia"/>
                <w:szCs w:val="22"/>
                <w:highlight w:val="none"/>
              </w:rPr>
              <w:t>学历</w:t>
            </w:r>
          </w:p>
        </w:tc>
        <w:tc>
          <w:tcPr>
            <w:tcW w:w="1065" w:type="dxa"/>
            <w:vAlign w:val="center"/>
          </w:tcPr>
          <w:p>
            <w:pPr>
              <w:spacing w:line="440" w:lineRule="exact"/>
              <w:jc w:val="center"/>
              <w:rPr>
                <w:szCs w:val="22"/>
                <w:highlight w:val="none"/>
              </w:rPr>
            </w:pPr>
          </w:p>
        </w:tc>
        <w:tc>
          <w:tcPr>
            <w:tcW w:w="2368" w:type="dxa"/>
            <w:gridSpan w:val="3"/>
            <w:vAlign w:val="center"/>
          </w:tcPr>
          <w:p>
            <w:pPr>
              <w:spacing w:before="100" w:beforeAutospacing="1" w:after="100" w:afterAutospacing="1" w:line="440" w:lineRule="exact"/>
              <w:jc w:val="center"/>
              <w:rPr>
                <w:szCs w:val="22"/>
                <w:highlight w:val="none"/>
              </w:rPr>
            </w:pPr>
            <w:r>
              <w:rPr>
                <w:rFonts w:hint="eastAsia"/>
                <w:szCs w:val="22"/>
                <w:highlight w:val="none"/>
              </w:rPr>
              <w:t>拟在本项目任职</w:t>
            </w:r>
          </w:p>
        </w:tc>
        <w:tc>
          <w:tcPr>
            <w:tcW w:w="1896" w:type="dxa"/>
            <w:vAlign w:val="center"/>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jc w:val="center"/>
        </w:trPr>
        <w:tc>
          <w:tcPr>
            <w:tcW w:w="1187" w:type="dxa"/>
            <w:vAlign w:val="center"/>
          </w:tcPr>
          <w:p>
            <w:pPr>
              <w:spacing w:before="100" w:beforeAutospacing="1" w:after="100" w:afterAutospacing="1" w:line="440" w:lineRule="exact"/>
              <w:jc w:val="center"/>
              <w:rPr>
                <w:szCs w:val="22"/>
                <w:highlight w:val="none"/>
              </w:rPr>
            </w:pPr>
            <w:r>
              <w:rPr>
                <w:rFonts w:hint="eastAsia"/>
                <w:szCs w:val="22"/>
                <w:highlight w:val="none"/>
              </w:rPr>
              <w:t>工作年限</w:t>
            </w:r>
          </w:p>
        </w:tc>
        <w:tc>
          <w:tcPr>
            <w:tcW w:w="3071" w:type="dxa"/>
            <w:gridSpan w:val="4"/>
            <w:vAlign w:val="center"/>
          </w:tcPr>
          <w:p>
            <w:pPr>
              <w:spacing w:line="440" w:lineRule="exact"/>
              <w:jc w:val="center"/>
              <w:rPr>
                <w:szCs w:val="22"/>
                <w:highlight w:val="none"/>
              </w:rPr>
            </w:pPr>
          </w:p>
        </w:tc>
        <w:tc>
          <w:tcPr>
            <w:tcW w:w="2368" w:type="dxa"/>
            <w:gridSpan w:val="3"/>
            <w:vAlign w:val="center"/>
          </w:tcPr>
          <w:p>
            <w:pPr>
              <w:spacing w:before="100" w:beforeAutospacing="1" w:after="100" w:afterAutospacing="1" w:line="440" w:lineRule="exact"/>
              <w:jc w:val="center"/>
              <w:rPr>
                <w:szCs w:val="22"/>
                <w:highlight w:val="none"/>
              </w:rPr>
            </w:pPr>
            <w:r>
              <w:rPr>
                <w:rFonts w:hint="eastAsia"/>
                <w:szCs w:val="22"/>
                <w:highlight w:val="none"/>
              </w:rPr>
              <w:t>从事勘察工作年限</w:t>
            </w:r>
          </w:p>
        </w:tc>
        <w:tc>
          <w:tcPr>
            <w:tcW w:w="1896" w:type="dxa"/>
            <w:vAlign w:val="center"/>
          </w:tcPr>
          <w:p>
            <w:pPr>
              <w:spacing w:line="440" w:lineRule="exact"/>
              <w:jc w:val="center"/>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jc w:val="center"/>
        </w:trPr>
        <w:tc>
          <w:tcPr>
            <w:tcW w:w="1187" w:type="dxa"/>
            <w:vAlign w:val="center"/>
          </w:tcPr>
          <w:p>
            <w:pPr>
              <w:spacing w:before="100" w:beforeAutospacing="1" w:after="100" w:afterAutospacing="1" w:line="440" w:lineRule="exact"/>
              <w:jc w:val="center"/>
              <w:rPr>
                <w:szCs w:val="22"/>
                <w:highlight w:val="none"/>
              </w:rPr>
            </w:pPr>
            <w:r>
              <w:rPr>
                <w:rFonts w:hint="eastAsia"/>
                <w:szCs w:val="22"/>
                <w:highlight w:val="none"/>
              </w:rPr>
              <w:t>毕业学校</w:t>
            </w:r>
          </w:p>
        </w:tc>
        <w:tc>
          <w:tcPr>
            <w:tcW w:w="7335" w:type="dxa"/>
            <w:gridSpan w:val="8"/>
            <w:vAlign w:val="center"/>
          </w:tcPr>
          <w:p>
            <w:pPr>
              <w:spacing w:before="100" w:beforeAutospacing="1" w:after="100" w:afterAutospacing="1" w:line="440" w:lineRule="exact"/>
              <w:ind w:firstLine="1155" w:firstLineChars="550"/>
              <w:rPr>
                <w:szCs w:val="22"/>
                <w:highlight w:val="none"/>
              </w:rPr>
            </w:pPr>
            <w:r>
              <w:rPr>
                <w:rFonts w:hint="eastAsia"/>
                <w:szCs w:val="22"/>
                <w:highlight w:val="none"/>
              </w:rPr>
              <w:t>年毕业于</w:t>
            </w:r>
            <w:r>
              <w:rPr>
                <w:szCs w:val="22"/>
                <w:highlight w:val="none"/>
              </w:rPr>
              <w:t xml:space="preserve">            </w:t>
            </w:r>
            <w:r>
              <w:rPr>
                <w:rFonts w:hint="eastAsia"/>
                <w:szCs w:val="22"/>
                <w:highlight w:val="none"/>
              </w:rPr>
              <w:t>学校</w:t>
            </w:r>
            <w:r>
              <w:rPr>
                <w:szCs w:val="22"/>
                <w:highlight w:val="none"/>
              </w:rPr>
              <w:t xml:space="preserve">        </w:t>
            </w:r>
            <w:r>
              <w:rPr>
                <w:rFonts w:hint="eastAsia"/>
                <w:szCs w:val="22"/>
                <w:highlight w:val="none"/>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jc w:val="center"/>
        </w:trPr>
        <w:tc>
          <w:tcPr>
            <w:tcW w:w="8522" w:type="dxa"/>
            <w:gridSpan w:val="9"/>
            <w:vAlign w:val="center"/>
          </w:tcPr>
          <w:p>
            <w:pPr>
              <w:spacing w:before="100" w:beforeAutospacing="1" w:after="100" w:afterAutospacing="1" w:line="440" w:lineRule="exact"/>
              <w:jc w:val="left"/>
              <w:rPr>
                <w:szCs w:val="22"/>
                <w:highlight w:val="none"/>
              </w:rPr>
            </w:pPr>
            <w:r>
              <w:rPr>
                <w:rFonts w:hint="eastAsia"/>
                <w:szCs w:val="22"/>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7" w:hRule="atLeast"/>
          <w:jc w:val="center"/>
        </w:trPr>
        <w:tc>
          <w:tcPr>
            <w:tcW w:w="1544" w:type="dxa"/>
            <w:gridSpan w:val="2"/>
            <w:vAlign w:val="center"/>
          </w:tcPr>
          <w:p>
            <w:pPr>
              <w:spacing w:before="100" w:beforeAutospacing="1" w:after="100" w:afterAutospacing="1" w:line="440" w:lineRule="exact"/>
              <w:jc w:val="center"/>
              <w:rPr>
                <w:szCs w:val="22"/>
                <w:highlight w:val="none"/>
              </w:rPr>
            </w:pPr>
            <w:r>
              <w:rPr>
                <w:rFonts w:hint="eastAsia"/>
                <w:szCs w:val="22"/>
                <w:highlight w:val="none"/>
              </w:rPr>
              <w:t>时</w:t>
            </w:r>
            <w:r>
              <w:rPr>
                <w:szCs w:val="22"/>
                <w:highlight w:val="none"/>
              </w:rPr>
              <w:t xml:space="preserve">  </w:t>
            </w:r>
            <w:r>
              <w:rPr>
                <w:rFonts w:hint="eastAsia"/>
                <w:szCs w:val="22"/>
                <w:highlight w:val="none"/>
              </w:rPr>
              <w:t>间</w:t>
            </w:r>
          </w:p>
        </w:tc>
        <w:tc>
          <w:tcPr>
            <w:tcW w:w="3420" w:type="dxa"/>
            <w:gridSpan w:val="4"/>
            <w:vAlign w:val="center"/>
          </w:tcPr>
          <w:p>
            <w:pPr>
              <w:spacing w:before="100" w:beforeAutospacing="1" w:after="100" w:afterAutospacing="1" w:line="440" w:lineRule="exact"/>
              <w:jc w:val="center"/>
              <w:rPr>
                <w:szCs w:val="22"/>
                <w:highlight w:val="none"/>
              </w:rPr>
            </w:pPr>
            <w:r>
              <w:rPr>
                <w:rFonts w:hint="eastAsia"/>
                <w:szCs w:val="22"/>
                <w:highlight w:val="none"/>
              </w:rPr>
              <w:t>参加过的类似项目</w:t>
            </w:r>
          </w:p>
        </w:tc>
        <w:tc>
          <w:tcPr>
            <w:tcW w:w="1261" w:type="dxa"/>
            <w:vAlign w:val="center"/>
          </w:tcPr>
          <w:p>
            <w:pPr>
              <w:spacing w:before="100" w:beforeAutospacing="1" w:after="100" w:afterAutospacing="1" w:line="440" w:lineRule="exact"/>
              <w:jc w:val="center"/>
              <w:rPr>
                <w:szCs w:val="22"/>
                <w:highlight w:val="none"/>
              </w:rPr>
            </w:pPr>
            <w:r>
              <w:rPr>
                <w:rFonts w:hint="eastAsia"/>
                <w:szCs w:val="22"/>
                <w:highlight w:val="none"/>
              </w:rPr>
              <w:t>担任职务</w:t>
            </w:r>
          </w:p>
        </w:tc>
        <w:tc>
          <w:tcPr>
            <w:tcW w:w="2297" w:type="dxa"/>
            <w:gridSpan w:val="2"/>
            <w:vAlign w:val="center"/>
          </w:tcPr>
          <w:p>
            <w:pPr>
              <w:spacing w:before="100" w:beforeAutospacing="1" w:after="100" w:afterAutospacing="1" w:line="440" w:lineRule="exact"/>
              <w:jc w:val="center"/>
              <w:rPr>
                <w:szCs w:val="22"/>
                <w:highlight w:val="none"/>
              </w:rPr>
            </w:pPr>
            <w:r>
              <w:rPr>
                <w:rFonts w:hint="eastAsia"/>
                <w:szCs w:val="22"/>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tcPr>
          <w:p>
            <w:pPr>
              <w:spacing w:line="440" w:lineRule="exact"/>
              <w:rPr>
                <w:szCs w:val="22"/>
                <w:highlight w:val="none"/>
              </w:rPr>
            </w:pPr>
          </w:p>
        </w:tc>
        <w:tc>
          <w:tcPr>
            <w:tcW w:w="3420" w:type="dxa"/>
            <w:gridSpan w:val="4"/>
          </w:tcPr>
          <w:p>
            <w:pPr>
              <w:spacing w:line="440" w:lineRule="exact"/>
              <w:rPr>
                <w:szCs w:val="22"/>
                <w:highlight w:val="none"/>
              </w:rPr>
            </w:pPr>
          </w:p>
        </w:tc>
        <w:tc>
          <w:tcPr>
            <w:tcW w:w="1261" w:type="dxa"/>
          </w:tcPr>
          <w:p>
            <w:pPr>
              <w:spacing w:line="440" w:lineRule="exact"/>
              <w:rPr>
                <w:szCs w:val="22"/>
                <w:highlight w:val="none"/>
              </w:rPr>
            </w:pPr>
          </w:p>
        </w:tc>
        <w:tc>
          <w:tcPr>
            <w:tcW w:w="2297" w:type="dxa"/>
            <w:gridSpan w:val="2"/>
          </w:tcPr>
          <w:p>
            <w:pPr>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tcPr>
          <w:p>
            <w:pPr>
              <w:spacing w:line="440" w:lineRule="exact"/>
              <w:rPr>
                <w:szCs w:val="22"/>
                <w:highlight w:val="none"/>
              </w:rPr>
            </w:pPr>
          </w:p>
        </w:tc>
        <w:tc>
          <w:tcPr>
            <w:tcW w:w="3420" w:type="dxa"/>
            <w:gridSpan w:val="4"/>
          </w:tcPr>
          <w:p>
            <w:pPr>
              <w:spacing w:line="440" w:lineRule="exact"/>
              <w:rPr>
                <w:szCs w:val="22"/>
                <w:highlight w:val="none"/>
              </w:rPr>
            </w:pPr>
          </w:p>
        </w:tc>
        <w:tc>
          <w:tcPr>
            <w:tcW w:w="1261" w:type="dxa"/>
          </w:tcPr>
          <w:p>
            <w:pPr>
              <w:spacing w:line="440" w:lineRule="exact"/>
              <w:rPr>
                <w:szCs w:val="22"/>
                <w:highlight w:val="none"/>
              </w:rPr>
            </w:pPr>
          </w:p>
        </w:tc>
        <w:tc>
          <w:tcPr>
            <w:tcW w:w="2297" w:type="dxa"/>
            <w:gridSpan w:val="2"/>
          </w:tcPr>
          <w:p>
            <w:pPr>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tcPr>
          <w:p>
            <w:pPr>
              <w:spacing w:line="440" w:lineRule="exact"/>
              <w:rPr>
                <w:szCs w:val="22"/>
                <w:highlight w:val="none"/>
              </w:rPr>
            </w:pPr>
          </w:p>
        </w:tc>
        <w:tc>
          <w:tcPr>
            <w:tcW w:w="3420" w:type="dxa"/>
            <w:gridSpan w:val="4"/>
          </w:tcPr>
          <w:p>
            <w:pPr>
              <w:spacing w:line="440" w:lineRule="exact"/>
              <w:rPr>
                <w:szCs w:val="22"/>
                <w:highlight w:val="none"/>
              </w:rPr>
            </w:pPr>
          </w:p>
        </w:tc>
        <w:tc>
          <w:tcPr>
            <w:tcW w:w="1261" w:type="dxa"/>
          </w:tcPr>
          <w:p>
            <w:pPr>
              <w:spacing w:line="440" w:lineRule="exact"/>
              <w:rPr>
                <w:szCs w:val="22"/>
                <w:highlight w:val="none"/>
              </w:rPr>
            </w:pPr>
          </w:p>
        </w:tc>
        <w:tc>
          <w:tcPr>
            <w:tcW w:w="2297" w:type="dxa"/>
            <w:gridSpan w:val="2"/>
          </w:tcPr>
          <w:p>
            <w:pPr>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vAlign w:val="center"/>
          </w:tcPr>
          <w:p>
            <w:pPr>
              <w:spacing w:line="440" w:lineRule="exact"/>
              <w:rPr>
                <w:szCs w:val="22"/>
                <w:highlight w:val="none"/>
              </w:rPr>
            </w:pPr>
          </w:p>
        </w:tc>
        <w:tc>
          <w:tcPr>
            <w:tcW w:w="3420" w:type="dxa"/>
            <w:gridSpan w:val="4"/>
            <w:vAlign w:val="center"/>
          </w:tcPr>
          <w:p>
            <w:pPr>
              <w:spacing w:line="440" w:lineRule="exact"/>
              <w:rPr>
                <w:szCs w:val="22"/>
                <w:highlight w:val="none"/>
              </w:rPr>
            </w:pPr>
          </w:p>
        </w:tc>
        <w:tc>
          <w:tcPr>
            <w:tcW w:w="1261" w:type="dxa"/>
            <w:vAlign w:val="center"/>
          </w:tcPr>
          <w:p>
            <w:pPr>
              <w:spacing w:line="440" w:lineRule="exact"/>
              <w:rPr>
                <w:szCs w:val="22"/>
                <w:highlight w:val="none"/>
              </w:rPr>
            </w:pPr>
          </w:p>
        </w:tc>
        <w:tc>
          <w:tcPr>
            <w:tcW w:w="2297" w:type="dxa"/>
            <w:gridSpan w:val="2"/>
            <w:vAlign w:val="center"/>
          </w:tcPr>
          <w:p>
            <w:pPr>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vAlign w:val="center"/>
          </w:tcPr>
          <w:p>
            <w:pPr>
              <w:spacing w:line="440" w:lineRule="exact"/>
              <w:rPr>
                <w:szCs w:val="22"/>
                <w:highlight w:val="none"/>
              </w:rPr>
            </w:pPr>
          </w:p>
        </w:tc>
        <w:tc>
          <w:tcPr>
            <w:tcW w:w="3420" w:type="dxa"/>
            <w:gridSpan w:val="4"/>
            <w:vAlign w:val="center"/>
          </w:tcPr>
          <w:p>
            <w:pPr>
              <w:spacing w:line="440" w:lineRule="exact"/>
              <w:rPr>
                <w:szCs w:val="22"/>
                <w:highlight w:val="none"/>
              </w:rPr>
            </w:pPr>
          </w:p>
        </w:tc>
        <w:tc>
          <w:tcPr>
            <w:tcW w:w="1261" w:type="dxa"/>
            <w:vAlign w:val="center"/>
          </w:tcPr>
          <w:p>
            <w:pPr>
              <w:spacing w:line="440" w:lineRule="exact"/>
              <w:rPr>
                <w:szCs w:val="22"/>
                <w:highlight w:val="none"/>
              </w:rPr>
            </w:pPr>
          </w:p>
        </w:tc>
        <w:tc>
          <w:tcPr>
            <w:tcW w:w="2297" w:type="dxa"/>
            <w:gridSpan w:val="2"/>
            <w:vAlign w:val="center"/>
          </w:tcPr>
          <w:p>
            <w:pPr>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vAlign w:val="center"/>
          </w:tcPr>
          <w:p>
            <w:pPr>
              <w:spacing w:line="440" w:lineRule="exact"/>
              <w:rPr>
                <w:szCs w:val="22"/>
                <w:highlight w:val="none"/>
              </w:rPr>
            </w:pPr>
          </w:p>
        </w:tc>
        <w:tc>
          <w:tcPr>
            <w:tcW w:w="3420" w:type="dxa"/>
            <w:gridSpan w:val="4"/>
            <w:vAlign w:val="center"/>
          </w:tcPr>
          <w:p>
            <w:pPr>
              <w:spacing w:line="440" w:lineRule="exact"/>
              <w:rPr>
                <w:szCs w:val="22"/>
                <w:highlight w:val="none"/>
              </w:rPr>
            </w:pPr>
          </w:p>
        </w:tc>
        <w:tc>
          <w:tcPr>
            <w:tcW w:w="1261" w:type="dxa"/>
            <w:vAlign w:val="center"/>
          </w:tcPr>
          <w:p>
            <w:pPr>
              <w:spacing w:line="440" w:lineRule="exact"/>
              <w:rPr>
                <w:szCs w:val="22"/>
                <w:highlight w:val="none"/>
              </w:rPr>
            </w:pPr>
          </w:p>
        </w:tc>
        <w:tc>
          <w:tcPr>
            <w:tcW w:w="2297" w:type="dxa"/>
            <w:gridSpan w:val="2"/>
            <w:vAlign w:val="center"/>
          </w:tcPr>
          <w:p>
            <w:pPr>
              <w:spacing w:line="440" w:lineRule="exact"/>
              <w:rPr>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jc w:val="center"/>
        </w:trPr>
        <w:tc>
          <w:tcPr>
            <w:tcW w:w="1544" w:type="dxa"/>
            <w:gridSpan w:val="2"/>
            <w:vAlign w:val="center"/>
          </w:tcPr>
          <w:p>
            <w:pPr>
              <w:spacing w:line="440" w:lineRule="exact"/>
              <w:rPr>
                <w:szCs w:val="22"/>
                <w:highlight w:val="none"/>
              </w:rPr>
            </w:pPr>
          </w:p>
        </w:tc>
        <w:tc>
          <w:tcPr>
            <w:tcW w:w="3420" w:type="dxa"/>
            <w:gridSpan w:val="4"/>
            <w:vAlign w:val="center"/>
          </w:tcPr>
          <w:p>
            <w:pPr>
              <w:spacing w:line="440" w:lineRule="exact"/>
              <w:rPr>
                <w:szCs w:val="22"/>
                <w:highlight w:val="none"/>
              </w:rPr>
            </w:pPr>
          </w:p>
        </w:tc>
        <w:tc>
          <w:tcPr>
            <w:tcW w:w="1261" w:type="dxa"/>
            <w:vAlign w:val="center"/>
          </w:tcPr>
          <w:p>
            <w:pPr>
              <w:spacing w:line="440" w:lineRule="exact"/>
              <w:rPr>
                <w:szCs w:val="22"/>
                <w:highlight w:val="none"/>
              </w:rPr>
            </w:pPr>
          </w:p>
        </w:tc>
        <w:tc>
          <w:tcPr>
            <w:tcW w:w="2297" w:type="dxa"/>
            <w:gridSpan w:val="2"/>
            <w:vAlign w:val="center"/>
          </w:tcPr>
          <w:p>
            <w:pPr>
              <w:spacing w:line="440" w:lineRule="exact"/>
              <w:rPr>
                <w:szCs w:val="22"/>
                <w:highlight w:val="none"/>
              </w:rPr>
            </w:pPr>
          </w:p>
        </w:tc>
      </w:tr>
    </w:tbl>
    <w:p>
      <w:pPr>
        <w:topLinePunct/>
        <w:spacing w:line="440" w:lineRule="exact"/>
        <w:ind w:firstLine="420" w:firstLineChars="200"/>
        <w:rPr>
          <w:color w:val="000000"/>
          <w:szCs w:val="22"/>
          <w:highlight w:val="none"/>
        </w:rPr>
      </w:pPr>
      <w:r>
        <w:rPr>
          <w:color w:val="000000"/>
          <w:szCs w:val="22"/>
          <w:highlight w:val="none"/>
        </w:rPr>
        <w:t>附相关证明材料。</w:t>
      </w:r>
    </w:p>
    <w:p>
      <w:pPr>
        <w:spacing w:line="440" w:lineRule="exact"/>
        <w:rPr>
          <w:szCs w:val="22"/>
          <w:highlight w:val="none"/>
        </w:rPr>
      </w:pPr>
    </w:p>
    <w:p>
      <w:pPr>
        <w:spacing w:line="440" w:lineRule="exact"/>
        <w:rPr>
          <w:szCs w:val="22"/>
          <w:highlight w:val="none"/>
        </w:rPr>
      </w:pPr>
      <w:r>
        <w:rPr>
          <w:szCs w:val="22"/>
          <w:highlight w:val="none"/>
        </w:rPr>
        <w:br w:type="page"/>
      </w:r>
      <w:bookmarkStart w:id="2179" w:name="_Toc300835229"/>
      <w:bookmarkStart w:id="2180" w:name="_Toc352703741"/>
    </w:p>
    <w:bookmarkEnd w:id="2179"/>
    <w:bookmarkEnd w:id="2180"/>
    <w:p>
      <w:pPr>
        <w:keepNext/>
        <w:keepLines/>
        <w:spacing w:before="260" w:after="260" w:line="412" w:lineRule="auto"/>
        <w:ind w:firstLine="137" w:firstLineChars="49"/>
        <w:jc w:val="center"/>
        <w:outlineLvl w:val="1"/>
        <w:rPr>
          <w:rFonts w:eastAsia="黑体"/>
          <w:sz w:val="28"/>
          <w:szCs w:val="20"/>
          <w:highlight w:val="none"/>
        </w:rPr>
      </w:pPr>
      <w:bookmarkStart w:id="2181" w:name="_Toc14237"/>
      <w:bookmarkStart w:id="2182" w:name="_Toc75857138"/>
      <w:bookmarkStart w:id="2183" w:name="_Toc5116"/>
      <w:bookmarkStart w:id="2184" w:name="_Toc20710"/>
      <w:bookmarkStart w:id="2185" w:name="_Toc24056"/>
      <w:bookmarkStart w:id="2186" w:name="_Toc11959"/>
      <w:bookmarkStart w:id="2187" w:name="_Toc492300956"/>
      <w:bookmarkStart w:id="2188" w:name="_Toc482188666"/>
      <w:r>
        <w:rPr>
          <w:rFonts w:hint="eastAsia" w:eastAsia="黑体"/>
          <w:sz w:val="28"/>
          <w:szCs w:val="20"/>
          <w:highlight w:val="none"/>
        </w:rPr>
        <w:t>（八）承诺</w:t>
      </w:r>
      <w:bookmarkEnd w:id="2181"/>
      <w:bookmarkEnd w:id="2182"/>
      <w:bookmarkEnd w:id="2183"/>
      <w:bookmarkEnd w:id="2184"/>
      <w:bookmarkEnd w:id="2185"/>
      <w:bookmarkEnd w:id="2186"/>
    </w:p>
    <w:bookmarkEnd w:id="2187"/>
    <w:bookmarkEnd w:id="2188"/>
    <w:p>
      <w:pPr>
        <w:keepNext w:val="0"/>
        <w:keepLines w:val="0"/>
        <w:pageBreakBefore w:val="0"/>
        <w:widowControl w:val="0"/>
        <w:kinsoku/>
        <w:wordWrap/>
        <w:overflowPunct/>
        <w:topLinePunct w:val="0"/>
        <w:bidi w:val="0"/>
        <w:spacing w:line="400" w:lineRule="exact"/>
        <w:ind w:firstLine="480" w:firstLineChars="200"/>
        <w:jc w:val="center"/>
        <w:textAlignment w:val="auto"/>
        <w:rPr>
          <w:rFonts w:ascii="宋体" w:hAnsi="宋体"/>
          <w:sz w:val="24"/>
          <w:highlight w:val="none"/>
        </w:rPr>
      </w:pPr>
      <w:r>
        <w:rPr>
          <w:rFonts w:hint="eastAsia" w:ascii="宋体" w:hAnsi="宋体"/>
          <w:sz w:val="24"/>
          <w:highlight w:val="none"/>
        </w:rPr>
        <w:t>承诺书</w:t>
      </w:r>
    </w:p>
    <w:p>
      <w:pPr>
        <w:keepNext w:val="0"/>
        <w:keepLines w:val="0"/>
        <w:pageBreakBefore w:val="0"/>
        <w:widowControl w:val="0"/>
        <w:kinsoku/>
        <w:wordWrap/>
        <w:overflowPunct/>
        <w:topLinePunct w:val="0"/>
        <w:bidi w:val="0"/>
        <w:spacing w:line="400" w:lineRule="exact"/>
        <w:ind w:firstLine="420" w:firstLineChars="200"/>
        <w:textAlignment w:val="auto"/>
        <w:rPr>
          <w:rFonts w:ascii="宋体" w:hAnsi="宋体"/>
          <w:szCs w:val="21"/>
          <w:highlight w:val="none"/>
        </w:rPr>
      </w:pPr>
      <w:r>
        <w:rPr>
          <w:rFonts w:hint="eastAsia" w:ascii="宋体" w:hAnsi="宋体"/>
          <w:szCs w:val="21"/>
          <w:highlight w:val="none"/>
          <w:u w:val="single"/>
        </w:rPr>
        <w:tab/>
      </w:r>
      <w:r>
        <w:rPr>
          <w:rFonts w:hint="eastAsia" w:ascii="宋体" w:hAnsi="宋体"/>
          <w:szCs w:val="21"/>
          <w:highlight w:val="none"/>
          <w:u w:val="single"/>
        </w:rPr>
        <w:t xml:space="preserve">        </w:t>
      </w:r>
      <w:r>
        <w:rPr>
          <w:rFonts w:hint="eastAsia" w:ascii="宋体" w:hAnsi="宋体"/>
          <w:szCs w:val="21"/>
          <w:highlight w:val="none"/>
        </w:rPr>
        <w:t>（招标人名称）：</w:t>
      </w:r>
    </w:p>
    <w:p>
      <w:pPr>
        <w:keepNext w:val="0"/>
        <w:keepLines w:val="0"/>
        <w:pageBreakBefore w:val="0"/>
        <w:widowControl w:val="0"/>
        <w:kinsoku/>
        <w:wordWrap/>
        <w:overflowPunct/>
        <w:topLinePunct w:val="0"/>
        <w:bidi w:val="0"/>
        <w:spacing w:line="400" w:lineRule="exact"/>
        <w:ind w:firstLine="420" w:firstLineChars="200"/>
        <w:textAlignment w:val="auto"/>
        <w:rPr>
          <w:rFonts w:ascii="宋体" w:hAnsi="宋体"/>
          <w:szCs w:val="21"/>
          <w:highlight w:val="none"/>
        </w:rPr>
      </w:pPr>
      <w:r>
        <w:rPr>
          <w:rFonts w:hint="eastAsia" w:ascii="宋体" w:hAnsi="宋体"/>
          <w:szCs w:val="21"/>
          <w:highlight w:val="none"/>
        </w:rPr>
        <w:t>我公司</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（投标人名称）      </w:t>
      </w:r>
      <w:r>
        <w:rPr>
          <w:rFonts w:hint="eastAsia" w:ascii="宋体" w:hAnsi="宋体"/>
          <w:szCs w:val="21"/>
          <w:highlight w:val="none"/>
        </w:rPr>
        <w:t>参加了贵单位</w:t>
      </w:r>
      <w:r>
        <w:rPr>
          <w:rFonts w:ascii="宋体" w:hAnsi="宋体"/>
          <w:szCs w:val="21"/>
          <w:highlight w:val="none"/>
          <w:u w:val="single"/>
        </w:rPr>
        <w:t xml:space="preserve">  </w:t>
      </w:r>
      <w:r>
        <w:rPr>
          <w:rFonts w:hint="eastAsia" w:ascii="宋体" w:hAnsi="宋体"/>
          <w:szCs w:val="21"/>
          <w:highlight w:val="none"/>
          <w:u w:val="single"/>
        </w:rPr>
        <w:t xml:space="preserve">   （招标项目名称）       </w:t>
      </w:r>
      <w:r>
        <w:rPr>
          <w:rFonts w:hint="eastAsia" w:ascii="宋体" w:hAnsi="宋体"/>
          <w:szCs w:val="21"/>
          <w:highlight w:val="none"/>
        </w:rPr>
        <w:t>的投标，自愿作出以下承诺：</w:t>
      </w:r>
    </w:p>
    <w:p>
      <w:pPr>
        <w:keepNext w:val="0"/>
        <w:keepLines w:val="0"/>
        <w:pageBreakBefore w:val="0"/>
        <w:widowControl w:val="0"/>
        <w:kinsoku/>
        <w:wordWrap/>
        <w:overflowPunct/>
        <w:topLinePunct w:val="0"/>
        <w:bidi w:val="0"/>
        <w:spacing w:line="400" w:lineRule="exact"/>
        <w:ind w:firstLine="420" w:firstLineChars="200"/>
        <w:textAlignment w:val="auto"/>
        <w:rPr>
          <w:rFonts w:ascii="宋体" w:hAnsi="宋体"/>
          <w:szCs w:val="21"/>
          <w:highlight w:val="none"/>
        </w:rPr>
      </w:pPr>
      <w:r>
        <w:rPr>
          <w:rFonts w:hint="eastAsia" w:ascii="宋体" w:hAnsi="宋体"/>
          <w:szCs w:val="21"/>
          <w:highlight w:val="none"/>
        </w:rPr>
        <w:t>1、我公司投标截止日投标资格情况不存在下列情形之一：</w:t>
      </w:r>
    </w:p>
    <w:p>
      <w:pPr>
        <w:keepNext w:val="0"/>
        <w:keepLines w:val="0"/>
        <w:pageBreakBefore w:val="0"/>
        <w:widowControl w:val="0"/>
        <w:kinsoku/>
        <w:wordWrap/>
        <w:overflowPunct/>
        <w:topLinePunct w:val="0"/>
        <w:bidi w:val="0"/>
        <w:spacing w:line="400" w:lineRule="exact"/>
        <w:ind w:firstLine="420" w:firstLineChars="200"/>
        <w:textAlignment w:val="auto"/>
        <w:rPr>
          <w:rFonts w:ascii="宋体" w:hAnsi="宋体"/>
          <w:szCs w:val="21"/>
          <w:highlight w:val="none"/>
        </w:rPr>
      </w:pPr>
      <w:r>
        <w:rPr>
          <w:rFonts w:hint="eastAsia" w:ascii="宋体" w:hAnsi="宋体"/>
          <w:szCs w:val="21"/>
          <w:highlight w:val="none"/>
        </w:rPr>
        <w:t>（1）被人民法院列入失信被执行人名单且在被执行期内；</w:t>
      </w:r>
    </w:p>
    <w:p>
      <w:pPr>
        <w:keepNext w:val="0"/>
        <w:keepLines w:val="0"/>
        <w:pageBreakBefore w:val="0"/>
        <w:widowControl w:val="0"/>
        <w:kinsoku/>
        <w:wordWrap/>
        <w:overflowPunct/>
        <w:topLinePunct w:val="0"/>
        <w:bidi w:val="0"/>
        <w:spacing w:line="400" w:lineRule="exact"/>
        <w:ind w:firstLine="420" w:firstLineChars="200"/>
        <w:textAlignment w:val="auto"/>
        <w:rPr>
          <w:rFonts w:ascii="宋体" w:hAnsi="宋体"/>
          <w:szCs w:val="21"/>
          <w:highlight w:val="none"/>
        </w:rPr>
      </w:pPr>
      <w:r>
        <w:rPr>
          <w:rFonts w:hint="eastAsia" w:ascii="宋体" w:hAnsi="宋体"/>
          <w:szCs w:val="21"/>
          <w:highlight w:val="none"/>
        </w:rPr>
        <w:t>（2）被列入《重庆市工程建设领域招标投标信用管理暂行办法》规定的重点关注名单且记分达到12分且在记分有效期内；</w:t>
      </w:r>
    </w:p>
    <w:p>
      <w:pPr>
        <w:keepNext w:val="0"/>
        <w:keepLines w:val="0"/>
        <w:pageBreakBefore w:val="0"/>
        <w:widowControl w:val="0"/>
        <w:kinsoku/>
        <w:wordWrap/>
        <w:overflowPunct/>
        <w:topLinePunct w:val="0"/>
        <w:bidi w:val="0"/>
        <w:spacing w:line="400" w:lineRule="exact"/>
        <w:ind w:firstLine="420" w:firstLineChars="200"/>
        <w:textAlignment w:val="auto"/>
        <w:rPr>
          <w:rFonts w:ascii="宋体" w:hAnsi="宋体"/>
          <w:szCs w:val="21"/>
          <w:highlight w:val="none"/>
        </w:rPr>
      </w:pPr>
      <w:r>
        <w:rPr>
          <w:rFonts w:hint="eastAsia" w:ascii="宋体" w:hAnsi="宋体"/>
          <w:szCs w:val="21"/>
          <w:highlight w:val="none"/>
        </w:rPr>
        <w:t>（3）被列入《重庆市工程建设领域招标投标信用管理暂行办法》规定的黑名单且在有效期内；</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（4）被国家、重庆市（含市或任意区县）有关行政部门处以暂停投标资格行政处罚或暂停在渝承揽新业务，且在暂停期限内。</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2、我公司承诺拟派项目负责人履职和未被禁止参与投标。</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1）承诺拟派项目负责人中标后在本项目履职，签订合同时拟派的项目负责人与投标文件中的项目负责人一致，并满足办理相关手续的要求。不能按承诺履职的，招标人将按合同相关条款要求投标人承担责任并上报行政主管部门，给招标人造成损失的，我司依法承担违约责任或赔偿责任。我司承诺拟派项目负责人中标后不随意更换。</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2）承诺拟派项目负责人未被重庆市（含市或任意区县）有关行业主管部门暂停其在渝承揽的新业务中任职。若其被暂停在渝承揽的新业务中任职但仍参加投标，我司将被否决投标；已取得中标候选人资格或中标资格的，招标人有权取消我司中标候选人资格或中标资格；给招标人造成损失的，我司依法承担赔偿责任或违约责任。</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（3）未提供上述承诺或承诺内容不符合要求的，由评标委员会作否决投标处理。以上承诺同时作为合同的附件。</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rPr>
      </w:pPr>
      <w:r>
        <w:rPr>
          <w:rFonts w:hint="eastAsia" w:ascii="宋体" w:hAnsi="宋体"/>
          <w:szCs w:val="21"/>
          <w:highlight w:val="none"/>
        </w:rPr>
        <w:t>□3、拟派勘察团队其他主要人员</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i/>
          <w:iCs/>
          <w:szCs w:val="21"/>
          <w:highlight w:val="none"/>
        </w:rPr>
      </w:pPr>
      <w:r>
        <w:rPr>
          <w:rFonts w:hint="eastAsia" w:ascii="宋体" w:hAnsi="宋体"/>
          <w:i/>
          <w:iCs/>
          <w:szCs w:val="21"/>
          <w:highlight w:val="none"/>
        </w:rPr>
        <w:t>[提示：当第二章投标人须知前附表第1.4.1项中“6.其他要求-（1）其他拟派主要人员要求”选择方式一时适用。]</w:t>
      </w:r>
    </w:p>
    <w:p>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color w:val="auto"/>
          <w:szCs w:val="21"/>
          <w:highlight w:val="none"/>
        </w:rPr>
      </w:pPr>
      <w:r>
        <w:rPr>
          <w:rFonts w:hint="eastAsia" w:ascii="宋体" w:hAnsi="宋体"/>
          <w:szCs w:val="21"/>
          <w:highlight w:val="none"/>
        </w:rPr>
        <w:t>我司承诺中标后在签订合同之前，按照招标文件的要求配备满足实际工作需要的勘察项目部，配置项目管理班子，出具任命文件。任命文件应当明确勘察项目部的职责、岗位设置、人员配备，并书面通知招标人。相关岗位管理人员应持有建设行政主管部门要求的职称（或执业）证书，并提供我司为其缴纳的养老保险证明材料。中标后不能满足该要求的，招标人可取消我司中标资格，给招标人造成损失的，我公司依法承担赔偿责任或违约责任。</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lang w:val="en-US" w:eastAsia="zh-CN"/>
        </w:rPr>
      </w:pPr>
      <w:r>
        <w:rPr>
          <w:rFonts w:hint="eastAsia" w:ascii="宋体" w:hAnsi="宋体"/>
          <w:szCs w:val="21"/>
          <w:highlight w:val="none"/>
          <w:lang w:val="en-US" w:eastAsia="zh-CN"/>
        </w:rPr>
        <w:t>4、勘察设备</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lang w:val="en-US" w:eastAsia="zh-CN"/>
        </w:rPr>
      </w:pPr>
      <w:r>
        <w:rPr>
          <w:rFonts w:hint="eastAsia" w:ascii="宋体" w:hAnsi="宋体"/>
          <w:szCs w:val="21"/>
          <w:highlight w:val="none"/>
          <w:lang w:val="en-US" w:eastAsia="zh-CN"/>
        </w:rPr>
        <w:t>我公司承诺中标后在签订合同之前，按照实际工作需要配备勘察设备。</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lang w:val="en-US" w:eastAsia="zh-CN"/>
        </w:rPr>
      </w:pPr>
      <w:r>
        <w:rPr>
          <w:rFonts w:hint="eastAsia" w:ascii="宋体" w:hAnsi="宋体"/>
          <w:szCs w:val="21"/>
          <w:highlight w:val="none"/>
          <w:lang w:val="en-US" w:eastAsia="zh-CN"/>
        </w:rPr>
        <w:t>5、我公司在资格审查部分及商务部分中提供的相关证明材料真实有效，不存在弄虚作假情形。贵单位在合同签订前均有权对我公司提供的资料进行核实，若发现弄虚作假，按相关规定取消我公司中标资格，并按相关法律法规报招标投标监督部门，投标保证金以现金形式交纳的不予退还，以保函形式交纳的由保函开立人支付保函担保的与投标保证金等额的款项，我公司自愿承担因此造成的相关责任并赔偿相应损失。</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lang w:val="en-US" w:eastAsia="zh-CN"/>
        </w:rPr>
      </w:pPr>
      <w:r>
        <w:rPr>
          <w:rFonts w:hint="eastAsia" w:ascii="宋体" w:hAnsi="宋体"/>
          <w:szCs w:val="21"/>
          <w:highlight w:val="none"/>
          <w:lang w:val="en-US" w:eastAsia="zh-CN"/>
        </w:rPr>
        <w:t>6、我公司不存在第二章“投标人须知”第 1.4.3 项规定的任何一种情形。</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lang w:val="en-US" w:eastAsia="zh-CN"/>
        </w:rPr>
      </w:pPr>
      <w:r>
        <w:rPr>
          <w:rFonts w:hint="eastAsia" w:ascii="宋体" w:hAnsi="宋体"/>
          <w:szCs w:val="21"/>
          <w:highlight w:val="none"/>
          <w:lang w:val="en-US" w:eastAsia="zh-CN"/>
        </w:rPr>
        <w:t>7、我公司的投标文件符合第二章“投标人须知”第 1.12.1 项的规定。</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lang w:val="en-US" w:eastAsia="zh-CN"/>
        </w:rPr>
      </w:pPr>
      <w:r>
        <w:rPr>
          <w:rFonts w:hint="eastAsia" w:ascii="宋体" w:hAnsi="宋体"/>
          <w:szCs w:val="21"/>
          <w:highlight w:val="none"/>
          <w:lang w:val="en-US" w:eastAsia="zh-CN"/>
        </w:rPr>
        <w:t>8、我公司的投标文件符合第二章“投标人须知”第 1.3.1 项的规定。</w:t>
      </w:r>
    </w:p>
    <w:p>
      <w:pPr>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szCs w:val="21"/>
          <w:highlight w:val="none"/>
          <w:lang w:val="en-US" w:eastAsia="zh-CN"/>
        </w:rPr>
      </w:pPr>
      <w:r>
        <w:rPr>
          <w:rFonts w:hint="eastAsia" w:ascii="宋体" w:hAnsi="宋体"/>
          <w:szCs w:val="21"/>
          <w:highlight w:val="none"/>
          <w:lang w:val="en-US" w:eastAsia="zh-CN"/>
        </w:rPr>
        <w:t>9、我公司的投标文件符合招标文件第四章“合同条款及格式”规定，投标文件中没有贵单位不能接受的条件。</w:t>
      </w:r>
    </w:p>
    <w:p>
      <w:pPr>
        <w:pStyle w:val="2"/>
        <w:keepNext w:val="0"/>
        <w:keepLines w:val="0"/>
        <w:pageBreakBefore w:val="0"/>
        <w:widowControl w:val="0"/>
        <w:kinsoku/>
        <w:wordWrap/>
        <w:overflowPunct/>
        <w:topLinePunct w:val="0"/>
        <w:bidi w:val="0"/>
        <w:spacing w:after="0" w:line="400" w:lineRule="exact"/>
        <w:ind w:firstLine="420" w:firstLineChars="200"/>
        <w:textAlignment w:val="auto"/>
        <w:rPr>
          <w:highlight w:val="none"/>
        </w:rPr>
      </w:pPr>
      <w:r>
        <w:rPr>
          <w:rFonts w:hint="eastAsia" w:ascii="宋体" w:hAnsi="宋体"/>
          <w:szCs w:val="21"/>
          <w:highlight w:val="none"/>
          <w:lang w:val="en-US" w:eastAsia="zh-CN"/>
        </w:rPr>
        <w:t>10、我公司的投标文件符合招标文件第五章“发包人要求”中的实质性要求和条件。</w:t>
      </w:r>
    </w:p>
    <w:p>
      <w:pPr>
        <w:pStyle w:val="2"/>
        <w:keepNext w:val="0"/>
        <w:keepLines w:val="0"/>
        <w:pageBreakBefore w:val="0"/>
        <w:widowControl w:val="0"/>
        <w:kinsoku/>
        <w:wordWrap/>
        <w:overflowPunct/>
        <w:topLinePunct w:val="0"/>
        <w:bidi w:val="0"/>
        <w:spacing w:after="0" w:line="400" w:lineRule="exact"/>
        <w:ind w:firstLine="420" w:firstLineChars="200"/>
        <w:textAlignment w:val="auto"/>
        <w:rPr>
          <w:highlight w:val="none"/>
        </w:rPr>
      </w:pPr>
    </w:p>
    <w:p>
      <w:pPr>
        <w:keepNext w:val="0"/>
        <w:keepLines w:val="0"/>
        <w:pageBreakBefore w:val="0"/>
        <w:widowControl w:val="0"/>
        <w:kinsoku/>
        <w:wordWrap/>
        <w:overflowPunct/>
        <w:topLinePunct w:val="0"/>
        <w:bidi w:val="0"/>
        <w:spacing w:line="400" w:lineRule="exact"/>
        <w:ind w:firstLine="420" w:firstLineChars="200"/>
        <w:jc w:val="right"/>
        <w:textAlignment w:val="auto"/>
        <w:rPr>
          <w:rFonts w:ascii="宋体" w:hAnsi="宋体"/>
          <w:kern w:val="0"/>
          <w:szCs w:val="21"/>
          <w:highlight w:val="none"/>
        </w:rPr>
      </w:pPr>
      <w:r>
        <w:rPr>
          <w:rFonts w:hint="eastAsia" w:ascii="宋体" w:hAnsi="宋体"/>
          <w:szCs w:val="21"/>
          <w:highlight w:val="none"/>
        </w:rPr>
        <w:t>投标人：</w:t>
      </w:r>
      <w:r>
        <w:rPr>
          <w:rFonts w:hint="eastAsia" w:ascii="宋体" w:hAnsi="宋体"/>
          <w:szCs w:val="21"/>
          <w:highlight w:val="none"/>
          <w:u w:val="single"/>
        </w:rPr>
        <w:t xml:space="preserve">                     </w:t>
      </w:r>
      <w:r>
        <w:rPr>
          <w:rFonts w:hint="eastAsia" w:ascii="宋体" w:hAnsi="宋体"/>
          <w:kern w:val="0"/>
          <w:szCs w:val="21"/>
          <w:highlight w:val="none"/>
        </w:rPr>
        <w:t>（</w:t>
      </w:r>
      <w:r>
        <w:rPr>
          <w:rFonts w:hint="eastAsia" w:ascii="宋体" w:hAnsi="宋体"/>
          <w:spacing w:val="-1"/>
          <w:kern w:val="0"/>
          <w:szCs w:val="21"/>
          <w:highlight w:val="none"/>
        </w:rPr>
        <w:t>盖单位法人章</w:t>
      </w:r>
      <w:r>
        <w:rPr>
          <w:rFonts w:hint="eastAsia" w:ascii="宋体" w:hAnsi="宋体"/>
          <w:kern w:val="0"/>
          <w:szCs w:val="21"/>
          <w:highlight w:val="none"/>
        </w:rPr>
        <w:t>）</w:t>
      </w:r>
    </w:p>
    <w:p>
      <w:pPr>
        <w:keepNext w:val="0"/>
        <w:keepLines w:val="0"/>
        <w:pageBreakBefore w:val="0"/>
        <w:widowControl w:val="0"/>
        <w:kinsoku/>
        <w:wordWrap/>
        <w:overflowPunct/>
        <w:topLinePunct w:val="0"/>
        <w:bidi w:val="0"/>
        <w:spacing w:line="400" w:lineRule="exact"/>
        <w:ind w:firstLine="420" w:firstLineChars="200"/>
        <w:jc w:val="right"/>
        <w:textAlignment w:val="auto"/>
        <w:rPr>
          <w:rFonts w:ascii="宋体" w:hAnsi="宋体"/>
          <w:kern w:val="0"/>
          <w:szCs w:val="21"/>
          <w:highlight w:val="none"/>
        </w:rPr>
      </w:pPr>
      <w:r>
        <w:rPr>
          <w:rFonts w:hint="eastAsia" w:ascii="宋体" w:hAnsi="宋体"/>
          <w:kern w:val="0"/>
          <w:szCs w:val="21"/>
          <w:highlight w:val="none"/>
        </w:rPr>
        <w:t>法定代表人：</w:t>
      </w:r>
      <w:r>
        <w:rPr>
          <w:rFonts w:hint="eastAsia" w:ascii="宋体" w:hAnsi="宋体"/>
          <w:kern w:val="0"/>
          <w:szCs w:val="21"/>
          <w:highlight w:val="none"/>
          <w:u w:val="single"/>
        </w:rPr>
        <w:t xml:space="preserve">                  </w:t>
      </w:r>
      <w:r>
        <w:rPr>
          <w:rFonts w:hint="eastAsia" w:ascii="宋体" w:hAnsi="宋体"/>
          <w:kern w:val="0"/>
          <w:szCs w:val="21"/>
          <w:highlight w:val="none"/>
        </w:rPr>
        <w:t>（签名或盖章）</w:t>
      </w:r>
    </w:p>
    <w:p>
      <w:pPr>
        <w:keepNext w:val="0"/>
        <w:keepLines w:val="0"/>
        <w:pageBreakBefore w:val="0"/>
        <w:widowControl w:val="0"/>
        <w:kinsoku/>
        <w:wordWrap/>
        <w:overflowPunct/>
        <w:topLinePunct w:val="0"/>
        <w:bidi w:val="0"/>
        <w:spacing w:line="400" w:lineRule="exact"/>
        <w:ind w:firstLine="420" w:firstLineChars="200"/>
        <w:jc w:val="right"/>
        <w:textAlignment w:val="auto"/>
        <w:rPr>
          <w:rFonts w:ascii="宋体" w:hAnsi="宋体"/>
          <w:kern w:val="0"/>
          <w:szCs w:val="21"/>
          <w:highlight w:val="none"/>
        </w:rPr>
      </w:pPr>
      <w:r>
        <w:rPr>
          <w:rFonts w:hint="eastAsia" w:ascii="宋体" w:hAnsi="宋体"/>
          <w:kern w:val="0"/>
          <w:szCs w:val="21"/>
          <w:highlight w:val="none"/>
          <w:u w:val="single"/>
        </w:rPr>
        <w:t xml:space="preserve">      </w:t>
      </w:r>
      <w:r>
        <w:rPr>
          <w:rFonts w:hint="eastAsia" w:ascii="宋体" w:hAnsi="宋体"/>
          <w:kern w:val="0"/>
          <w:szCs w:val="21"/>
          <w:highlight w:val="none"/>
        </w:rPr>
        <w:t>年</w:t>
      </w:r>
      <w:r>
        <w:rPr>
          <w:rFonts w:hint="eastAsia" w:ascii="宋体" w:hAnsi="宋体"/>
          <w:kern w:val="0"/>
          <w:szCs w:val="21"/>
          <w:highlight w:val="none"/>
          <w:u w:val="single"/>
        </w:rPr>
        <w:t xml:space="preserve">     </w:t>
      </w:r>
      <w:r>
        <w:rPr>
          <w:rFonts w:hint="eastAsia" w:ascii="宋体" w:hAnsi="宋体"/>
          <w:kern w:val="0"/>
          <w:szCs w:val="21"/>
          <w:highlight w:val="none"/>
        </w:rPr>
        <w:t>月</w:t>
      </w:r>
      <w:r>
        <w:rPr>
          <w:rFonts w:hint="eastAsia" w:ascii="宋体" w:hAnsi="宋体"/>
          <w:kern w:val="0"/>
          <w:szCs w:val="21"/>
          <w:highlight w:val="none"/>
          <w:u w:val="single"/>
        </w:rPr>
        <w:t xml:space="preserve">     </w:t>
      </w:r>
      <w:r>
        <w:rPr>
          <w:rFonts w:hint="eastAsia" w:ascii="宋体" w:hAnsi="宋体"/>
          <w:kern w:val="0"/>
          <w:szCs w:val="21"/>
          <w:highlight w:val="none"/>
        </w:rPr>
        <w:t>日</w:t>
      </w:r>
    </w:p>
    <w:p>
      <w:pPr>
        <w:widowControl/>
        <w:jc w:val="left"/>
        <w:rPr>
          <w:rFonts w:eastAsia="黑体"/>
          <w:sz w:val="28"/>
          <w:szCs w:val="20"/>
          <w:highlight w:val="none"/>
        </w:rPr>
      </w:pPr>
      <w:r>
        <w:rPr>
          <w:rFonts w:eastAsia="黑体"/>
          <w:sz w:val="28"/>
          <w:szCs w:val="20"/>
          <w:highlight w:val="none"/>
        </w:rPr>
        <w:br w:type="page"/>
      </w:r>
    </w:p>
    <w:p>
      <w:pPr>
        <w:keepNext/>
        <w:keepLines/>
        <w:spacing w:before="260" w:after="260" w:line="412" w:lineRule="auto"/>
        <w:ind w:firstLine="137" w:firstLineChars="49"/>
        <w:jc w:val="center"/>
        <w:outlineLvl w:val="1"/>
        <w:rPr>
          <w:rFonts w:eastAsia="黑体"/>
          <w:sz w:val="28"/>
          <w:szCs w:val="20"/>
          <w:highlight w:val="none"/>
        </w:rPr>
      </w:pPr>
      <w:bookmarkStart w:id="2189" w:name="_Toc28678"/>
      <w:bookmarkStart w:id="2190" w:name="_Toc22998"/>
      <w:bookmarkStart w:id="2191" w:name="_Toc6834"/>
      <w:bookmarkStart w:id="2192" w:name="_Toc75857139"/>
      <w:bookmarkStart w:id="2193" w:name="_Toc6754"/>
      <w:bookmarkStart w:id="2194" w:name="_Toc24563"/>
      <w:r>
        <w:rPr>
          <w:rFonts w:hint="eastAsia" w:eastAsia="黑体"/>
          <w:sz w:val="28"/>
          <w:szCs w:val="20"/>
          <w:highlight w:val="none"/>
        </w:rPr>
        <w:t>（九）其他资料</w:t>
      </w:r>
      <w:bookmarkEnd w:id="2189"/>
      <w:bookmarkEnd w:id="2190"/>
      <w:bookmarkEnd w:id="2191"/>
      <w:bookmarkEnd w:id="2192"/>
      <w:bookmarkEnd w:id="2193"/>
      <w:bookmarkEnd w:id="2194"/>
    </w:p>
    <w:p>
      <w:pPr>
        <w:spacing w:line="360" w:lineRule="auto"/>
        <w:ind w:firstLine="420" w:firstLineChars="200"/>
        <w:rPr>
          <w:rFonts w:ascii="宋体" w:hAnsi="宋体"/>
          <w:szCs w:val="21"/>
          <w:highlight w:val="none"/>
        </w:rPr>
      </w:pPr>
      <w:r>
        <w:rPr>
          <w:rFonts w:hint="eastAsia" w:ascii="宋体" w:hAnsi="宋体"/>
          <w:szCs w:val="21"/>
          <w:highlight w:val="none"/>
        </w:rPr>
        <w:t>1. 投标保证金</w:t>
      </w:r>
    </w:p>
    <w:p>
      <w:pPr>
        <w:spacing w:line="360" w:lineRule="auto"/>
        <w:ind w:firstLine="420" w:firstLineChars="200"/>
        <w:rPr>
          <w:rFonts w:ascii="宋体" w:hAnsi="宋体"/>
          <w:i/>
          <w:szCs w:val="21"/>
          <w:highlight w:val="none"/>
        </w:rPr>
      </w:pPr>
      <w:r>
        <w:rPr>
          <w:rFonts w:hint="eastAsia" w:ascii="宋体" w:hAnsi="宋体"/>
          <w:i/>
          <w:szCs w:val="21"/>
          <w:highlight w:val="none"/>
        </w:rPr>
        <w:t>[提示：以转账支票或电汇形式交纳投标保证金的提供以下资料]</w:t>
      </w:r>
    </w:p>
    <w:p>
      <w:pPr>
        <w:spacing w:line="360" w:lineRule="auto"/>
        <w:ind w:firstLine="420" w:firstLineChars="200"/>
        <w:rPr>
          <w:rFonts w:ascii="宋体" w:hAnsi="宋体"/>
          <w:szCs w:val="21"/>
          <w:highlight w:val="none"/>
        </w:rPr>
      </w:pPr>
      <w:r>
        <w:rPr>
          <w:rFonts w:hint="eastAsia" w:ascii="宋体" w:hAnsi="宋体"/>
          <w:szCs w:val="21"/>
          <w:highlight w:val="none"/>
        </w:rPr>
        <w:t>（1）企业基本账户开户证明文件。</w:t>
      </w:r>
    </w:p>
    <w:p>
      <w:pPr>
        <w:spacing w:line="360" w:lineRule="auto"/>
        <w:ind w:firstLine="420" w:firstLineChars="200"/>
        <w:rPr>
          <w:rFonts w:ascii="宋体" w:hAnsi="宋体"/>
          <w:i/>
          <w:szCs w:val="21"/>
          <w:highlight w:val="none"/>
        </w:rPr>
      </w:pPr>
    </w:p>
    <w:p>
      <w:pPr>
        <w:spacing w:line="360" w:lineRule="auto"/>
        <w:ind w:firstLine="420" w:firstLineChars="200"/>
        <w:rPr>
          <w:rFonts w:ascii="宋体" w:hAnsi="宋体"/>
          <w:i/>
          <w:szCs w:val="21"/>
          <w:highlight w:val="none"/>
        </w:rPr>
      </w:pPr>
      <w:r>
        <w:rPr>
          <w:rFonts w:hint="eastAsia" w:ascii="宋体" w:hAnsi="宋体"/>
          <w:i/>
          <w:szCs w:val="21"/>
          <w:highlight w:val="none"/>
        </w:rPr>
        <w:t>[提示：以纸质投标保函形式交纳投标保证金的提供以下资料]</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（1）纸质投标保函（如有）</w:t>
      </w:r>
    </w:p>
    <w:p>
      <w:pPr>
        <w:pStyle w:val="2"/>
        <w:jc w:val="center"/>
        <w:rPr>
          <w:color w:val="auto"/>
          <w:highlight w:val="none"/>
        </w:rPr>
      </w:pPr>
      <w:r>
        <w:rPr>
          <w:rFonts w:hint="eastAsia"/>
          <w:color w:val="auto"/>
          <w:highlight w:val="none"/>
        </w:rPr>
        <w:t>投标保函示范文本</w:t>
      </w:r>
    </w:p>
    <w:p>
      <w:pPr>
        <w:spacing w:line="360" w:lineRule="auto"/>
        <w:ind w:firstLine="420" w:firstLineChars="200"/>
        <w:rPr>
          <w:rFonts w:hint="default"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申请人：</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360" w:lineRule="auto"/>
        <w:ind w:firstLine="420" w:firstLineChars="200"/>
        <w:rPr>
          <w:rFonts w:hint="default"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地</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址：</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360" w:lineRule="auto"/>
        <w:ind w:firstLine="420" w:firstLineChars="200"/>
        <w:rPr>
          <w:rFonts w:hint="default"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受益人：</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360" w:lineRule="auto"/>
        <w:ind w:firstLine="420" w:firstLineChars="200"/>
        <w:rPr>
          <w:rFonts w:hint="default"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地</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址：</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360" w:lineRule="auto"/>
        <w:ind w:firstLine="420" w:firstLineChars="200"/>
        <w:rPr>
          <w:rFonts w:hint="default"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开立人：</w:t>
      </w:r>
      <w:r>
        <w:rPr>
          <w:rFonts w:hint="eastAsia" w:asciiTheme="minorEastAsia" w:hAnsiTheme="minorEastAsia" w:eastAsiaTheme="minorEastAsia" w:cstheme="minorEastAsia"/>
          <w:color w:val="auto"/>
          <w:szCs w:val="21"/>
          <w:highlight w:val="none"/>
          <w:u w:val="single"/>
          <w:lang w:val="en-US" w:eastAsia="zh-CN"/>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jc w:val="both"/>
        <w:textAlignment w:val="auto"/>
        <w:outlineLvl w:val="9"/>
        <w:rPr>
          <w:rFonts w:hint="default"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地址：</w:t>
      </w:r>
      <w:r>
        <w:rPr>
          <w:rFonts w:hint="eastAsia" w:asciiTheme="minorEastAsia" w:hAnsiTheme="minorEastAsia" w:eastAsiaTheme="minorEastAsia" w:cstheme="minorEastAsia"/>
          <w:color w:val="auto"/>
          <w:szCs w:val="21"/>
          <w:highlight w:val="none"/>
          <w:u w:val="single"/>
          <w:lang w:val="en-US" w:eastAsia="zh-CN"/>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（受益人名称）</w:t>
      </w:r>
      <w:r>
        <w:rPr>
          <w:rFonts w:hint="eastAsia" w:asciiTheme="minorEastAsia" w:hAnsiTheme="minorEastAsia" w:eastAsiaTheme="minorEastAsia" w:cstheme="minorEastAsia"/>
          <w:color w:val="auto"/>
          <w:kern w:val="2"/>
          <w:sz w:val="21"/>
          <w:szCs w:val="21"/>
          <w:highlight w:val="none"/>
          <w:lang w:eastAsia="zh-CN"/>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396" w:firstLineChars="200"/>
        <w:jc w:val="both"/>
        <w:textAlignment w:val="auto"/>
        <w:outlineLvl w:val="9"/>
        <w:rPr>
          <w:rFonts w:hint="eastAsia" w:asciiTheme="minorEastAsia" w:hAnsiTheme="minorEastAsia" w:eastAsiaTheme="minorEastAsia" w:cstheme="minorEastAsia"/>
          <w:color w:val="auto"/>
          <w:spacing w:val="-6"/>
          <w:kern w:val="0"/>
          <w:sz w:val="21"/>
          <w:szCs w:val="21"/>
          <w:highlight w:val="none"/>
          <w:lang w:val="en-US" w:eastAsia="zh-CN" w:bidi="ar-SA"/>
        </w:rPr>
      </w:pPr>
      <w:r>
        <w:rPr>
          <w:rFonts w:hint="eastAsia" w:asciiTheme="minorEastAsia" w:hAnsiTheme="minorEastAsia" w:eastAsiaTheme="minorEastAsia" w:cstheme="minorEastAsia"/>
          <w:color w:val="auto"/>
          <w:spacing w:val="-6"/>
          <w:kern w:val="0"/>
          <w:sz w:val="21"/>
          <w:szCs w:val="21"/>
          <w:highlight w:val="none"/>
          <w:lang w:val="en-US" w:eastAsia="zh-CN" w:bidi="ar-SA"/>
        </w:rPr>
        <w:t>我方（即“开立人”）已获得通知，本保函申请人（即“投标人”）已响应贵方于</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年</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月</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日</w:t>
      </w:r>
      <w:r>
        <w:rPr>
          <w:rFonts w:hint="eastAsia" w:asciiTheme="minorEastAsia" w:hAnsiTheme="minorEastAsia" w:eastAsiaTheme="minorEastAsia" w:cstheme="minorEastAsia"/>
          <w:color w:val="auto"/>
          <w:spacing w:val="-6"/>
          <w:kern w:val="0"/>
          <w:sz w:val="21"/>
          <w:szCs w:val="21"/>
          <w:highlight w:val="none"/>
          <w:lang w:val="en-US" w:eastAsia="zh-CN" w:bidi="ar-SA"/>
        </w:rPr>
        <w:t>就</w:t>
      </w:r>
      <w:r>
        <w:rPr>
          <w:rFonts w:hint="eastAsia" w:asciiTheme="minorEastAsia" w:hAnsiTheme="minorEastAsia" w:eastAsiaTheme="minorEastAsia" w:cstheme="minorEastAsia"/>
          <w:color w:val="auto"/>
          <w:spacing w:val="-6"/>
          <w:kern w:val="0"/>
          <w:sz w:val="21"/>
          <w:szCs w:val="21"/>
          <w:highlight w:val="none"/>
          <w:u w:val="single"/>
          <w:lang w:val="en-US" w:eastAsia="zh-CN" w:bidi="ar-SA"/>
        </w:rPr>
        <w:t xml:space="preserve">                   </w:t>
      </w:r>
      <w:r>
        <w:rPr>
          <w:rFonts w:hint="eastAsia" w:asciiTheme="minorEastAsia" w:hAnsiTheme="minorEastAsia" w:eastAsiaTheme="minorEastAsia" w:cstheme="minorEastAsia"/>
          <w:color w:val="auto"/>
          <w:spacing w:val="-6"/>
          <w:kern w:val="0"/>
          <w:sz w:val="21"/>
          <w:szCs w:val="21"/>
          <w:highlight w:val="none"/>
          <w:lang w:val="en-US" w:eastAsia="zh-CN" w:bidi="ar-SA"/>
        </w:rPr>
        <w:t>（以下简称“本项目”）发出的招标文件以及后续发布的答疑补遗文件，并拟向招标人（即“受益人”）提交投标文件（即“基础交易”）。</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0"/>
          <w:sz w:val="21"/>
          <w:szCs w:val="21"/>
          <w:highlight w:val="none"/>
          <w:lang w:val="en-US" w:eastAsia="zh-CN" w:bidi="ar-SA"/>
        </w:rPr>
      </w:pPr>
      <w:r>
        <w:rPr>
          <w:rFonts w:hint="eastAsia" w:asciiTheme="minorEastAsia" w:hAnsiTheme="minorEastAsia" w:eastAsiaTheme="minorEastAsia" w:cstheme="minorEastAsia"/>
          <w:color w:val="auto"/>
          <w:kern w:val="0"/>
          <w:sz w:val="21"/>
          <w:szCs w:val="21"/>
          <w:highlight w:val="none"/>
          <w:lang w:val="en-US" w:eastAsia="zh-CN" w:bidi="ar-SA"/>
        </w:rPr>
        <w:t>一、我方理解根据招标条件，投标人必须提交一份投标保函（以下简称“本保函”），以担保投标人诚信履行其在上述基础交易中承担的投标人义务。鉴此，应申请人要求，我方在此同意向贵方出具此投标保函，本保函担保金额为人民币（大写）</w:t>
      </w:r>
      <w:r>
        <w:rPr>
          <w:rFonts w:hint="eastAsia" w:asciiTheme="minorEastAsia" w:hAnsiTheme="minorEastAsia" w:eastAsiaTheme="minorEastAsia" w:cstheme="minorEastAsia"/>
          <w:color w:val="auto"/>
          <w:kern w:val="0"/>
          <w:sz w:val="21"/>
          <w:szCs w:val="21"/>
          <w:highlight w:val="none"/>
          <w:u w:val="single"/>
          <w:lang w:val="en-US" w:eastAsia="zh-CN" w:bidi="ar-SA"/>
        </w:rPr>
        <w:t xml:space="preserve">    </w:t>
      </w:r>
      <w:r>
        <w:rPr>
          <w:rFonts w:hint="eastAsia" w:asciiTheme="minorEastAsia" w:hAnsiTheme="minorEastAsia" w:eastAsiaTheme="minorEastAsia" w:cstheme="minorEastAsia"/>
          <w:color w:val="auto"/>
          <w:kern w:val="0"/>
          <w:sz w:val="21"/>
          <w:szCs w:val="21"/>
          <w:highlight w:val="none"/>
          <w:lang w:val="en-US" w:eastAsia="zh-CN" w:bidi="ar-SA"/>
        </w:rPr>
        <w:t>元（¥</w:t>
      </w:r>
      <w:r>
        <w:rPr>
          <w:rFonts w:hint="eastAsia" w:asciiTheme="minorEastAsia" w:hAnsiTheme="minorEastAsia" w:eastAsiaTheme="minorEastAsia" w:cstheme="minorEastAsia"/>
          <w:color w:val="auto"/>
          <w:kern w:val="0"/>
          <w:sz w:val="21"/>
          <w:szCs w:val="21"/>
          <w:highlight w:val="none"/>
          <w:u w:val="single"/>
          <w:lang w:val="en-US" w:eastAsia="zh-CN" w:bidi="ar-SA"/>
        </w:rPr>
        <w:t xml:space="preserve">        </w:t>
      </w:r>
      <w:r>
        <w:rPr>
          <w:rFonts w:hint="eastAsia" w:asciiTheme="minorEastAsia" w:hAnsiTheme="minorEastAsia" w:eastAsiaTheme="minorEastAsia" w:cstheme="minorEastAsia"/>
          <w:color w:val="auto"/>
          <w:kern w:val="0"/>
          <w:sz w:val="21"/>
          <w:szCs w:val="21"/>
          <w:highlight w:val="none"/>
          <w:lang w:val="en-US" w:eastAsia="zh-CN" w:bidi="ar-SA"/>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二、我方在投标人发生以下情形时承担保证担保责任：</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 xml:space="preserve">（1）投标人在开标后至投标有效期满之前撤销投标的；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 xml:space="preserve">（2）投标人在收到中标通知后，不能或拒绝在中标通知书规定的时间内与贵方签订合同；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（3）投标人在与贵方签订合同前，未在规定的时间内提交符合招标文件要求的履约保证金；</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（4）投标人违反招标文件规定的其他情形。</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三、本保函为不可撤销、不可转让的见索即付保函。本保函有效期自开立之日起至投标有效期届满之日后的</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日</w:t>
      </w:r>
      <w:r>
        <w:rPr>
          <w:rFonts w:hint="eastAsia" w:asciiTheme="minorEastAsia" w:hAnsiTheme="minorEastAsia" w:eastAsiaTheme="minorEastAsia" w:cstheme="minorEastAsia"/>
          <w:color w:val="auto"/>
          <w:kern w:val="2"/>
          <w:sz w:val="21"/>
          <w:szCs w:val="21"/>
          <w:highlight w:val="none"/>
          <w:lang w:eastAsia="zh-CN"/>
        </w:rPr>
        <w:t>止（提示：建议</w:t>
      </w:r>
      <w:r>
        <w:rPr>
          <w:rFonts w:hint="eastAsia" w:asciiTheme="minorEastAsia" w:hAnsiTheme="minorEastAsia" w:eastAsiaTheme="minorEastAsia" w:cstheme="minorEastAsia"/>
          <w:color w:val="auto"/>
          <w:kern w:val="2"/>
          <w:sz w:val="21"/>
          <w:szCs w:val="21"/>
          <w:highlight w:val="none"/>
          <w:lang w:val="en-US" w:eastAsia="zh-CN"/>
        </w:rPr>
        <w:t>30日</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。投标有效期延长的，本保函有效期相应顺延，最迟不超过</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年</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月</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日</w:t>
      </w:r>
      <w:r>
        <w:rPr>
          <w:rFonts w:hint="eastAsia" w:asciiTheme="minorEastAsia" w:hAnsiTheme="minorEastAsia" w:eastAsiaTheme="minorEastAsia" w:cstheme="minorEastAsia"/>
          <w:color w:val="auto"/>
          <w:kern w:val="2"/>
          <w:sz w:val="21"/>
          <w:szCs w:val="21"/>
          <w:highlight w:val="none"/>
          <w:lang w:eastAsia="zh-CN"/>
        </w:rPr>
        <w:t>（提示：建议按保函有效期不超过</w:t>
      </w:r>
      <w:r>
        <w:rPr>
          <w:rFonts w:hint="eastAsia" w:asciiTheme="minorEastAsia" w:hAnsiTheme="minorEastAsia" w:eastAsiaTheme="minorEastAsia" w:cstheme="minorEastAsia"/>
          <w:color w:val="auto"/>
          <w:kern w:val="2"/>
          <w:sz w:val="21"/>
          <w:szCs w:val="21"/>
          <w:highlight w:val="none"/>
          <w:lang w:val="en-US" w:eastAsia="zh-CN"/>
        </w:rPr>
        <w:t>270日考虑</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lang w:eastAsia="zh-CN"/>
        </w:rPr>
        <w:t>四、</w:t>
      </w:r>
      <w:r>
        <w:rPr>
          <w:rFonts w:hint="eastAsia" w:asciiTheme="minorEastAsia" w:hAnsiTheme="minorEastAsia" w:eastAsiaTheme="minorEastAsia" w:cstheme="minorEastAsia"/>
          <w:color w:val="auto"/>
          <w:kern w:val="2"/>
          <w:sz w:val="21"/>
          <w:szCs w:val="21"/>
          <w:highlight w:val="none"/>
        </w:rPr>
        <w:t>我方承诺，在收到受益人发来的书面</w:t>
      </w:r>
      <w:r>
        <w:rPr>
          <w:rFonts w:hint="eastAsia" w:asciiTheme="minorEastAsia" w:hAnsiTheme="minorEastAsia" w:eastAsiaTheme="minorEastAsia" w:cstheme="minorEastAsia"/>
          <w:color w:val="auto"/>
          <w:kern w:val="2"/>
          <w:sz w:val="21"/>
          <w:szCs w:val="21"/>
          <w:highlight w:val="none"/>
          <w:lang w:eastAsia="zh-CN"/>
        </w:rPr>
        <w:t>索赔</w:t>
      </w:r>
      <w:r>
        <w:rPr>
          <w:rFonts w:hint="eastAsia" w:asciiTheme="minorEastAsia" w:hAnsiTheme="minorEastAsia" w:eastAsiaTheme="minorEastAsia" w:cstheme="minorEastAsia"/>
          <w:color w:val="auto"/>
          <w:kern w:val="2"/>
          <w:sz w:val="21"/>
          <w:szCs w:val="21"/>
          <w:highlight w:val="none"/>
        </w:rPr>
        <w:t>通知后的</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none"/>
          <w:lang w:eastAsia="zh-CN"/>
        </w:rPr>
        <w:t>个工作</w:t>
      </w:r>
      <w:r>
        <w:rPr>
          <w:rFonts w:hint="eastAsia" w:asciiTheme="minorEastAsia" w:hAnsiTheme="minorEastAsia" w:eastAsiaTheme="minorEastAsia" w:cstheme="minorEastAsia"/>
          <w:color w:val="auto"/>
          <w:kern w:val="2"/>
          <w:sz w:val="21"/>
          <w:szCs w:val="21"/>
          <w:highlight w:val="none"/>
        </w:rPr>
        <w:t>日</w:t>
      </w:r>
      <w:r>
        <w:rPr>
          <w:rFonts w:hint="eastAsia" w:asciiTheme="minorEastAsia" w:hAnsiTheme="minorEastAsia" w:eastAsiaTheme="minorEastAsia" w:cstheme="minorEastAsia"/>
          <w:color w:val="auto"/>
          <w:kern w:val="2"/>
          <w:sz w:val="21"/>
          <w:szCs w:val="21"/>
          <w:highlight w:val="none"/>
          <w:lang w:eastAsia="zh-CN"/>
        </w:rPr>
        <w:t>（提示：建议</w:t>
      </w:r>
      <w:r>
        <w:rPr>
          <w:rFonts w:hint="eastAsia" w:asciiTheme="minorEastAsia" w:hAnsiTheme="minorEastAsia" w:eastAsiaTheme="minorEastAsia" w:cstheme="minorEastAsia"/>
          <w:color w:val="auto"/>
          <w:kern w:val="2"/>
          <w:sz w:val="21"/>
          <w:szCs w:val="21"/>
          <w:highlight w:val="none"/>
          <w:lang w:val="en-US" w:eastAsia="zh-CN"/>
        </w:rPr>
        <w:t>10—15个工作日</w:t>
      </w:r>
      <w:r>
        <w:rPr>
          <w:rFonts w:hint="eastAsia" w:asciiTheme="minorEastAsia" w:hAnsiTheme="minorEastAsia" w:eastAsiaTheme="minorEastAsia" w:cstheme="minorEastAsia"/>
          <w:color w:val="auto"/>
          <w:kern w:val="2"/>
          <w:sz w:val="21"/>
          <w:szCs w:val="21"/>
          <w:highlight w:val="none"/>
          <w:lang w:eastAsia="zh-CN"/>
        </w:rPr>
        <w:t>）</w:t>
      </w:r>
      <w:r>
        <w:rPr>
          <w:rFonts w:hint="eastAsia" w:asciiTheme="minorEastAsia" w:hAnsiTheme="minorEastAsia" w:eastAsiaTheme="minorEastAsia" w:cstheme="minorEastAsia"/>
          <w:color w:val="auto"/>
          <w:kern w:val="2"/>
          <w:sz w:val="21"/>
          <w:szCs w:val="21"/>
          <w:highlight w:val="none"/>
        </w:rPr>
        <w:t>内无条件支付，前述书面</w:t>
      </w:r>
      <w:r>
        <w:rPr>
          <w:rFonts w:hint="eastAsia" w:asciiTheme="minorEastAsia" w:hAnsiTheme="minorEastAsia" w:eastAsiaTheme="minorEastAsia" w:cstheme="minorEastAsia"/>
          <w:color w:val="auto"/>
          <w:kern w:val="2"/>
          <w:sz w:val="21"/>
          <w:szCs w:val="21"/>
          <w:highlight w:val="none"/>
          <w:lang w:eastAsia="zh-CN"/>
        </w:rPr>
        <w:t>索赔</w:t>
      </w:r>
      <w:r>
        <w:rPr>
          <w:rFonts w:hint="eastAsia" w:asciiTheme="minorEastAsia" w:hAnsiTheme="minorEastAsia" w:eastAsiaTheme="minorEastAsia" w:cstheme="minorEastAsia"/>
          <w:color w:val="auto"/>
          <w:kern w:val="2"/>
          <w:sz w:val="21"/>
          <w:szCs w:val="21"/>
          <w:highlight w:val="none"/>
        </w:rPr>
        <w:t>通知即为付款要求之单据，且应满足以下要求：</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w:t>
      </w:r>
      <w:r>
        <w:rPr>
          <w:rFonts w:hint="eastAsia" w:asciiTheme="minorEastAsia" w:hAnsiTheme="minorEastAsia" w:eastAsiaTheme="minorEastAsia" w:cstheme="minorEastAsia"/>
          <w:color w:val="auto"/>
          <w:kern w:val="2"/>
          <w:sz w:val="21"/>
          <w:szCs w:val="21"/>
          <w:highlight w:val="none"/>
          <w:lang w:eastAsia="zh-CN"/>
        </w:rPr>
        <w:t>索赔</w:t>
      </w:r>
      <w:r>
        <w:rPr>
          <w:rFonts w:hint="eastAsia" w:asciiTheme="minorEastAsia" w:hAnsiTheme="minorEastAsia" w:eastAsiaTheme="minorEastAsia" w:cstheme="minorEastAsia"/>
          <w:color w:val="auto"/>
          <w:kern w:val="2"/>
          <w:sz w:val="21"/>
          <w:szCs w:val="21"/>
          <w:highlight w:val="none"/>
        </w:rPr>
        <w:t>通知到达的日期在本保函的有效期内；</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（2）载明要求支付的金额；</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（3）载明申请人违反招投标文件规定的义务内容和具体条款；</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（4）声明不存在招标文件规定免除申请人或我方支付责任的情形；</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spacing w:val="0"/>
          <w:kern w:val="2"/>
          <w:sz w:val="21"/>
          <w:szCs w:val="21"/>
          <w:highlight w:val="none"/>
          <w:lang w:eastAsia="zh-CN"/>
        </w:rPr>
        <w:t>（</w:t>
      </w:r>
      <w:r>
        <w:rPr>
          <w:rFonts w:hint="eastAsia" w:asciiTheme="minorEastAsia" w:hAnsiTheme="minorEastAsia" w:eastAsiaTheme="minorEastAsia" w:cstheme="minorEastAsia"/>
          <w:color w:val="auto"/>
          <w:spacing w:val="0"/>
          <w:kern w:val="2"/>
          <w:sz w:val="21"/>
          <w:szCs w:val="21"/>
          <w:highlight w:val="none"/>
          <w:lang w:val="en-US" w:eastAsia="zh-CN"/>
        </w:rPr>
        <w:t>5</w:t>
      </w:r>
      <w:r>
        <w:rPr>
          <w:rFonts w:hint="eastAsia" w:asciiTheme="minorEastAsia" w:hAnsiTheme="minorEastAsia" w:eastAsiaTheme="minorEastAsia" w:cstheme="minorEastAsia"/>
          <w:color w:val="auto"/>
          <w:spacing w:val="0"/>
          <w:kern w:val="2"/>
          <w:sz w:val="21"/>
          <w:szCs w:val="21"/>
          <w:highlight w:val="none"/>
          <w:lang w:eastAsia="zh-CN"/>
        </w:rPr>
        <w:t>）索赔</w:t>
      </w:r>
      <w:r>
        <w:rPr>
          <w:rFonts w:hint="eastAsia" w:asciiTheme="minorEastAsia" w:hAnsiTheme="minorEastAsia" w:eastAsiaTheme="minorEastAsia" w:cstheme="minorEastAsia"/>
          <w:color w:val="auto"/>
          <w:spacing w:val="0"/>
          <w:kern w:val="2"/>
          <w:sz w:val="21"/>
          <w:szCs w:val="21"/>
          <w:highlight w:val="none"/>
        </w:rPr>
        <w:t>通知应在本保函有效期内到达的地址是：</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受益人发出的书面</w:t>
      </w:r>
      <w:r>
        <w:rPr>
          <w:rFonts w:hint="eastAsia" w:asciiTheme="minorEastAsia" w:hAnsiTheme="minorEastAsia" w:eastAsiaTheme="minorEastAsia" w:cstheme="minorEastAsia"/>
          <w:color w:val="auto"/>
          <w:kern w:val="2"/>
          <w:sz w:val="21"/>
          <w:szCs w:val="21"/>
          <w:highlight w:val="none"/>
          <w:lang w:eastAsia="zh-CN"/>
        </w:rPr>
        <w:t>索赔</w:t>
      </w:r>
      <w:r>
        <w:rPr>
          <w:rFonts w:hint="eastAsia" w:asciiTheme="minorEastAsia" w:hAnsiTheme="minorEastAsia" w:eastAsiaTheme="minorEastAsia" w:cstheme="minorEastAsia"/>
          <w:color w:val="auto"/>
          <w:kern w:val="2"/>
          <w:sz w:val="21"/>
          <w:szCs w:val="21"/>
          <w:highlight w:val="none"/>
        </w:rPr>
        <w:t>通知应由其为鉴明受益人法定代表人或授权代理人签</w:t>
      </w:r>
      <w:r>
        <w:rPr>
          <w:rFonts w:hint="eastAsia" w:asciiTheme="minorEastAsia" w:hAnsiTheme="minorEastAsia" w:eastAsiaTheme="minorEastAsia" w:cstheme="minorEastAsia"/>
          <w:color w:val="auto"/>
          <w:kern w:val="2"/>
          <w:sz w:val="21"/>
          <w:szCs w:val="21"/>
          <w:highlight w:val="none"/>
          <w:lang w:eastAsia="zh-CN"/>
        </w:rPr>
        <w:t>名</w:t>
      </w:r>
      <w:r>
        <w:rPr>
          <w:rFonts w:hint="eastAsia" w:asciiTheme="minorEastAsia" w:hAnsiTheme="minorEastAsia" w:eastAsiaTheme="minorEastAsia" w:cstheme="minorEastAsia"/>
          <w:color w:val="auto"/>
          <w:kern w:val="2"/>
          <w:sz w:val="21"/>
          <w:szCs w:val="21"/>
          <w:highlight w:val="none"/>
        </w:rPr>
        <w:t>并加盖公章。</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五、本保函项下的权利不得转让，不得设定担保。</w:t>
      </w:r>
      <w:r>
        <w:rPr>
          <w:rFonts w:hint="eastAsia" w:asciiTheme="minorEastAsia" w:hAnsiTheme="minorEastAsia" w:eastAsiaTheme="minorEastAsia" w:cstheme="minorEastAsia"/>
          <w:color w:val="auto"/>
          <w:kern w:val="2"/>
          <w:sz w:val="21"/>
          <w:szCs w:val="21"/>
          <w:highlight w:val="none"/>
          <w:lang w:eastAsia="zh-CN"/>
        </w:rPr>
        <w:t>贵方</w:t>
      </w:r>
      <w:r>
        <w:rPr>
          <w:rFonts w:hint="eastAsia" w:asciiTheme="minorEastAsia" w:hAnsiTheme="minorEastAsia" w:eastAsiaTheme="minorEastAsia" w:cstheme="minorEastAsia"/>
          <w:color w:val="auto"/>
          <w:kern w:val="2"/>
          <w:sz w:val="21"/>
          <w:szCs w:val="21"/>
          <w:highlight w:val="none"/>
        </w:rPr>
        <w:t>未经我方书面同意转让本保函或其项下任何权利，对我方不发生法律效力。</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六、本保函项下的基础交易不成立、不生效、无效、被撤销、被解除，不影响本保函的独立有效。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七、受益人应在本保函到期后的</w:t>
      </w:r>
      <w:r>
        <w:rPr>
          <w:rFonts w:hint="eastAsia" w:asciiTheme="minorEastAsia" w:hAnsiTheme="minorEastAsia" w:eastAsiaTheme="minorEastAsia" w:cstheme="minorEastAsia"/>
          <w:color w:val="auto"/>
          <w:kern w:val="2"/>
          <w:sz w:val="21"/>
          <w:szCs w:val="21"/>
          <w:highlight w:val="none"/>
          <w:lang w:val="en-US" w:eastAsia="zh-CN"/>
        </w:rPr>
        <w:t>七</w:t>
      </w:r>
      <w:r>
        <w:rPr>
          <w:rFonts w:hint="eastAsia" w:asciiTheme="minorEastAsia" w:hAnsiTheme="minorEastAsia" w:eastAsiaTheme="minorEastAsia" w:cstheme="minorEastAsia"/>
          <w:color w:val="auto"/>
          <w:kern w:val="2"/>
          <w:sz w:val="21"/>
          <w:szCs w:val="21"/>
          <w:highlight w:val="none"/>
          <w:lang w:eastAsia="zh-CN"/>
        </w:rPr>
        <w:t>个工作</w:t>
      </w:r>
      <w:r>
        <w:rPr>
          <w:rFonts w:hint="eastAsia" w:asciiTheme="minorEastAsia" w:hAnsiTheme="minorEastAsia" w:eastAsiaTheme="minorEastAsia" w:cstheme="minorEastAsia"/>
          <w:color w:val="auto"/>
          <w:kern w:val="2"/>
          <w:sz w:val="21"/>
          <w:szCs w:val="21"/>
          <w:highlight w:val="none"/>
        </w:rPr>
        <w:t>日内将本保函正本退回我方注销，但是不论受益人是否按此要求将本保函正本退回我方，我方在本保函项下的义务和责任均在保函有效期到期后自动消灭。</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rPr>
        <w:t>八、</w:t>
      </w:r>
      <w:r>
        <w:rPr>
          <w:rFonts w:hint="eastAsia" w:asciiTheme="minorEastAsia" w:hAnsiTheme="minorEastAsia" w:eastAsiaTheme="minorEastAsia" w:cstheme="minorEastAsia"/>
          <w:color w:val="auto"/>
          <w:kern w:val="2"/>
          <w:sz w:val="21"/>
          <w:szCs w:val="21"/>
          <w:highlight w:val="none"/>
          <w:lang w:eastAsia="zh-CN"/>
        </w:rPr>
        <w:t>本保函的开具是我方真实意思表示，符合法律法规规定，我方同意遵守本保函约定并无条件承担担保责任。本保函与其他规定或条款不一致时，以本保函约定为准。</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lang w:eastAsia="zh-CN"/>
        </w:rPr>
        <w:t>九、</w:t>
      </w:r>
      <w:r>
        <w:rPr>
          <w:rFonts w:hint="eastAsia" w:asciiTheme="minorEastAsia" w:hAnsiTheme="minorEastAsia" w:eastAsiaTheme="minorEastAsia" w:cstheme="minorEastAsia"/>
          <w:color w:val="auto"/>
          <w:kern w:val="2"/>
          <w:sz w:val="21"/>
          <w:szCs w:val="21"/>
          <w:highlight w:val="none"/>
        </w:rPr>
        <w:t>本保函适用的法律为中华人民共和国法律，争议裁判管辖地为中华人民共和国</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lang w:eastAsia="zh-CN"/>
        </w:rPr>
        <w:t>十</w:t>
      </w:r>
      <w:r>
        <w:rPr>
          <w:rFonts w:hint="eastAsia" w:asciiTheme="minorEastAsia" w:hAnsiTheme="minorEastAsia" w:eastAsiaTheme="minorEastAsia" w:cstheme="minorEastAsia"/>
          <w:color w:val="auto"/>
          <w:kern w:val="2"/>
          <w:sz w:val="21"/>
          <w:szCs w:val="21"/>
          <w:highlight w:val="none"/>
        </w:rPr>
        <w:t>、本保函自我方法定代表人或授权代表</w:t>
      </w:r>
      <w:r>
        <w:rPr>
          <w:rFonts w:hint="eastAsia" w:asciiTheme="minorEastAsia" w:hAnsiTheme="minorEastAsia" w:eastAsiaTheme="minorEastAsia" w:cstheme="minorEastAsia"/>
          <w:color w:val="auto"/>
          <w:kern w:val="2"/>
          <w:sz w:val="21"/>
          <w:szCs w:val="21"/>
          <w:highlight w:val="none"/>
          <w:lang w:eastAsia="zh-CN"/>
        </w:rPr>
        <w:t>签名</w:t>
      </w:r>
      <w:r>
        <w:rPr>
          <w:rFonts w:hint="eastAsia" w:asciiTheme="minorEastAsia" w:hAnsiTheme="minorEastAsia" w:eastAsiaTheme="minorEastAsia" w:cstheme="minorEastAsia"/>
          <w:color w:val="auto"/>
          <w:kern w:val="2"/>
          <w:sz w:val="21"/>
          <w:szCs w:val="21"/>
          <w:highlight w:val="none"/>
        </w:rPr>
        <w:t>并加盖公章之日起生效。</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u w:val="none"/>
        </w:rPr>
      </w:pPr>
      <w:r>
        <w:rPr>
          <w:rFonts w:hint="eastAsia" w:asciiTheme="minorEastAsia" w:hAnsiTheme="minorEastAsia" w:eastAsiaTheme="minorEastAsia" w:cstheme="minorEastAsia"/>
          <w:color w:val="auto"/>
          <w:kern w:val="2"/>
          <w:sz w:val="21"/>
          <w:szCs w:val="21"/>
          <w:highlight w:val="none"/>
          <w:lang w:eastAsia="zh-CN"/>
        </w:rPr>
        <w:t>十一、本保函在重庆市辖区范围内的核验地点：</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none"/>
          <w:lang w:eastAsia="zh-CN"/>
        </w:rPr>
        <w:t>；核验方式：</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 xml:space="preserve">开 立 人：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（公章）</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法定代表人（或授权</w:t>
      </w:r>
      <w:r>
        <w:rPr>
          <w:rFonts w:hint="eastAsia" w:asciiTheme="minorEastAsia" w:hAnsiTheme="minorEastAsia" w:eastAsiaTheme="minorEastAsia" w:cstheme="minorEastAsia"/>
          <w:color w:val="auto"/>
          <w:kern w:val="2"/>
          <w:sz w:val="21"/>
          <w:szCs w:val="21"/>
          <w:highlight w:val="none"/>
          <w:lang w:eastAsia="zh-CN"/>
        </w:rPr>
        <w:t>代表</w:t>
      </w: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rPr>
        <w:t>（</w:t>
      </w:r>
      <w:r>
        <w:rPr>
          <w:rFonts w:hint="eastAsia" w:asciiTheme="minorEastAsia" w:hAnsiTheme="minorEastAsia" w:eastAsiaTheme="minorEastAsia" w:cstheme="minorEastAsia"/>
          <w:color w:val="auto"/>
          <w:kern w:val="2"/>
          <w:sz w:val="21"/>
          <w:szCs w:val="21"/>
          <w:highlight w:val="none"/>
          <w:lang w:eastAsia="zh-CN"/>
        </w:rPr>
        <w:t>签名</w:t>
      </w:r>
      <w:r>
        <w:rPr>
          <w:rFonts w:hint="eastAsia" w:asciiTheme="minorEastAsia" w:hAnsiTheme="minorEastAsia" w:eastAsiaTheme="minorEastAsia" w:cstheme="minorEastAsia"/>
          <w:color w:val="auto"/>
          <w:kern w:val="2"/>
          <w:sz w:val="21"/>
          <w:szCs w:val="21"/>
          <w:highlight w:val="none"/>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地    址：</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邮政编码：</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电    话：</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传    真：</w:t>
      </w:r>
      <w:r>
        <w:rPr>
          <w:rFonts w:hint="eastAsia" w:asciiTheme="minorEastAsia" w:hAnsiTheme="minorEastAsia" w:eastAsiaTheme="minorEastAsia" w:cstheme="minorEastAsia"/>
          <w:color w:val="auto"/>
          <w:kern w:val="2"/>
          <w:sz w:val="21"/>
          <w:szCs w:val="21"/>
          <w:highlight w:val="none"/>
          <w:u w:val="single"/>
        </w:rPr>
        <w:t xml:space="preserve">                                </w:t>
      </w:r>
      <w:r>
        <w:rPr>
          <w:rFonts w:hint="eastAsia" w:asciiTheme="minorEastAsia" w:hAnsiTheme="minorEastAsia" w:eastAsiaTheme="minorEastAsia" w:cstheme="minorEastAsia"/>
          <w:color w:val="auto"/>
          <w:kern w:val="2"/>
          <w:sz w:val="21"/>
          <w:szCs w:val="21"/>
          <w:highlight w:val="none"/>
          <w:u w:val="singl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p>
    <w:p>
      <w:pPr>
        <w:spacing w:line="360" w:lineRule="auto"/>
        <w:ind w:firstLine="420" w:firstLineChars="200"/>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rPr>
        <w:t xml:space="preserve">开立时间：    年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月 </w:t>
      </w:r>
      <w:r>
        <w:rPr>
          <w:rFonts w:hint="eastAsia" w:asciiTheme="minorEastAsia" w:hAnsiTheme="minorEastAsia" w:eastAsiaTheme="minorEastAsia" w:cstheme="minorEastAsia"/>
          <w:color w:val="auto"/>
          <w:kern w:val="2"/>
          <w:sz w:val="21"/>
          <w:szCs w:val="21"/>
          <w:highlight w:val="none"/>
          <w:lang w:val="en-US" w:eastAsia="zh-CN"/>
        </w:rPr>
        <w:t xml:space="preserve">  </w:t>
      </w:r>
      <w:r>
        <w:rPr>
          <w:rFonts w:hint="eastAsia" w:asciiTheme="minorEastAsia" w:hAnsiTheme="minorEastAsia" w:eastAsiaTheme="minorEastAsia" w:cstheme="minorEastAsia"/>
          <w:color w:val="auto"/>
          <w:kern w:val="2"/>
          <w:sz w:val="21"/>
          <w:szCs w:val="21"/>
          <w:highlight w:val="none"/>
        </w:rPr>
        <w:t xml:space="preserve"> </w:t>
      </w:r>
      <w:r>
        <w:rPr>
          <w:rFonts w:hint="eastAsia" w:asciiTheme="minorEastAsia" w:hAnsiTheme="minorEastAsia" w:eastAsiaTheme="minorEastAsia" w:cstheme="minorEastAsia"/>
          <w:color w:val="auto"/>
          <w:kern w:val="2"/>
          <w:sz w:val="21"/>
          <w:szCs w:val="21"/>
          <w:highlight w:val="none"/>
          <w:lang w:eastAsia="zh-CN"/>
        </w:rPr>
        <w:t>日</w:t>
      </w:r>
    </w:p>
    <w:p>
      <w:pPr>
        <w:spacing w:line="240" w:lineRule="auto"/>
        <w:ind w:firstLine="0" w:firstLineChars="0"/>
        <w:rPr>
          <w:rFonts w:hint="eastAsia" w:asciiTheme="minorEastAsia" w:hAnsiTheme="minorEastAsia" w:eastAsiaTheme="minorEastAsia" w:cstheme="minorEastAsia"/>
          <w:color w:val="auto"/>
          <w:kern w:val="2"/>
          <w:sz w:val="21"/>
          <w:szCs w:val="21"/>
          <w:highlight w:val="none"/>
          <w:lang w:eastAsia="zh-CN"/>
        </w:rPr>
      </w:pPr>
      <w:r>
        <w:rPr>
          <w:rFonts w:hint="eastAsia" w:asciiTheme="minorEastAsia" w:hAnsiTheme="minorEastAsia" w:eastAsiaTheme="minorEastAsia" w:cstheme="minorEastAsia"/>
          <w:color w:val="auto"/>
          <w:kern w:val="2"/>
          <w:sz w:val="21"/>
          <w:szCs w:val="21"/>
          <w:highlight w:val="none"/>
          <w:lang w:eastAsia="zh-CN"/>
        </w:rPr>
        <w:br w:type="page"/>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 中小微企业声明函（示范格式）</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color w:val="auto"/>
          <w:sz w:val="28"/>
          <w:szCs w:val="28"/>
          <w:highlight w:val="none"/>
        </w:rPr>
      </w:pPr>
      <w:r>
        <w:rPr>
          <w:rFonts w:hint="eastAsia" w:ascii="宋体" w:hAnsi="宋体" w:eastAsia="宋体" w:cs="宋体"/>
          <w:color w:val="auto"/>
          <w:sz w:val="24"/>
          <w:szCs w:val="24"/>
          <w:highlight w:val="none"/>
        </w:rPr>
        <w:t>中小微企业声明函</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textAlignment w:val="auto"/>
        <w:outlineLvl w:val="9"/>
        <w:rPr>
          <w:color w:val="auto"/>
          <w:highlight w:val="none"/>
        </w:rPr>
      </w:pP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rPr>
        <w:t>人名称）</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本企业郑重声明：</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i w:val="0"/>
          <w:caps w:val="0"/>
          <w:color w:val="auto"/>
          <w:spacing w:val="0"/>
          <w:sz w:val="21"/>
          <w:szCs w:val="21"/>
          <w:highlight w:val="none"/>
          <w:lang w:eastAsia="zh-CN"/>
        </w:rPr>
        <w:t>工业和信息化部</w:t>
      </w:r>
      <w:r>
        <w:rPr>
          <w:rFonts w:hint="eastAsia" w:ascii="宋体" w:hAnsi="宋体" w:eastAsia="宋体" w:cs="宋体"/>
          <w:i w:val="0"/>
          <w:caps w:val="0"/>
          <w:color w:val="auto"/>
          <w:spacing w:val="0"/>
          <w:sz w:val="21"/>
          <w:szCs w:val="21"/>
          <w:highlight w:val="none"/>
          <w:lang w:val="en-US" w:eastAsia="zh-CN"/>
        </w:rPr>
        <w:t>、国家统计局、国家发展和改革委员会以及财政部联合印发的《关于印发中小企业划型标准规定的通知</w:t>
      </w:r>
      <w:r>
        <w:rPr>
          <w:rFonts w:hint="eastAsia" w:ascii="宋体" w:hAnsi="宋体" w:eastAsia="宋体" w:cs="宋体"/>
          <w:i w:val="0"/>
          <w:caps w:val="0"/>
          <w:color w:val="auto"/>
          <w:spacing w:val="0"/>
          <w:sz w:val="21"/>
          <w:szCs w:val="21"/>
          <w:highlight w:val="none"/>
          <w:lang w:eastAsia="zh-CN"/>
        </w:rPr>
        <w:t>》（工信部联企业</w:t>
      </w:r>
      <w:r>
        <w:rPr>
          <w:rFonts w:hint="eastAsia" w:ascii="宋体" w:hAnsi="宋体" w:eastAsia="宋体" w:cs="宋体"/>
          <w:color w:val="auto"/>
          <w:sz w:val="21"/>
          <w:szCs w:val="21"/>
          <w:highlight w:val="none"/>
        </w:rPr>
        <w:t>〔2011〕</w:t>
      </w:r>
      <w:r>
        <w:rPr>
          <w:rFonts w:hint="eastAsia" w:ascii="宋体" w:hAnsi="宋体" w:eastAsia="宋体" w:cs="宋体"/>
          <w:i w:val="0"/>
          <w:caps w:val="0"/>
          <w:color w:val="auto"/>
          <w:spacing w:val="0"/>
          <w:sz w:val="21"/>
          <w:szCs w:val="21"/>
          <w:highlight w:val="none"/>
          <w:lang w:val="en-US" w:eastAsia="zh-CN"/>
        </w:rPr>
        <w:t>300号</w:t>
      </w:r>
      <w:r>
        <w:rPr>
          <w:rFonts w:hint="eastAsia" w:ascii="宋体" w:hAnsi="宋体" w:eastAsia="宋体" w:cs="宋体"/>
          <w:i w:val="0"/>
          <w:caps w:val="0"/>
          <w:color w:val="auto"/>
          <w:spacing w:val="0"/>
          <w:sz w:val="21"/>
          <w:szCs w:val="21"/>
          <w:highlight w:val="none"/>
          <w:lang w:eastAsia="zh-CN"/>
        </w:rPr>
        <w:t>）</w:t>
      </w:r>
      <w:r>
        <w:rPr>
          <w:rFonts w:hint="eastAsia" w:ascii="宋体" w:hAnsi="宋体" w:eastAsia="宋体" w:cs="宋体"/>
          <w:color w:val="auto"/>
          <w:sz w:val="21"/>
          <w:szCs w:val="21"/>
          <w:highlight w:val="none"/>
        </w:rPr>
        <w:t>划分标准，本企业为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行业（行业类别）的</w:t>
      </w:r>
      <w:r>
        <w:rPr>
          <w:rFonts w:hint="eastAsia" w:ascii="宋体" w:hAnsi="宋体" w:eastAsia="宋体" w:cs="宋体"/>
          <w:color w:val="auto"/>
          <w:sz w:val="21"/>
          <w:szCs w:val="21"/>
          <w:highlight w:val="none"/>
          <w:lang w:eastAsia="zh-CN"/>
        </w:rPr>
        <w:t>中小微</w:t>
      </w:r>
      <w:r>
        <w:rPr>
          <w:rFonts w:hint="eastAsia" w:ascii="宋体" w:hAnsi="宋体" w:eastAsia="宋体" w:cs="宋体"/>
          <w:color w:val="auto"/>
          <w:sz w:val="21"/>
          <w:szCs w:val="21"/>
          <w:highlight w:val="none"/>
        </w:rPr>
        <w:t>企业。</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企业基本情况表</w:t>
      </w:r>
    </w:p>
    <w:tbl>
      <w:tblPr>
        <w:tblStyle w:val="55"/>
        <w:tblW w:w="872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20"/>
        <w:gridCol w:w="2494"/>
        <w:gridCol w:w="2288"/>
        <w:gridCol w:w="2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80" w:hRule="atLeast"/>
          <w:jc w:val="center"/>
        </w:trPr>
        <w:tc>
          <w:tcPr>
            <w:tcW w:w="152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行业类别</w:t>
            </w:r>
          </w:p>
        </w:tc>
        <w:tc>
          <w:tcPr>
            <w:tcW w:w="2494"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营业收入（万元）</w:t>
            </w:r>
          </w:p>
        </w:tc>
        <w:tc>
          <w:tcPr>
            <w:tcW w:w="2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从业人员（人）</w:t>
            </w:r>
          </w:p>
        </w:tc>
        <w:tc>
          <w:tcPr>
            <w:tcW w:w="241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67" w:hRule="atLeast"/>
          <w:jc w:val="center"/>
        </w:trPr>
        <w:tc>
          <w:tcPr>
            <w:tcW w:w="152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highlight w:val="none"/>
              </w:rPr>
            </w:pPr>
          </w:p>
        </w:tc>
        <w:tc>
          <w:tcPr>
            <w:tcW w:w="2494"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highlight w:val="none"/>
              </w:rPr>
            </w:pPr>
          </w:p>
        </w:tc>
        <w:tc>
          <w:tcPr>
            <w:tcW w:w="2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highlight w:val="none"/>
              </w:rPr>
            </w:pPr>
          </w:p>
        </w:tc>
        <w:tc>
          <w:tcPr>
            <w:tcW w:w="241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highlight w:val="none"/>
              </w:rPr>
            </w:pPr>
          </w:p>
        </w:tc>
      </w:tr>
    </w:tbl>
    <w:p>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行业类别由招标人在招标文件中明确。</w:t>
      </w:r>
    </w:p>
    <w:p>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从业人员、营业收入、资产总额以投标截止日上一年度（</w:t>
      </w:r>
      <w:r>
        <w:rPr>
          <w:rFonts w:hint="eastAsia" w:ascii="宋体" w:hAnsi="宋体" w:eastAsia="宋体" w:cs="宋体"/>
          <w:color w:val="auto"/>
          <w:sz w:val="21"/>
          <w:szCs w:val="21"/>
          <w:highlight w:val="none"/>
          <w:u w:val="single"/>
          <w:lang w:val="en-US" w:eastAsia="zh-CN"/>
        </w:rPr>
        <w:t xml:space="preserve">    年</w:t>
      </w:r>
      <w:r>
        <w:rPr>
          <w:rFonts w:hint="eastAsia" w:ascii="宋体" w:hAnsi="宋体" w:eastAsia="宋体" w:cs="宋体"/>
          <w:color w:val="auto"/>
          <w:sz w:val="21"/>
          <w:szCs w:val="21"/>
          <w:highlight w:val="none"/>
          <w:lang w:eastAsia="zh-CN"/>
        </w:rPr>
        <w:t>）向统计部门上报的统计数据为准，若未向统计部门上报数据，则以投标截止日上一年度（</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年</w:t>
      </w:r>
      <w:r>
        <w:rPr>
          <w:rFonts w:hint="eastAsia" w:ascii="宋体" w:hAnsi="宋体" w:eastAsia="宋体" w:cs="宋体"/>
          <w:color w:val="auto"/>
          <w:sz w:val="21"/>
          <w:szCs w:val="21"/>
          <w:highlight w:val="none"/>
          <w:lang w:eastAsia="zh-CN"/>
        </w:rPr>
        <w:t>）经会计师事务所或审计机构出具的合法有效的财务审计报告数据为准。上报统计部门数据证明材料或财务审计报告附后。</w:t>
      </w:r>
    </w:p>
    <w:p>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本企业对上述声明的真实性负责。如有虚假，将依法承担相应责任。</w:t>
      </w:r>
    </w:p>
    <w:p>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firstLine="645"/>
        <w:textAlignment w:val="auto"/>
        <w:outlineLvl w:val="9"/>
        <w:rPr>
          <w:rFonts w:hint="eastAsia" w:ascii="宋体" w:hAnsi="宋体" w:eastAsia="宋体" w:cs="宋体"/>
          <w:color w:val="auto"/>
          <w:sz w:val="32"/>
          <w:szCs w:val="32"/>
          <w:highlight w:val="none"/>
        </w:rPr>
      </w:pPr>
    </w:p>
    <w:p>
      <w:pPr>
        <w:spacing w:line="360" w:lineRule="auto"/>
        <w:ind w:firstLine="4620" w:firstLineChars="2200"/>
        <w:rPr>
          <w:rFonts w:hint="eastAsia" w:ascii="宋体" w:hAnsi="宋体" w:cs="宋体"/>
          <w:color w:val="auto"/>
          <w:kern w:val="0"/>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rPr>
        <w:t>（</w:t>
      </w:r>
      <w:r>
        <w:rPr>
          <w:rFonts w:hint="eastAsia" w:ascii="宋体" w:hAnsi="宋体" w:cs="宋体"/>
          <w:color w:val="auto"/>
          <w:spacing w:val="-1"/>
          <w:kern w:val="0"/>
          <w:szCs w:val="21"/>
          <w:highlight w:val="none"/>
        </w:rPr>
        <w:t>盖单位法人章</w:t>
      </w:r>
      <w:r>
        <w:rPr>
          <w:rFonts w:hint="eastAsia" w:ascii="宋体" w:hAnsi="宋体" w:cs="宋体"/>
          <w:color w:val="auto"/>
          <w:kern w:val="0"/>
          <w:szCs w:val="21"/>
          <w:highlight w:val="none"/>
        </w:rPr>
        <w:t>）</w:t>
      </w:r>
    </w:p>
    <w:p>
      <w:pPr>
        <w:spacing w:line="360" w:lineRule="auto"/>
        <w:ind w:firstLine="4620" w:firstLineChars="2200"/>
        <w:rPr>
          <w:rFonts w:hint="eastAsia" w:ascii="宋体" w:hAnsi="宋体" w:cs="宋体"/>
          <w:color w:val="auto"/>
          <w:kern w:val="0"/>
          <w:szCs w:val="21"/>
          <w:highlight w:val="none"/>
        </w:rPr>
      </w:pPr>
      <w:r>
        <w:rPr>
          <w:rFonts w:hint="eastAsia" w:ascii="宋体" w:hAnsi="宋体" w:cs="宋体"/>
          <w:color w:val="auto"/>
          <w:kern w:val="0"/>
          <w:szCs w:val="21"/>
          <w:highlight w:val="none"/>
        </w:rPr>
        <w:t>法定代表人：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（签名或盖章）</w:t>
      </w:r>
    </w:p>
    <w:p>
      <w:pPr>
        <w:widowControl/>
        <w:spacing w:line="360" w:lineRule="auto"/>
        <w:ind w:firstLine="5880" w:firstLineChars="2800"/>
        <w:jc w:val="left"/>
        <w:rPr>
          <w:szCs w:val="22"/>
          <w:highlight w:val="none"/>
        </w:rPr>
      </w:pP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bookmarkEnd w:id="1252"/>
      <w:bookmarkEnd w:id="1253"/>
      <w:bookmarkEnd w:id="1254"/>
    </w:p>
    <w:sectPr>
      <w:pgSz w:w="11906" w:h="16838"/>
      <w:pgMar w:top="1304" w:right="1134" w:bottom="1304"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微软雅黑"/>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altName w:val="微软雅黑"/>
    <w:panose1 w:val="03000509000000000000"/>
    <w:charset w:val="86"/>
    <w:family w:val="script"/>
    <w:pitch w:val="default"/>
    <w:sig w:usb0="00000000" w:usb1="0000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MingLiU">
    <w:panose1 w:val="02020509000000000000"/>
    <w:charset w:val="88"/>
    <w:family w:val="modern"/>
    <w:pitch w:val="default"/>
    <w:sig w:usb0="A00002FF" w:usb1="28CFFCFA" w:usb2="00000016" w:usb3="00000000" w:csb0="00100001" w:csb1="00000000"/>
  </w:font>
  <w:font w:name="Calibri Light">
    <w:altName w:val="Calibri"/>
    <w:panose1 w:val="020F0302020204030204"/>
    <w:charset w:val="00"/>
    <w:family w:val="swiss"/>
    <w:pitch w:val="default"/>
    <w:sig w:usb0="00000000" w:usb1="00000000" w:usb2="00000009" w:usb3="00000000" w:csb0="200001F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fldChar w:fldCharType="begin"/>
    </w:r>
    <w:r>
      <w:rPr>
        <w:rStyle w:val="49"/>
      </w:rPr>
      <w:instrText xml:space="preserve">PAGE  </w:instrText>
    </w:r>
    <w: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t xml:space="preserve">- </w:t>
    </w:r>
    <w:r>
      <w:fldChar w:fldCharType="begin"/>
    </w:r>
    <w:r>
      <w:instrText xml:space="preserve"> PAGE </w:instrText>
    </w:r>
    <w:r>
      <w:fldChar w:fldCharType="separate"/>
    </w:r>
    <w:r>
      <w:t>1</w:t>
    </w:r>
    <w:r>
      <w:fldChar w:fldCharType="end"/>
    </w:r>
    <w:r>
      <w:t xml:space="preserve"> -</w:t>
    </w:r>
  </w:p>
  <w:p>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fldChar w:fldCharType="begin"/>
    </w:r>
    <w:r>
      <w:rPr>
        <w:rStyle w:val="49"/>
      </w:rPr>
      <w:instrText xml:space="preserve">PAGE  </w:instrText>
    </w:r>
    <w:r>
      <w:fldChar w:fldCharType="separate"/>
    </w:r>
    <w:r>
      <w:rPr>
        <w:rStyle w:val="49"/>
      </w:rPr>
      <w:t>- 2 -</w:t>
    </w:r>
    <w:r>
      <w:fldChar w:fldCharType="end"/>
    </w:r>
  </w:p>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fldChar w:fldCharType="begin"/>
    </w:r>
    <w:r>
      <w:rPr>
        <w:rStyle w:val="49"/>
      </w:rPr>
      <w:instrText xml:space="preserve">PAGE  </w:instrText>
    </w:r>
    <w:r>
      <w:fldChar w:fldCharType="separate"/>
    </w:r>
    <w:r>
      <w:rPr>
        <w:rStyle w:val="49"/>
      </w:rPr>
      <w:t>- 4 -</w:t>
    </w:r>
    <w:r>
      <w:fldChar w:fldCharType="end"/>
    </w:r>
  </w:p>
  <w:p>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t xml:space="preserve">- </w:t>
    </w:r>
    <w:r>
      <w:fldChar w:fldCharType="begin"/>
    </w:r>
    <w:r>
      <w:instrText xml:space="preserve"> PAGE </w:instrText>
    </w:r>
    <w:r>
      <w:fldChar w:fldCharType="separate"/>
    </w:r>
    <w:r>
      <w:t>37</w:t>
    </w:r>
    <w:r>
      <w:fldChar w:fldCharType="end"/>
    </w:r>
    <w: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49"/>
      </w:rPr>
    </w:pPr>
    <w:r>
      <w:fldChar w:fldCharType="begin"/>
    </w:r>
    <w:r>
      <w:rPr>
        <w:rStyle w:val="49"/>
      </w:rPr>
      <w:instrText xml:space="preserve">PAGE  </w:instrText>
    </w:r>
    <w:r>
      <w:fldChar w:fldCharType="separate"/>
    </w:r>
    <w:r>
      <w:rPr>
        <w:rStyle w:val="49"/>
      </w:rPr>
      <w:t>264</w:t>
    </w:r>
    <w:r>
      <w:fldChar w:fldCharType="end"/>
    </w:r>
  </w:p>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tabs>
        <w:tab w:val="left" w:pos="5333"/>
      </w:tabs>
      <w:jc w:val="left"/>
      <w:rPr>
        <w:rFonts w:hint="eastAsia" w:eastAsia="宋体"/>
        <w:lang w:eastAsia="zh-CN"/>
      </w:rPr>
    </w:pPr>
    <w:r>
      <w:rPr>
        <w:rFonts w:hint="eastAsia"/>
        <w:lang w:eastAsia="zh-CN"/>
      </w:rPr>
      <w:tab/>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027DAC"/>
    <w:multiLevelType w:val="singleLevel"/>
    <w:tmpl w:val="61027DAC"/>
    <w:lvl w:ilvl="0" w:tentative="0">
      <w:start w:val="1"/>
      <w:numFmt w:val="chineseCounting"/>
      <w:suff w:val="nothing"/>
      <w:lvlText w:val="%1、"/>
      <w:lvlJc w:val="left"/>
    </w:lvl>
  </w:abstractNum>
  <w:abstractNum w:abstractNumId="1">
    <w:nsid w:val="6D9409C9"/>
    <w:multiLevelType w:val="multilevel"/>
    <w:tmpl w:val="6D9409C9"/>
    <w:lvl w:ilvl="0" w:tentative="0">
      <w:start w:val="1"/>
      <w:numFmt w:val="decimal"/>
      <w:lvlText w:val="(%1)"/>
      <w:lvlJc w:val="left"/>
      <w:pPr>
        <w:tabs>
          <w:tab w:val="left" w:pos="570"/>
        </w:tabs>
        <w:ind w:left="570" w:firstLine="400"/>
      </w:pPr>
      <w:rPr>
        <w:rFonts w:hint="eastAsia"/>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345"/>
    <w:rsid w:val="00001A09"/>
    <w:rsid w:val="00001B1E"/>
    <w:rsid w:val="000027C8"/>
    <w:rsid w:val="0000285A"/>
    <w:rsid w:val="00002D86"/>
    <w:rsid w:val="00003A3F"/>
    <w:rsid w:val="00004B9B"/>
    <w:rsid w:val="00005443"/>
    <w:rsid w:val="00005E79"/>
    <w:rsid w:val="000067A3"/>
    <w:rsid w:val="000111B7"/>
    <w:rsid w:val="00014531"/>
    <w:rsid w:val="00014DF1"/>
    <w:rsid w:val="00015333"/>
    <w:rsid w:val="000157AC"/>
    <w:rsid w:val="00015C9C"/>
    <w:rsid w:val="0001647D"/>
    <w:rsid w:val="0001650A"/>
    <w:rsid w:val="000165A8"/>
    <w:rsid w:val="0001665A"/>
    <w:rsid w:val="00016860"/>
    <w:rsid w:val="00016912"/>
    <w:rsid w:val="00017F2D"/>
    <w:rsid w:val="00020EB1"/>
    <w:rsid w:val="00021228"/>
    <w:rsid w:val="000215EB"/>
    <w:rsid w:val="00022747"/>
    <w:rsid w:val="00022F4C"/>
    <w:rsid w:val="00023AD6"/>
    <w:rsid w:val="00023B7F"/>
    <w:rsid w:val="00024492"/>
    <w:rsid w:val="0002480F"/>
    <w:rsid w:val="00025644"/>
    <w:rsid w:val="00025750"/>
    <w:rsid w:val="0002592F"/>
    <w:rsid w:val="00025DD0"/>
    <w:rsid w:val="00026B4A"/>
    <w:rsid w:val="0002735F"/>
    <w:rsid w:val="000301A4"/>
    <w:rsid w:val="000308BB"/>
    <w:rsid w:val="0003162C"/>
    <w:rsid w:val="000316FE"/>
    <w:rsid w:val="00031F42"/>
    <w:rsid w:val="00032255"/>
    <w:rsid w:val="0003256A"/>
    <w:rsid w:val="00032B15"/>
    <w:rsid w:val="00033076"/>
    <w:rsid w:val="0003332C"/>
    <w:rsid w:val="00033847"/>
    <w:rsid w:val="000347EB"/>
    <w:rsid w:val="00034B81"/>
    <w:rsid w:val="00035320"/>
    <w:rsid w:val="0003558C"/>
    <w:rsid w:val="000355D8"/>
    <w:rsid w:val="00035B50"/>
    <w:rsid w:val="00035E2F"/>
    <w:rsid w:val="000365B0"/>
    <w:rsid w:val="0003673D"/>
    <w:rsid w:val="00036798"/>
    <w:rsid w:val="00037549"/>
    <w:rsid w:val="00037672"/>
    <w:rsid w:val="00037AFD"/>
    <w:rsid w:val="00037B30"/>
    <w:rsid w:val="000407E9"/>
    <w:rsid w:val="00041188"/>
    <w:rsid w:val="000415C5"/>
    <w:rsid w:val="000418B4"/>
    <w:rsid w:val="000426A8"/>
    <w:rsid w:val="000426EA"/>
    <w:rsid w:val="000434B1"/>
    <w:rsid w:val="000437CD"/>
    <w:rsid w:val="00043EFA"/>
    <w:rsid w:val="00044029"/>
    <w:rsid w:val="0004540A"/>
    <w:rsid w:val="00045DA4"/>
    <w:rsid w:val="00046B15"/>
    <w:rsid w:val="00046EAC"/>
    <w:rsid w:val="000477EA"/>
    <w:rsid w:val="00050329"/>
    <w:rsid w:val="000505D6"/>
    <w:rsid w:val="00050A2B"/>
    <w:rsid w:val="00050F21"/>
    <w:rsid w:val="00053B37"/>
    <w:rsid w:val="00053DC4"/>
    <w:rsid w:val="00053F70"/>
    <w:rsid w:val="00054784"/>
    <w:rsid w:val="00054C30"/>
    <w:rsid w:val="00054D78"/>
    <w:rsid w:val="00054F64"/>
    <w:rsid w:val="0005572F"/>
    <w:rsid w:val="00056618"/>
    <w:rsid w:val="00057103"/>
    <w:rsid w:val="000578DC"/>
    <w:rsid w:val="00057D13"/>
    <w:rsid w:val="00061927"/>
    <w:rsid w:val="00061B42"/>
    <w:rsid w:val="0006245E"/>
    <w:rsid w:val="00062535"/>
    <w:rsid w:val="000625AF"/>
    <w:rsid w:val="00062D58"/>
    <w:rsid w:val="00063C01"/>
    <w:rsid w:val="000640B5"/>
    <w:rsid w:val="000654D9"/>
    <w:rsid w:val="000655E4"/>
    <w:rsid w:val="00065807"/>
    <w:rsid w:val="00065C93"/>
    <w:rsid w:val="00065F0A"/>
    <w:rsid w:val="000677BF"/>
    <w:rsid w:val="00067885"/>
    <w:rsid w:val="00067E50"/>
    <w:rsid w:val="0007009B"/>
    <w:rsid w:val="000703E1"/>
    <w:rsid w:val="00070444"/>
    <w:rsid w:val="0007082A"/>
    <w:rsid w:val="00070DB4"/>
    <w:rsid w:val="00072AEF"/>
    <w:rsid w:val="00072C40"/>
    <w:rsid w:val="0007377C"/>
    <w:rsid w:val="0007389B"/>
    <w:rsid w:val="00073E89"/>
    <w:rsid w:val="00074031"/>
    <w:rsid w:val="00074445"/>
    <w:rsid w:val="00074926"/>
    <w:rsid w:val="00074FB9"/>
    <w:rsid w:val="000753AE"/>
    <w:rsid w:val="00075CB5"/>
    <w:rsid w:val="0007662F"/>
    <w:rsid w:val="00077452"/>
    <w:rsid w:val="00077788"/>
    <w:rsid w:val="000777DB"/>
    <w:rsid w:val="00080479"/>
    <w:rsid w:val="00080C91"/>
    <w:rsid w:val="00081575"/>
    <w:rsid w:val="00081E58"/>
    <w:rsid w:val="00084056"/>
    <w:rsid w:val="00084085"/>
    <w:rsid w:val="000843AE"/>
    <w:rsid w:val="00084AD3"/>
    <w:rsid w:val="00085720"/>
    <w:rsid w:val="00085DDD"/>
    <w:rsid w:val="00086F23"/>
    <w:rsid w:val="000874F6"/>
    <w:rsid w:val="00090828"/>
    <w:rsid w:val="0009083C"/>
    <w:rsid w:val="00090A07"/>
    <w:rsid w:val="00090F93"/>
    <w:rsid w:val="00090FA6"/>
    <w:rsid w:val="00090FD7"/>
    <w:rsid w:val="0009161E"/>
    <w:rsid w:val="000925AC"/>
    <w:rsid w:val="000927A3"/>
    <w:rsid w:val="00092F8F"/>
    <w:rsid w:val="0009358F"/>
    <w:rsid w:val="00094007"/>
    <w:rsid w:val="00095086"/>
    <w:rsid w:val="00095189"/>
    <w:rsid w:val="0009559A"/>
    <w:rsid w:val="0009581E"/>
    <w:rsid w:val="00095DEF"/>
    <w:rsid w:val="000967E2"/>
    <w:rsid w:val="00096C42"/>
    <w:rsid w:val="00097C86"/>
    <w:rsid w:val="000A0398"/>
    <w:rsid w:val="000A0D3C"/>
    <w:rsid w:val="000A2AF4"/>
    <w:rsid w:val="000A2CA5"/>
    <w:rsid w:val="000A3817"/>
    <w:rsid w:val="000A41FD"/>
    <w:rsid w:val="000A4A55"/>
    <w:rsid w:val="000A569B"/>
    <w:rsid w:val="000A5702"/>
    <w:rsid w:val="000A7403"/>
    <w:rsid w:val="000A7D07"/>
    <w:rsid w:val="000B0A2E"/>
    <w:rsid w:val="000B0F51"/>
    <w:rsid w:val="000B11A7"/>
    <w:rsid w:val="000B1596"/>
    <w:rsid w:val="000B1B81"/>
    <w:rsid w:val="000B1DE8"/>
    <w:rsid w:val="000B283B"/>
    <w:rsid w:val="000B3303"/>
    <w:rsid w:val="000B3431"/>
    <w:rsid w:val="000B3FD6"/>
    <w:rsid w:val="000B489F"/>
    <w:rsid w:val="000B4C5B"/>
    <w:rsid w:val="000B5039"/>
    <w:rsid w:val="000B55BE"/>
    <w:rsid w:val="000B5C3A"/>
    <w:rsid w:val="000B5E88"/>
    <w:rsid w:val="000B6027"/>
    <w:rsid w:val="000B6648"/>
    <w:rsid w:val="000B786B"/>
    <w:rsid w:val="000C063C"/>
    <w:rsid w:val="000C079C"/>
    <w:rsid w:val="000C0C5C"/>
    <w:rsid w:val="000C0EE5"/>
    <w:rsid w:val="000C13A1"/>
    <w:rsid w:val="000C260D"/>
    <w:rsid w:val="000C30AC"/>
    <w:rsid w:val="000C4579"/>
    <w:rsid w:val="000C463E"/>
    <w:rsid w:val="000C4E06"/>
    <w:rsid w:val="000C5056"/>
    <w:rsid w:val="000C52AB"/>
    <w:rsid w:val="000C5AA2"/>
    <w:rsid w:val="000C5C1C"/>
    <w:rsid w:val="000C5C93"/>
    <w:rsid w:val="000C5D12"/>
    <w:rsid w:val="000C6F15"/>
    <w:rsid w:val="000C6F2A"/>
    <w:rsid w:val="000D1F8D"/>
    <w:rsid w:val="000D21F1"/>
    <w:rsid w:val="000D252E"/>
    <w:rsid w:val="000D2ED1"/>
    <w:rsid w:val="000D3548"/>
    <w:rsid w:val="000D3551"/>
    <w:rsid w:val="000D35B5"/>
    <w:rsid w:val="000D3D4A"/>
    <w:rsid w:val="000D42D0"/>
    <w:rsid w:val="000D5211"/>
    <w:rsid w:val="000D5573"/>
    <w:rsid w:val="000D56A5"/>
    <w:rsid w:val="000D5B51"/>
    <w:rsid w:val="000D616F"/>
    <w:rsid w:val="000D65FC"/>
    <w:rsid w:val="000D6B45"/>
    <w:rsid w:val="000D6D96"/>
    <w:rsid w:val="000D6FB3"/>
    <w:rsid w:val="000D7254"/>
    <w:rsid w:val="000D7534"/>
    <w:rsid w:val="000D753D"/>
    <w:rsid w:val="000D76E1"/>
    <w:rsid w:val="000D7823"/>
    <w:rsid w:val="000E06FB"/>
    <w:rsid w:val="000E08CF"/>
    <w:rsid w:val="000E0DB3"/>
    <w:rsid w:val="000E10A5"/>
    <w:rsid w:val="000E1407"/>
    <w:rsid w:val="000E1A63"/>
    <w:rsid w:val="000E29B7"/>
    <w:rsid w:val="000E33CF"/>
    <w:rsid w:val="000E4040"/>
    <w:rsid w:val="000E4C3D"/>
    <w:rsid w:val="000E6849"/>
    <w:rsid w:val="000E72B9"/>
    <w:rsid w:val="000F05AB"/>
    <w:rsid w:val="000F091D"/>
    <w:rsid w:val="000F17D5"/>
    <w:rsid w:val="000F1B68"/>
    <w:rsid w:val="000F2179"/>
    <w:rsid w:val="000F278B"/>
    <w:rsid w:val="000F2955"/>
    <w:rsid w:val="000F2C67"/>
    <w:rsid w:val="000F40C0"/>
    <w:rsid w:val="000F45C8"/>
    <w:rsid w:val="000F4AAA"/>
    <w:rsid w:val="000F4BBE"/>
    <w:rsid w:val="000F50C6"/>
    <w:rsid w:val="000F51EA"/>
    <w:rsid w:val="000F5A6F"/>
    <w:rsid w:val="000F5AD4"/>
    <w:rsid w:val="000F738A"/>
    <w:rsid w:val="000F7CF5"/>
    <w:rsid w:val="00100471"/>
    <w:rsid w:val="001019D6"/>
    <w:rsid w:val="00101E5F"/>
    <w:rsid w:val="001025D9"/>
    <w:rsid w:val="00102EBB"/>
    <w:rsid w:val="00104353"/>
    <w:rsid w:val="001045CD"/>
    <w:rsid w:val="0010487B"/>
    <w:rsid w:val="00105F22"/>
    <w:rsid w:val="001062D4"/>
    <w:rsid w:val="00106436"/>
    <w:rsid w:val="001066B1"/>
    <w:rsid w:val="00107DA6"/>
    <w:rsid w:val="001108D6"/>
    <w:rsid w:val="001108F7"/>
    <w:rsid w:val="001109ED"/>
    <w:rsid w:val="00111268"/>
    <w:rsid w:val="00111C02"/>
    <w:rsid w:val="00111FF3"/>
    <w:rsid w:val="001128C3"/>
    <w:rsid w:val="00112A83"/>
    <w:rsid w:val="00113E49"/>
    <w:rsid w:val="00113E95"/>
    <w:rsid w:val="00114A01"/>
    <w:rsid w:val="00114CF3"/>
    <w:rsid w:val="00115CA3"/>
    <w:rsid w:val="00116F55"/>
    <w:rsid w:val="00116F93"/>
    <w:rsid w:val="00117445"/>
    <w:rsid w:val="00117B2C"/>
    <w:rsid w:val="00117D7D"/>
    <w:rsid w:val="0012046B"/>
    <w:rsid w:val="001209B5"/>
    <w:rsid w:val="00120E02"/>
    <w:rsid w:val="001214C7"/>
    <w:rsid w:val="00121F6B"/>
    <w:rsid w:val="00122362"/>
    <w:rsid w:val="0012259E"/>
    <w:rsid w:val="001228C8"/>
    <w:rsid w:val="00122C0D"/>
    <w:rsid w:val="00122D4D"/>
    <w:rsid w:val="00123927"/>
    <w:rsid w:val="0012481C"/>
    <w:rsid w:val="001269FF"/>
    <w:rsid w:val="001303A1"/>
    <w:rsid w:val="001303B7"/>
    <w:rsid w:val="001312D6"/>
    <w:rsid w:val="00131D1B"/>
    <w:rsid w:val="00132B99"/>
    <w:rsid w:val="00132BF1"/>
    <w:rsid w:val="001330BB"/>
    <w:rsid w:val="001339C6"/>
    <w:rsid w:val="00134321"/>
    <w:rsid w:val="00134327"/>
    <w:rsid w:val="00134354"/>
    <w:rsid w:val="001347A9"/>
    <w:rsid w:val="00135208"/>
    <w:rsid w:val="00135872"/>
    <w:rsid w:val="00136173"/>
    <w:rsid w:val="00136D1E"/>
    <w:rsid w:val="001377F8"/>
    <w:rsid w:val="00137F99"/>
    <w:rsid w:val="0014084B"/>
    <w:rsid w:val="0014133B"/>
    <w:rsid w:val="001440F2"/>
    <w:rsid w:val="00145318"/>
    <w:rsid w:val="001455A1"/>
    <w:rsid w:val="00145AE6"/>
    <w:rsid w:val="00145F46"/>
    <w:rsid w:val="001460D9"/>
    <w:rsid w:val="001466BF"/>
    <w:rsid w:val="00146976"/>
    <w:rsid w:val="00146C44"/>
    <w:rsid w:val="001477E7"/>
    <w:rsid w:val="00147FD9"/>
    <w:rsid w:val="00150025"/>
    <w:rsid w:val="00150964"/>
    <w:rsid w:val="00150A27"/>
    <w:rsid w:val="00150A78"/>
    <w:rsid w:val="00150F2A"/>
    <w:rsid w:val="00150F9D"/>
    <w:rsid w:val="00152078"/>
    <w:rsid w:val="00154963"/>
    <w:rsid w:val="0015596B"/>
    <w:rsid w:val="00155D1F"/>
    <w:rsid w:val="001561B1"/>
    <w:rsid w:val="00157A5C"/>
    <w:rsid w:val="001600A3"/>
    <w:rsid w:val="0016132F"/>
    <w:rsid w:val="0016174D"/>
    <w:rsid w:val="00162B36"/>
    <w:rsid w:val="0016317C"/>
    <w:rsid w:val="00164DCB"/>
    <w:rsid w:val="00165642"/>
    <w:rsid w:val="00165B64"/>
    <w:rsid w:val="00165D82"/>
    <w:rsid w:val="0016699C"/>
    <w:rsid w:val="00166C40"/>
    <w:rsid w:val="00166F24"/>
    <w:rsid w:val="00167BBE"/>
    <w:rsid w:val="00171489"/>
    <w:rsid w:val="001719EE"/>
    <w:rsid w:val="001721A5"/>
    <w:rsid w:val="0017293A"/>
    <w:rsid w:val="00172A27"/>
    <w:rsid w:val="00172DEA"/>
    <w:rsid w:val="00172F37"/>
    <w:rsid w:val="00174134"/>
    <w:rsid w:val="001745A8"/>
    <w:rsid w:val="00174BC0"/>
    <w:rsid w:val="00175461"/>
    <w:rsid w:val="00176A64"/>
    <w:rsid w:val="00176B11"/>
    <w:rsid w:val="00176C6C"/>
    <w:rsid w:val="00177E29"/>
    <w:rsid w:val="00177F0D"/>
    <w:rsid w:val="00177F8E"/>
    <w:rsid w:val="001806AD"/>
    <w:rsid w:val="00181796"/>
    <w:rsid w:val="001818BD"/>
    <w:rsid w:val="0018204B"/>
    <w:rsid w:val="00182F9F"/>
    <w:rsid w:val="00184528"/>
    <w:rsid w:val="00184AF6"/>
    <w:rsid w:val="00184D2B"/>
    <w:rsid w:val="001859C4"/>
    <w:rsid w:val="001862DC"/>
    <w:rsid w:val="00186401"/>
    <w:rsid w:val="00186442"/>
    <w:rsid w:val="001866A1"/>
    <w:rsid w:val="001923EA"/>
    <w:rsid w:val="00192735"/>
    <w:rsid w:val="00192FBA"/>
    <w:rsid w:val="00193696"/>
    <w:rsid w:val="00193EC6"/>
    <w:rsid w:val="0019411E"/>
    <w:rsid w:val="001947FB"/>
    <w:rsid w:val="00194B34"/>
    <w:rsid w:val="00195720"/>
    <w:rsid w:val="001958B9"/>
    <w:rsid w:val="0019626C"/>
    <w:rsid w:val="00196CDD"/>
    <w:rsid w:val="001975C9"/>
    <w:rsid w:val="001A065E"/>
    <w:rsid w:val="001A189F"/>
    <w:rsid w:val="001A293D"/>
    <w:rsid w:val="001A2A77"/>
    <w:rsid w:val="001A3022"/>
    <w:rsid w:val="001A3908"/>
    <w:rsid w:val="001A3A5A"/>
    <w:rsid w:val="001A4457"/>
    <w:rsid w:val="001A5133"/>
    <w:rsid w:val="001A6DCB"/>
    <w:rsid w:val="001A7027"/>
    <w:rsid w:val="001A773A"/>
    <w:rsid w:val="001A77C4"/>
    <w:rsid w:val="001A7BE0"/>
    <w:rsid w:val="001B15C6"/>
    <w:rsid w:val="001B17D1"/>
    <w:rsid w:val="001B229E"/>
    <w:rsid w:val="001B2B2F"/>
    <w:rsid w:val="001B2DEF"/>
    <w:rsid w:val="001B412E"/>
    <w:rsid w:val="001B4136"/>
    <w:rsid w:val="001B45EF"/>
    <w:rsid w:val="001B48E0"/>
    <w:rsid w:val="001B4D7D"/>
    <w:rsid w:val="001B5125"/>
    <w:rsid w:val="001B5B97"/>
    <w:rsid w:val="001B6AA4"/>
    <w:rsid w:val="001C023F"/>
    <w:rsid w:val="001C02D5"/>
    <w:rsid w:val="001C0500"/>
    <w:rsid w:val="001C059B"/>
    <w:rsid w:val="001C0B84"/>
    <w:rsid w:val="001C1192"/>
    <w:rsid w:val="001C1E56"/>
    <w:rsid w:val="001C28B3"/>
    <w:rsid w:val="001C2CF6"/>
    <w:rsid w:val="001C4064"/>
    <w:rsid w:val="001C49F4"/>
    <w:rsid w:val="001C71D7"/>
    <w:rsid w:val="001D0F66"/>
    <w:rsid w:val="001D125F"/>
    <w:rsid w:val="001D1285"/>
    <w:rsid w:val="001D16DA"/>
    <w:rsid w:val="001D17FB"/>
    <w:rsid w:val="001D2271"/>
    <w:rsid w:val="001D23D8"/>
    <w:rsid w:val="001D251C"/>
    <w:rsid w:val="001D2594"/>
    <w:rsid w:val="001D3B3D"/>
    <w:rsid w:val="001D40EF"/>
    <w:rsid w:val="001D42FF"/>
    <w:rsid w:val="001D4381"/>
    <w:rsid w:val="001D47CF"/>
    <w:rsid w:val="001D4A3E"/>
    <w:rsid w:val="001D4B38"/>
    <w:rsid w:val="001D6225"/>
    <w:rsid w:val="001D6439"/>
    <w:rsid w:val="001D6D8C"/>
    <w:rsid w:val="001D7E9C"/>
    <w:rsid w:val="001E054D"/>
    <w:rsid w:val="001E0FAD"/>
    <w:rsid w:val="001E1308"/>
    <w:rsid w:val="001E1520"/>
    <w:rsid w:val="001E19DD"/>
    <w:rsid w:val="001E19F9"/>
    <w:rsid w:val="001E2849"/>
    <w:rsid w:val="001E2C16"/>
    <w:rsid w:val="001E394D"/>
    <w:rsid w:val="001E39AA"/>
    <w:rsid w:val="001E3AAF"/>
    <w:rsid w:val="001E3C12"/>
    <w:rsid w:val="001E3D84"/>
    <w:rsid w:val="001E4F0E"/>
    <w:rsid w:val="001E594C"/>
    <w:rsid w:val="001E6565"/>
    <w:rsid w:val="001E68D4"/>
    <w:rsid w:val="001E6BFA"/>
    <w:rsid w:val="001E6F59"/>
    <w:rsid w:val="001F07E9"/>
    <w:rsid w:val="001F0D0C"/>
    <w:rsid w:val="001F10D7"/>
    <w:rsid w:val="001F11F5"/>
    <w:rsid w:val="001F12EE"/>
    <w:rsid w:val="001F2368"/>
    <w:rsid w:val="001F24B9"/>
    <w:rsid w:val="001F2919"/>
    <w:rsid w:val="001F30AA"/>
    <w:rsid w:val="001F31AC"/>
    <w:rsid w:val="001F3815"/>
    <w:rsid w:val="001F3DB0"/>
    <w:rsid w:val="001F3E77"/>
    <w:rsid w:val="001F4B88"/>
    <w:rsid w:val="001F57A7"/>
    <w:rsid w:val="001F5A67"/>
    <w:rsid w:val="001F6B1B"/>
    <w:rsid w:val="001F7602"/>
    <w:rsid w:val="001F7FF6"/>
    <w:rsid w:val="00200EBF"/>
    <w:rsid w:val="002031D5"/>
    <w:rsid w:val="00204651"/>
    <w:rsid w:val="00204D75"/>
    <w:rsid w:val="002050D7"/>
    <w:rsid w:val="002051B0"/>
    <w:rsid w:val="00205225"/>
    <w:rsid w:val="00205413"/>
    <w:rsid w:val="00205AEF"/>
    <w:rsid w:val="00205D72"/>
    <w:rsid w:val="0020686F"/>
    <w:rsid w:val="002076AA"/>
    <w:rsid w:val="0021027A"/>
    <w:rsid w:val="00212A14"/>
    <w:rsid w:val="00214B24"/>
    <w:rsid w:val="00214D7A"/>
    <w:rsid w:val="00214D88"/>
    <w:rsid w:val="00215286"/>
    <w:rsid w:val="00215906"/>
    <w:rsid w:val="002159C6"/>
    <w:rsid w:val="00215A2A"/>
    <w:rsid w:val="00215CE0"/>
    <w:rsid w:val="00215DA1"/>
    <w:rsid w:val="00216156"/>
    <w:rsid w:val="00216612"/>
    <w:rsid w:val="0021687E"/>
    <w:rsid w:val="002168E9"/>
    <w:rsid w:val="0021733C"/>
    <w:rsid w:val="00217B81"/>
    <w:rsid w:val="002207FA"/>
    <w:rsid w:val="00220DF1"/>
    <w:rsid w:val="00221627"/>
    <w:rsid w:val="00221E51"/>
    <w:rsid w:val="00221F8E"/>
    <w:rsid w:val="00221FE1"/>
    <w:rsid w:val="002220C5"/>
    <w:rsid w:val="00222689"/>
    <w:rsid w:val="00223852"/>
    <w:rsid w:val="00223ADA"/>
    <w:rsid w:val="00224481"/>
    <w:rsid w:val="002245B9"/>
    <w:rsid w:val="00224A21"/>
    <w:rsid w:val="00225099"/>
    <w:rsid w:val="002250CA"/>
    <w:rsid w:val="0022607A"/>
    <w:rsid w:val="00226152"/>
    <w:rsid w:val="00226456"/>
    <w:rsid w:val="002264D0"/>
    <w:rsid w:val="002270BE"/>
    <w:rsid w:val="002277B0"/>
    <w:rsid w:val="0023134B"/>
    <w:rsid w:val="00231F3D"/>
    <w:rsid w:val="00232211"/>
    <w:rsid w:val="002329B7"/>
    <w:rsid w:val="00232AD2"/>
    <w:rsid w:val="002330FC"/>
    <w:rsid w:val="002343A7"/>
    <w:rsid w:val="0023462F"/>
    <w:rsid w:val="00234BF0"/>
    <w:rsid w:val="002357EC"/>
    <w:rsid w:val="00235CE8"/>
    <w:rsid w:val="002369E6"/>
    <w:rsid w:val="00237DCC"/>
    <w:rsid w:val="00237DD3"/>
    <w:rsid w:val="00237F17"/>
    <w:rsid w:val="0024052C"/>
    <w:rsid w:val="002410BB"/>
    <w:rsid w:val="0024122A"/>
    <w:rsid w:val="00241889"/>
    <w:rsid w:val="00243253"/>
    <w:rsid w:val="002432CD"/>
    <w:rsid w:val="00244B16"/>
    <w:rsid w:val="00247613"/>
    <w:rsid w:val="002476F0"/>
    <w:rsid w:val="00247DA6"/>
    <w:rsid w:val="00251F81"/>
    <w:rsid w:val="0025253B"/>
    <w:rsid w:val="002526AC"/>
    <w:rsid w:val="00252997"/>
    <w:rsid w:val="002534E3"/>
    <w:rsid w:val="00253DE9"/>
    <w:rsid w:val="00254435"/>
    <w:rsid w:val="00254512"/>
    <w:rsid w:val="00254725"/>
    <w:rsid w:val="002547A0"/>
    <w:rsid w:val="002555DD"/>
    <w:rsid w:val="002555E1"/>
    <w:rsid w:val="00255C94"/>
    <w:rsid w:val="00257031"/>
    <w:rsid w:val="00257552"/>
    <w:rsid w:val="00257CB4"/>
    <w:rsid w:val="002603C8"/>
    <w:rsid w:val="0026138C"/>
    <w:rsid w:val="00262012"/>
    <w:rsid w:val="002632E1"/>
    <w:rsid w:val="00263DE8"/>
    <w:rsid w:val="0026466E"/>
    <w:rsid w:val="0026491E"/>
    <w:rsid w:val="00264D7B"/>
    <w:rsid w:val="00264DEF"/>
    <w:rsid w:val="00264EBF"/>
    <w:rsid w:val="00265DD9"/>
    <w:rsid w:val="002667EA"/>
    <w:rsid w:val="00266A56"/>
    <w:rsid w:val="00266ACB"/>
    <w:rsid w:val="00266C56"/>
    <w:rsid w:val="002671F3"/>
    <w:rsid w:val="00267A99"/>
    <w:rsid w:val="002702C1"/>
    <w:rsid w:val="00270893"/>
    <w:rsid w:val="00270ABB"/>
    <w:rsid w:val="0027264B"/>
    <w:rsid w:val="002736CE"/>
    <w:rsid w:val="002742E2"/>
    <w:rsid w:val="00274CFD"/>
    <w:rsid w:val="00274ED6"/>
    <w:rsid w:val="002752C6"/>
    <w:rsid w:val="002755EF"/>
    <w:rsid w:val="0027586B"/>
    <w:rsid w:val="00276BC6"/>
    <w:rsid w:val="00276C59"/>
    <w:rsid w:val="002777BA"/>
    <w:rsid w:val="0027792D"/>
    <w:rsid w:val="00277F8B"/>
    <w:rsid w:val="00281357"/>
    <w:rsid w:val="00282A25"/>
    <w:rsid w:val="00282F72"/>
    <w:rsid w:val="002830A8"/>
    <w:rsid w:val="00283515"/>
    <w:rsid w:val="00283721"/>
    <w:rsid w:val="00283BAD"/>
    <w:rsid w:val="00283D6B"/>
    <w:rsid w:val="0028466A"/>
    <w:rsid w:val="002846E8"/>
    <w:rsid w:val="002849BD"/>
    <w:rsid w:val="00284F98"/>
    <w:rsid w:val="0028561D"/>
    <w:rsid w:val="00285FF7"/>
    <w:rsid w:val="002860F1"/>
    <w:rsid w:val="00286672"/>
    <w:rsid w:val="002907E7"/>
    <w:rsid w:val="00291148"/>
    <w:rsid w:val="00292278"/>
    <w:rsid w:val="00295263"/>
    <w:rsid w:val="0029555F"/>
    <w:rsid w:val="00295590"/>
    <w:rsid w:val="0029631A"/>
    <w:rsid w:val="002963E8"/>
    <w:rsid w:val="00297BEE"/>
    <w:rsid w:val="002A05DC"/>
    <w:rsid w:val="002A0F20"/>
    <w:rsid w:val="002A104F"/>
    <w:rsid w:val="002A12F3"/>
    <w:rsid w:val="002A13A2"/>
    <w:rsid w:val="002A27AC"/>
    <w:rsid w:val="002A2C7B"/>
    <w:rsid w:val="002A3274"/>
    <w:rsid w:val="002A32D9"/>
    <w:rsid w:val="002A3B0C"/>
    <w:rsid w:val="002A3CF1"/>
    <w:rsid w:val="002A541D"/>
    <w:rsid w:val="002A59B9"/>
    <w:rsid w:val="002A5E8D"/>
    <w:rsid w:val="002A68CD"/>
    <w:rsid w:val="002B13CB"/>
    <w:rsid w:val="002B14EA"/>
    <w:rsid w:val="002B1854"/>
    <w:rsid w:val="002B1A51"/>
    <w:rsid w:val="002B2AE1"/>
    <w:rsid w:val="002B3159"/>
    <w:rsid w:val="002B3A8F"/>
    <w:rsid w:val="002B3C61"/>
    <w:rsid w:val="002B3E1F"/>
    <w:rsid w:val="002B40C7"/>
    <w:rsid w:val="002B4646"/>
    <w:rsid w:val="002B5324"/>
    <w:rsid w:val="002B5C76"/>
    <w:rsid w:val="002B5C91"/>
    <w:rsid w:val="002B5F4B"/>
    <w:rsid w:val="002B6603"/>
    <w:rsid w:val="002B6F5F"/>
    <w:rsid w:val="002B7429"/>
    <w:rsid w:val="002C0828"/>
    <w:rsid w:val="002C124B"/>
    <w:rsid w:val="002C1A0B"/>
    <w:rsid w:val="002C33AF"/>
    <w:rsid w:val="002C370D"/>
    <w:rsid w:val="002C3B75"/>
    <w:rsid w:val="002C450A"/>
    <w:rsid w:val="002C47E9"/>
    <w:rsid w:val="002C4E26"/>
    <w:rsid w:val="002C4E6C"/>
    <w:rsid w:val="002C5092"/>
    <w:rsid w:val="002C54BF"/>
    <w:rsid w:val="002C5519"/>
    <w:rsid w:val="002C5878"/>
    <w:rsid w:val="002C59CD"/>
    <w:rsid w:val="002C67E5"/>
    <w:rsid w:val="002C6930"/>
    <w:rsid w:val="002C6C62"/>
    <w:rsid w:val="002C6D0D"/>
    <w:rsid w:val="002C6D6E"/>
    <w:rsid w:val="002C6F5D"/>
    <w:rsid w:val="002C77AB"/>
    <w:rsid w:val="002C7BAE"/>
    <w:rsid w:val="002D0639"/>
    <w:rsid w:val="002D08F4"/>
    <w:rsid w:val="002D097F"/>
    <w:rsid w:val="002D0D0C"/>
    <w:rsid w:val="002D1258"/>
    <w:rsid w:val="002D13E8"/>
    <w:rsid w:val="002D2807"/>
    <w:rsid w:val="002D2D04"/>
    <w:rsid w:val="002D2D97"/>
    <w:rsid w:val="002D3BDF"/>
    <w:rsid w:val="002D426C"/>
    <w:rsid w:val="002D4721"/>
    <w:rsid w:val="002D472F"/>
    <w:rsid w:val="002D4803"/>
    <w:rsid w:val="002D645E"/>
    <w:rsid w:val="002D6CDA"/>
    <w:rsid w:val="002D6EFD"/>
    <w:rsid w:val="002E0D86"/>
    <w:rsid w:val="002E16AE"/>
    <w:rsid w:val="002E1795"/>
    <w:rsid w:val="002E1871"/>
    <w:rsid w:val="002E1A25"/>
    <w:rsid w:val="002E1C38"/>
    <w:rsid w:val="002E1E25"/>
    <w:rsid w:val="002E28BB"/>
    <w:rsid w:val="002E3521"/>
    <w:rsid w:val="002E37F4"/>
    <w:rsid w:val="002E43A5"/>
    <w:rsid w:val="002E5665"/>
    <w:rsid w:val="002E7318"/>
    <w:rsid w:val="002E7617"/>
    <w:rsid w:val="002E7C56"/>
    <w:rsid w:val="002E7D8E"/>
    <w:rsid w:val="002F0408"/>
    <w:rsid w:val="002F06FF"/>
    <w:rsid w:val="002F210E"/>
    <w:rsid w:val="002F27B6"/>
    <w:rsid w:val="002F2B50"/>
    <w:rsid w:val="002F3CDE"/>
    <w:rsid w:val="002F405F"/>
    <w:rsid w:val="002F491B"/>
    <w:rsid w:val="002F4953"/>
    <w:rsid w:val="002F4ACB"/>
    <w:rsid w:val="002F4D83"/>
    <w:rsid w:val="002F6752"/>
    <w:rsid w:val="002F7430"/>
    <w:rsid w:val="002F777B"/>
    <w:rsid w:val="00300191"/>
    <w:rsid w:val="00300414"/>
    <w:rsid w:val="00300578"/>
    <w:rsid w:val="00300AAF"/>
    <w:rsid w:val="00300BF2"/>
    <w:rsid w:val="00300F8D"/>
    <w:rsid w:val="00304FC4"/>
    <w:rsid w:val="0030517E"/>
    <w:rsid w:val="003059F4"/>
    <w:rsid w:val="00305D49"/>
    <w:rsid w:val="00305E7E"/>
    <w:rsid w:val="0030689E"/>
    <w:rsid w:val="003068D7"/>
    <w:rsid w:val="003071B2"/>
    <w:rsid w:val="00307599"/>
    <w:rsid w:val="003075B8"/>
    <w:rsid w:val="00307BE6"/>
    <w:rsid w:val="00310385"/>
    <w:rsid w:val="00310399"/>
    <w:rsid w:val="00310D8D"/>
    <w:rsid w:val="00311489"/>
    <w:rsid w:val="00312421"/>
    <w:rsid w:val="0031445A"/>
    <w:rsid w:val="003149F6"/>
    <w:rsid w:val="003158EF"/>
    <w:rsid w:val="00315977"/>
    <w:rsid w:val="00316368"/>
    <w:rsid w:val="003174B4"/>
    <w:rsid w:val="0032047A"/>
    <w:rsid w:val="00320939"/>
    <w:rsid w:val="00320E3E"/>
    <w:rsid w:val="00320F9D"/>
    <w:rsid w:val="00321B76"/>
    <w:rsid w:val="00321BBE"/>
    <w:rsid w:val="003237CB"/>
    <w:rsid w:val="00323813"/>
    <w:rsid w:val="00325077"/>
    <w:rsid w:val="0032515F"/>
    <w:rsid w:val="003253BE"/>
    <w:rsid w:val="00325C89"/>
    <w:rsid w:val="0032679D"/>
    <w:rsid w:val="00326D1D"/>
    <w:rsid w:val="00327D78"/>
    <w:rsid w:val="00327D80"/>
    <w:rsid w:val="00327DF9"/>
    <w:rsid w:val="00327E48"/>
    <w:rsid w:val="003302F7"/>
    <w:rsid w:val="00332437"/>
    <w:rsid w:val="00332A1C"/>
    <w:rsid w:val="00332A90"/>
    <w:rsid w:val="00332AB7"/>
    <w:rsid w:val="00332B68"/>
    <w:rsid w:val="00333D2A"/>
    <w:rsid w:val="00333E90"/>
    <w:rsid w:val="003341F6"/>
    <w:rsid w:val="00334C69"/>
    <w:rsid w:val="00334E81"/>
    <w:rsid w:val="00335B67"/>
    <w:rsid w:val="00335D81"/>
    <w:rsid w:val="00335E6A"/>
    <w:rsid w:val="00337322"/>
    <w:rsid w:val="003404D9"/>
    <w:rsid w:val="00340AB3"/>
    <w:rsid w:val="00340CDE"/>
    <w:rsid w:val="00341218"/>
    <w:rsid w:val="0034133E"/>
    <w:rsid w:val="003415A1"/>
    <w:rsid w:val="00342048"/>
    <w:rsid w:val="00342994"/>
    <w:rsid w:val="00342F54"/>
    <w:rsid w:val="00343735"/>
    <w:rsid w:val="00343F87"/>
    <w:rsid w:val="00345DCC"/>
    <w:rsid w:val="00346101"/>
    <w:rsid w:val="00346CAB"/>
    <w:rsid w:val="00347C24"/>
    <w:rsid w:val="00347EB1"/>
    <w:rsid w:val="003508F6"/>
    <w:rsid w:val="00351DDB"/>
    <w:rsid w:val="00351FF3"/>
    <w:rsid w:val="00352B90"/>
    <w:rsid w:val="00353231"/>
    <w:rsid w:val="003536F4"/>
    <w:rsid w:val="00353F39"/>
    <w:rsid w:val="00354D6E"/>
    <w:rsid w:val="0035514C"/>
    <w:rsid w:val="00355E1C"/>
    <w:rsid w:val="00356084"/>
    <w:rsid w:val="003568C0"/>
    <w:rsid w:val="00356E07"/>
    <w:rsid w:val="0036056A"/>
    <w:rsid w:val="00360778"/>
    <w:rsid w:val="00361582"/>
    <w:rsid w:val="00361BB1"/>
    <w:rsid w:val="00364002"/>
    <w:rsid w:val="003642D2"/>
    <w:rsid w:val="0036450C"/>
    <w:rsid w:val="00364574"/>
    <w:rsid w:val="0036468B"/>
    <w:rsid w:val="003648B9"/>
    <w:rsid w:val="0036546D"/>
    <w:rsid w:val="003664C3"/>
    <w:rsid w:val="003675A1"/>
    <w:rsid w:val="0036773D"/>
    <w:rsid w:val="00367FEB"/>
    <w:rsid w:val="003709F9"/>
    <w:rsid w:val="003711C1"/>
    <w:rsid w:val="00371BC3"/>
    <w:rsid w:val="00371CBE"/>
    <w:rsid w:val="00372C24"/>
    <w:rsid w:val="00372C38"/>
    <w:rsid w:val="00372C9E"/>
    <w:rsid w:val="0037332F"/>
    <w:rsid w:val="00373AD4"/>
    <w:rsid w:val="0037428F"/>
    <w:rsid w:val="00374539"/>
    <w:rsid w:val="003747BD"/>
    <w:rsid w:val="00374DD5"/>
    <w:rsid w:val="0037591D"/>
    <w:rsid w:val="003768AE"/>
    <w:rsid w:val="00376E05"/>
    <w:rsid w:val="0037720A"/>
    <w:rsid w:val="003774FC"/>
    <w:rsid w:val="00377F5B"/>
    <w:rsid w:val="0038006D"/>
    <w:rsid w:val="00381EB9"/>
    <w:rsid w:val="0038206D"/>
    <w:rsid w:val="00382AA3"/>
    <w:rsid w:val="00383A81"/>
    <w:rsid w:val="00383D6A"/>
    <w:rsid w:val="00384693"/>
    <w:rsid w:val="003849FF"/>
    <w:rsid w:val="00384EE1"/>
    <w:rsid w:val="00385DC1"/>
    <w:rsid w:val="00385F02"/>
    <w:rsid w:val="003861E4"/>
    <w:rsid w:val="0038641A"/>
    <w:rsid w:val="00386DED"/>
    <w:rsid w:val="0038719C"/>
    <w:rsid w:val="00390E97"/>
    <w:rsid w:val="0039152A"/>
    <w:rsid w:val="003924AE"/>
    <w:rsid w:val="00392E76"/>
    <w:rsid w:val="00393286"/>
    <w:rsid w:val="00393A4B"/>
    <w:rsid w:val="00393BF6"/>
    <w:rsid w:val="00393E66"/>
    <w:rsid w:val="00393F1C"/>
    <w:rsid w:val="00393F6E"/>
    <w:rsid w:val="00394276"/>
    <w:rsid w:val="00394BA4"/>
    <w:rsid w:val="0039597A"/>
    <w:rsid w:val="0039697D"/>
    <w:rsid w:val="00396DAE"/>
    <w:rsid w:val="0039750E"/>
    <w:rsid w:val="00397618"/>
    <w:rsid w:val="00397731"/>
    <w:rsid w:val="00397EA7"/>
    <w:rsid w:val="003A09E6"/>
    <w:rsid w:val="003A1350"/>
    <w:rsid w:val="003A17CE"/>
    <w:rsid w:val="003A1920"/>
    <w:rsid w:val="003A1A61"/>
    <w:rsid w:val="003A1CAC"/>
    <w:rsid w:val="003A2C3E"/>
    <w:rsid w:val="003A2D49"/>
    <w:rsid w:val="003A3487"/>
    <w:rsid w:val="003A5228"/>
    <w:rsid w:val="003A583A"/>
    <w:rsid w:val="003A591A"/>
    <w:rsid w:val="003A5F2B"/>
    <w:rsid w:val="003A722D"/>
    <w:rsid w:val="003A7235"/>
    <w:rsid w:val="003A798D"/>
    <w:rsid w:val="003B01FB"/>
    <w:rsid w:val="003B0557"/>
    <w:rsid w:val="003B0E02"/>
    <w:rsid w:val="003B0FDA"/>
    <w:rsid w:val="003B1656"/>
    <w:rsid w:val="003B231B"/>
    <w:rsid w:val="003B3157"/>
    <w:rsid w:val="003B3FC0"/>
    <w:rsid w:val="003B4786"/>
    <w:rsid w:val="003B56E2"/>
    <w:rsid w:val="003B5926"/>
    <w:rsid w:val="003B602A"/>
    <w:rsid w:val="003B6A86"/>
    <w:rsid w:val="003B71D0"/>
    <w:rsid w:val="003B7450"/>
    <w:rsid w:val="003C242F"/>
    <w:rsid w:val="003C2C74"/>
    <w:rsid w:val="003C3055"/>
    <w:rsid w:val="003C3470"/>
    <w:rsid w:val="003C3878"/>
    <w:rsid w:val="003C3EAC"/>
    <w:rsid w:val="003C4015"/>
    <w:rsid w:val="003C45E6"/>
    <w:rsid w:val="003C4A67"/>
    <w:rsid w:val="003C568C"/>
    <w:rsid w:val="003C56E9"/>
    <w:rsid w:val="003C63A8"/>
    <w:rsid w:val="003C6725"/>
    <w:rsid w:val="003C6F78"/>
    <w:rsid w:val="003C703E"/>
    <w:rsid w:val="003C7107"/>
    <w:rsid w:val="003D0D2D"/>
    <w:rsid w:val="003D16A1"/>
    <w:rsid w:val="003D16F1"/>
    <w:rsid w:val="003D1778"/>
    <w:rsid w:val="003D1B5E"/>
    <w:rsid w:val="003D1D3A"/>
    <w:rsid w:val="003D28A5"/>
    <w:rsid w:val="003D30C9"/>
    <w:rsid w:val="003D472B"/>
    <w:rsid w:val="003D4F91"/>
    <w:rsid w:val="003D5092"/>
    <w:rsid w:val="003D57C9"/>
    <w:rsid w:val="003D5D03"/>
    <w:rsid w:val="003D6240"/>
    <w:rsid w:val="003D629E"/>
    <w:rsid w:val="003D7A99"/>
    <w:rsid w:val="003D7D65"/>
    <w:rsid w:val="003E007A"/>
    <w:rsid w:val="003E0976"/>
    <w:rsid w:val="003E09C9"/>
    <w:rsid w:val="003E0CFA"/>
    <w:rsid w:val="003E0D77"/>
    <w:rsid w:val="003E0DA2"/>
    <w:rsid w:val="003E11B1"/>
    <w:rsid w:val="003E11D8"/>
    <w:rsid w:val="003E1873"/>
    <w:rsid w:val="003E25CD"/>
    <w:rsid w:val="003E25DA"/>
    <w:rsid w:val="003E2BDE"/>
    <w:rsid w:val="003E2F00"/>
    <w:rsid w:val="003E2F13"/>
    <w:rsid w:val="003E3005"/>
    <w:rsid w:val="003E3092"/>
    <w:rsid w:val="003E386C"/>
    <w:rsid w:val="003E44BC"/>
    <w:rsid w:val="003E509B"/>
    <w:rsid w:val="003E60A8"/>
    <w:rsid w:val="003E6141"/>
    <w:rsid w:val="003E61BF"/>
    <w:rsid w:val="003E620D"/>
    <w:rsid w:val="003E6F86"/>
    <w:rsid w:val="003F023A"/>
    <w:rsid w:val="003F111F"/>
    <w:rsid w:val="003F1441"/>
    <w:rsid w:val="003F1A7F"/>
    <w:rsid w:val="003F330F"/>
    <w:rsid w:val="003F36C9"/>
    <w:rsid w:val="003F43BB"/>
    <w:rsid w:val="003F441E"/>
    <w:rsid w:val="003F4A7C"/>
    <w:rsid w:val="003F5144"/>
    <w:rsid w:val="003F584D"/>
    <w:rsid w:val="003F5DC0"/>
    <w:rsid w:val="003F73B2"/>
    <w:rsid w:val="00400245"/>
    <w:rsid w:val="00400538"/>
    <w:rsid w:val="0040067C"/>
    <w:rsid w:val="004012CF"/>
    <w:rsid w:val="0040177F"/>
    <w:rsid w:val="00401801"/>
    <w:rsid w:val="00402034"/>
    <w:rsid w:val="00402AC1"/>
    <w:rsid w:val="00402FB4"/>
    <w:rsid w:val="004032FE"/>
    <w:rsid w:val="00403576"/>
    <w:rsid w:val="00403A5F"/>
    <w:rsid w:val="00404A4F"/>
    <w:rsid w:val="00405414"/>
    <w:rsid w:val="004058F1"/>
    <w:rsid w:val="00405B47"/>
    <w:rsid w:val="00406172"/>
    <w:rsid w:val="004061C3"/>
    <w:rsid w:val="0040716B"/>
    <w:rsid w:val="00407301"/>
    <w:rsid w:val="00407985"/>
    <w:rsid w:val="00407CD2"/>
    <w:rsid w:val="00410BE9"/>
    <w:rsid w:val="004117D4"/>
    <w:rsid w:val="00411C6C"/>
    <w:rsid w:val="0041332B"/>
    <w:rsid w:val="004133B1"/>
    <w:rsid w:val="004133BA"/>
    <w:rsid w:val="0041356F"/>
    <w:rsid w:val="00413638"/>
    <w:rsid w:val="00413B4D"/>
    <w:rsid w:val="00413ED4"/>
    <w:rsid w:val="00414B0A"/>
    <w:rsid w:val="00414B6F"/>
    <w:rsid w:val="00414DD6"/>
    <w:rsid w:val="004155F4"/>
    <w:rsid w:val="004159EE"/>
    <w:rsid w:val="00415BB5"/>
    <w:rsid w:val="0041663C"/>
    <w:rsid w:val="0041765E"/>
    <w:rsid w:val="004178A7"/>
    <w:rsid w:val="00417D6B"/>
    <w:rsid w:val="00421AE8"/>
    <w:rsid w:val="00422865"/>
    <w:rsid w:val="00422EB1"/>
    <w:rsid w:val="00422F2E"/>
    <w:rsid w:val="0042336B"/>
    <w:rsid w:val="004237E6"/>
    <w:rsid w:val="00424573"/>
    <w:rsid w:val="00425258"/>
    <w:rsid w:val="0042547A"/>
    <w:rsid w:val="0042551A"/>
    <w:rsid w:val="0042561D"/>
    <w:rsid w:val="00425FAD"/>
    <w:rsid w:val="00426C16"/>
    <w:rsid w:val="00426CCD"/>
    <w:rsid w:val="00426F2C"/>
    <w:rsid w:val="00426F58"/>
    <w:rsid w:val="0042720C"/>
    <w:rsid w:val="00427B7B"/>
    <w:rsid w:val="004307C5"/>
    <w:rsid w:val="00430AD8"/>
    <w:rsid w:val="00430E04"/>
    <w:rsid w:val="00433728"/>
    <w:rsid w:val="004338FB"/>
    <w:rsid w:val="00433CB6"/>
    <w:rsid w:val="00434569"/>
    <w:rsid w:val="00434775"/>
    <w:rsid w:val="00436264"/>
    <w:rsid w:val="0043688D"/>
    <w:rsid w:val="0044016F"/>
    <w:rsid w:val="004403BC"/>
    <w:rsid w:val="00440C8E"/>
    <w:rsid w:val="004411B0"/>
    <w:rsid w:val="004411F3"/>
    <w:rsid w:val="0044183D"/>
    <w:rsid w:val="00441862"/>
    <w:rsid w:val="00441D79"/>
    <w:rsid w:val="00441D9F"/>
    <w:rsid w:val="004422F3"/>
    <w:rsid w:val="004424D6"/>
    <w:rsid w:val="004426D5"/>
    <w:rsid w:val="00442B64"/>
    <w:rsid w:val="00443AA8"/>
    <w:rsid w:val="00444AFB"/>
    <w:rsid w:val="00444C1F"/>
    <w:rsid w:val="00444F38"/>
    <w:rsid w:val="004455B6"/>
    <w:rsid w:val="00445781"/>
    <w:rsid w:val="004468EF"/>
    <w:rsid w:val="00446F78"/>
    <w:rsid w:val="00450535"/>
    <w:rsid w:val="00450551"/>
    <w:rsid w:val="00450E73"/>
    <w:rsid w:val="00451333"/>
    <w:rsid w:val="00451AD8"/>
    <w:rsid w:val="00452BA8"/>
    <w:rsid w:val="00452C04"/>
    <w:rsid w:val="00452C3B"/>
    <w:rsid w:val="00453AEE"/>
    <w:rsid w:val="00453E19"/>
    <w:rsid w:val="0045516B"/>
    <w:rsid w:val="00455783"/>
    <w:rsid w:val="00455C4E"/>
    <w:rsid w:val="00456292"/>
    <w:rsid w:val="00456C7D"/>
    <w:rsid w:val="00457C26"/>
    <w:rsid w:val="004607DA"/>
    <w:rsid w:val="00460A63"/>
    <w:rsid w:val="004611AB"/>
    <w:rsid w:val="00461886"/>
    <w:rsid w:val="004628A4"/>
    <w:rsid w:val="00462A0F"/>
    <w:rsid w:val="004645C9"/>
    <w:rsid w:val="00464BDB"/>
    <w:rsid w:val="00464FEE"/>
    <w:rsid w:val="004657E9"/>
    <w:rsid w:val="00465B8F"/>
    <w:rsid w:val="00465BC5"/>
    <w:rsid w:val="00466DA8"/>
    <w:rsid w:val="00467813"/>
    <w:rsid w:val="00470265"/>
    <w:rsid w:val="004704EB"/>
    <w:rsid w:val="00470B02"/>
    <w:rsid w:val="00470D29"/>
    <w:rsid w:val="00471F41"/>
    <w:rsid w:val="00473296"/>
    <w:rsid w:val="004738CC"/>
    <w:rsid w:val="00473922"/>
    <w:rsid w:val="00473BE0"/>
    <w:rsid w:val="004742F2"/>
    <w:rsid w:val="004749A9"/>
    <w:rsid w:val="00474B56"/>
    <w:rsid w:val="00474B70"/>
    <w:rsid w:val="004750DD"/>
    <w:rsid w:val="0047575A"/>
    <w:rsid w:val="00475B17"/>
    <w:rsid w:val="00475C74"/>
    <w:rsid w:val="00476429"/>
    <w:rsid w:val="0047645E"/>
    <w:rsid w:val="004779E1"/>
    <w:rsid w:val="00477CA6"/>
    <w:rsid w:val="00477F89"/>
    <w:rsid w:val="0048030D"/>
    <w:rsid w:val="004806FB"/>
    <w:rsid w:val="004807F6"/>
    <w:rsid w:val="00480C5C"/>
    <w:rsid w:val="00480F9B"/>
    <w:rsid w:val="004815B3"/>
    <w:rsid w:val="004815E1"/>
    <w:rsid w:val="004824CC"/>
    <w:rsid w:val="004828FC"/>
    <w:rsid w:val="00482F64"/>
    <w:rsid w:val="00482FF5"/>
    <w:rsid w:val="0048533A"/>
    <w:rsid w:val="004861E3"/>
    <w:rsid w:val="004864EC"/>
    <w:rsid w:val="00486E1F"/>
    <w:rsid w:val="00487255"/>
    <w:rsid w:val="004877A9"/>
    <w:rsid w:val="0049000A"/>
    <w:rsid w:val="00490B78"/>
    <w:rsid w:val="00491E53"/>
    <w:rsid w:val="0049221E"/>
    <w:rsid w:val="0049286D"/>
    <w:rsid w:val="00492C5B"/>
    <w:rsid w:val="0049312E"/>
    <w:rsid w:val="004933BA"/>
    <w:rsid w:val="00493CD1"/>
    <w:rsid w:val="00494084"/>
    <w:rsid w:val="004944CE"/>
    <w:rsid w:val="00494BCE"/>
    <w:rsid w:val="0049512D"/>
    <w:rsid w:val="0049547D"/>
    <w:rsid w:val="004956F3"/>
    <w:rsid w:val="00496A42"/>
    <w:rsid w:val="00496DAC"/>
    <w:rsid w:val="00497B07"/>
    <w:rsid w:val="00497F32"/>
    <w:rsid w:val="004A0046"/>
    <w:rsid w:val="004A14A9"/>
    <w:rsid w:val="004A195A"/>
    <w:rsid w:val="004A2078"/>
    <w:rsid w:val="004A2959"/>
    <w:rsid w:val="004A31D8"/>
    <w:rsid w:val="004A3BE1"/>
    <w:rsid w:val="004A45C0"/>
    <w:rsid w:val="004A46D2"/>
    <w:rsid w:val="004A46DC"/>
    <w:rsid w:val="004A4B79"/>
    <w:rsid w:val="004A5051"/>
    <w:rsid w:val="004A7153"/>
    <w:rsid w:val="004A7948"/>
    <w:rsid w:val="004A7ADA"/>
    <w:rsid w:val="004A7EC4"/>
    <w:rsid w:val="004B04F6"/>
    <w:rsid w:val="004B0657"/>
    <w:rsid w:val="004B0744"/>
    <w:rsid w:val="004B0E96"/>
    <w:rsid w:val="004B134A"/>
    <w:rsid w:val="004B147C"/>
    <w:rsid w:val="004B256E"/>
    <w:rsid w:val="004B2D58"/>
    <w:rsid w:val="004B53F7"/>
    <w:rsid w:val="004B709E"/>
    <w:rsid w:val="004C0B6B"/>
    <w:rsid w:val="004C0FA9"/>
    <w:rsid w:val="004C1884"/>
    <w:rsid w:val="004C1AFC"/>
    <w:rsid w:val="004C1BFB"/>
    <w:rsid w:val="004C32E4"/>
    <w:rsid w:val="004C3A86"/>
    <w:rsid w:val="004C52F8"/>
    <w:rsid w:val="004C552D"/>
    <w:rsid w:val="004C5E6B"/>
    <w:rsid w:val="004C6663"/>
    <w:rsid w:val="004C70BF"/>
    <w:rsid w:val="004D011B"/>
    <w:rsid w:val="004D0B12"/>
    <w:rsid w:val="004D0F84"/>
    <w:rsid w:val="004D1CA0"/>
    <w:rsid w:val="004D23CC"/>
    <w:rsid w:val="004D3D5B"/>
    <w:rsid w:val="004D503A"/>
    <w:rsid w:val="004D51D6"/>
    <w:rsid w:val="004D62A4"/>
    <w:rsid w:val="004D646A"/>
    <w:rsid w:val="004D6CB7"/>
    <w:rsid w:val="004D7170"/>
    <w:rsid w:val="004D786D"/>
    <w:rsid w:val="004D79D7"/>
    <w:rsid w:val="004E104C"/>
    <w:rsid w:val="004E207B"/>
    <w:rsid w:val="004E20A4"/>
    <w:rsid w:val="004E25EB"/>
    <w:rsid w:val="004E2FF4"/>
    <w:rsid w:val="004E37B5"/>
    <w:rsid w:val="004E3C1F"/>
    <w:rsid w:val="004E42F1"/>
    <w:rsid w:val="004E4817"/>
    <w:rsid w:val="004E482C"/>
    <w:rsid w:val="004E5189"/>
    <w:rsid w:val="004E5C08"/>
    <w:rsid w:val="004E61F6"/>
    <w:rsid w:val="004E6478"/>
    <w:rsid w:val="004E670B"/>
    <w:rsid w:val="004E6B0B"/>
    <w:rsid w:val="004E755F"/>
    <w:rsid w:val="004E79D0"/>
    <w:rsid w:val="004F10A7"/>
    <w:rsid w:val="004F18EA"/>
    <w:rsid w:val="004F1EC0"/>
    <w:rsid w:val="004F210D"/>
    <w:rsid w:val="004F22A2"/>
    <w:rsid w:val="004F2678"/>
    <w:rsid w:val="004F2D46"/>
    <w:rsid w:val="004F2DD9"/>
    <w:rsid w:val="004F4D07"/>
    <w:rsid w:val="004F58BD"/>
    <w:rsid w:val="004F62E3"/>
    <w:rsid w:val="004F6936"/>
    <w:rsid w:val="004F6A52"/>
    <w:rsid w:val="004F6BD5"/>
    <w:rsid w:val="004F6FE9"/>
    <w:rsid w:val="004F74C3"/>
    <w:rsid w:val="004F7829"/>
    <w:rsid w:val="004F7B94"/>
    <w:rsid w:val="00500041"/>
    <w:rsid w:val="00500514"/>
    <w:rsid w:val="005005B7"/>
    <w:rsid w:val="0050073E"/>
    <w:rsid w:val="0050188D"/>
    <w:rsid w:val="0050241E"/>
    <w:rsid w:val="0050246E"/>
    <w:rsid w:val="005024B2"/>
    <w:rsid w:val="00502860"/>
    <w:rsid w:val="005041DF"/>
    <w:rsid w:val="00504207"/>
    <w:rsid w:val="005049DE"/>
    <w:rsid w:val="00504DDF"/>
    <w:rsid w:val="0050543E"/>
    <w:rsid w:val="00505AFF"/>
    <w:rsid w:val="00505C40"/>
    <w:rsid w:val="00506BCC"/>
    <w:rsid w:val="00506D93"/>
    <w:rsid w:val="0050725D"/>
    <w:rsid w:val="00507D2E"/>
    <w:rsid w:val="005105D0"/>
    <w:rsid w:val="00510C3C"/>
    <w:rsid w:val="00510F3D"/>
    <w:rsid w:val="0051174F"/>
    <w:rsid w:val="00511B7C"/>
    <w:rsid w:val="005121F6"/>
    <w:rsid w:val="005124E1"/>
    <w:rsid w:val="005126A3"/>
    <w:rsid w:val="00512750"/>
    <w:rsid w:val="00512791"/>
    <w:rsid w:val="00512A0B"/>
    <w:rsid w:val="00513FA7"/>
    <w:rsid w:val="00513FCB"/>
    <w:rsid w:val="005145EB"/>
    <w:rsid w:val="005149CC"/>
    <w:rsid w:val="00514D8B"/>
    <w:rsid w:val="00515025"/>
    <w:rsid w:val="00515A9C"/>
    <w:rsid w:val="00516A7C"/>
    <w:rsid w:val="00516B9F"/>
    <w:rsid w:val="00517675"/>
    <w:rsid w:val="0052022B"/>
    <w:rsid w:val="005202FC"/>
    <w:rsid w:val="005210D7"/>
    <w:rsid w:val="0052138F"/>
    <w:rsid w:val="0052139B"/>
    <w:rsid w:val="00522BC7"/>
    <w:rsid w:val="00523E65"/>
    <w:rsid w:val="00523F75"/>
    <w:rsid w:val="00524397"/>
    <w:rsid w:val="00524716"/>
    <w:rsid w:val="0052524B"/>
    <w:rsid w:val="00525557"/>
    <w:rsid w:val="00525833"/>
    <w:rsid w:val="00526131"/>
    <w:rsid w:val="00526E2B"/>
    <w:rsid w:val="00527756"/>
    <w:rsid w:val="00527C26"/>
    <w:rsid w:val="00530B4B"/>
    <w:rsid w:val="0053229A"/>
    <w:rsid w:val="0053293B"/>
    <w:rsid w:val="005333D5"/>
    <w:rsid w:val="00533882"/>
    <w:rsid w:val="00533A0E"/>
    <w:rsid w:val="005341E3"/>
    <w:rsid w:val="0053428F"/>
    <w:rsid w:val="005348C6"/>
    <w:rsid w:val="00535845"/>
    <w:rsid w:val="00536682"/>
    <w:rsid w:val="005369A9"/>
    <w:rsid w:val="005374EA"/>
    <w:rsid w:val="00537BE1"/>
    <w:rsid w:val="00540406"/>
    <w:rsid w:val="005405A8"/>
    <w:rsid w:val="00540675"/>
    <w:rsid w:val="005413F9"/>
    <w:rsid w:val="005417DF"/>
    <w:rsid w:val="00541A86"/>
    <w:rsid w:val="0054235C"/>
    <w:rsid w:val="0054329C"/>
    <w:rsid w:val="00543AC4"/>
    <w:rsid w:val="00545811"/>
    <w:rsid w:val="00545BF2"/>
    <w:rsid w:val="0054791B"/>
    <w:rsid w:val="00550520"/>
    <w:rsid w:val="00551118"/>
    <w:rsid w:val="00551401"/>
    <w:rsid w:val="00551A81"/>
    <w:rsid w:val="0055250D"/>
    <w:rsid w:val="00552BFC"/>
    <w:rsid w:val="00554298"/>
    <w:rsid w:val="005544A1"/>
    <w:rsid w:val="00555BE1"/>
    <w:rsid w:val="0055676A"/>
    <w:rsid w:val="005567C4"/>
    <w:rsid w:val="00557146"/>
    <w:rsid w:val="00557913"/>
    <w:rsid w:val="00560AC2"/>
    <w:rsid w:val="00560BB3"/>
    <w:rsid w:val="00561FA5"/>
    <w:rsid w:val="00562C60"/>
    <w:rsid w:val="00563644"/>
    <w:rsid w:val="00563773"/>
    <w:rsid w:val="00563AEA"/>
    <w:rsid w:val="00563D11"/>
    <w:rsid w:val="00564141"/>
    <w:rsid w:val="005644A8"/>
    <w:rsid w:val="00564947"/>
    <w:rsid w:val="00564E1B"/>
    <w:rsid w:val="00564F4F"/>
    <w:rsid w:val="005652C8"/>
    <w:rsid w:val="0056698E"/>
    <w:rsid w:val="005676F1"/>
    <w:rsid w:val="00567723"/>
    <w:rsid w:val="00571233"/>
    <w:rsid w:val="0057130A"/>
    <w:rsid w:val="00571907"/>
    <w:rsid w:val="0057274D"/>
    <w:rsid w:val="00572924"/>
    <w:rsid w:val="00573BDF"/>
    <w:rsid w:val="00573CC6"/>
    <w:rsid w:val="00573E1E"/>
    <w:rsid w:val="005744A4"/>
    <w:rsid w:val="00574820"/>
    <w:rsid w:val="0057597C"/>
    <w:rsid w:val="0057633C"/>
    <w:rsid w:val="005766A1"/>
    <w:rsid w:val="0057676F"/>
    <w:rsid w:val="005769A2"/>
    <w:rsid w:val="00576C7A"/>
    <w:rsid w:val="00577153"/>
    <w:rsid w:val="0058067F"/>
    <w:rsid w:val="00580F3B"/>
    <w:rsid w:val="005815B7"/>
    <w:rsid w:val="00581682"/>
    <w:rsid w:val="00581B14"/>
    <w:rsid w:val="00582382"/>
    <w:rsid w:val="00582527"/>
    <w:rsid w:val="00582D77"/>
    <w:rsid w:val="00582DFB"/>
    <w:rsid w:val="00583203"/>
    <w:rsid w:val="00583398"/>
    <w:rsid w:val="0058364F"/>
    <w:rsid w:val="00583A0B"/>
    <w:rsid w:val="00583ADE"/>
    <w:rsid w:val="005842AD"/>
    <w:rsid w:val="005849EA"/>
    <w:rsid w:val="00585B55"/>
    <w:rsid w:val="00586CF4"/>
    <w:rsid w:val="005877E5"/>
    <w:rsid w:val="0058790A"/>
    <w:rsid w:val="00590842"/>
    <w:rsid w:val="00590B71"/>
    <w:rsid w:val="00590CDB"/>
    <w:rsid w:val="00591533"/>
    <w:rsid w:val="00591928"/>
    <w:rsid w:val="00591A75"/>
    <w:rsid w:val="00591D65"/>
    <w:rsid w:val="005928A9"/>
    <w:rsid w:val="00592A43"/>
    <w:rsid w:val="00592E82"/>
    <w:rsid w:val="00593DC3"/>
    <w:rsid w:val="00593E6C"/>
    <w:rsid w:val="0059433A"/>
    <w:rsid w:val="00594ADE"/>
    <w:rsid w:val="00594C02"/>
    <w:rsid w:val="00594ECA"/>
    <w:rsid w:val="00595505"/>
    <w:rsid w:val="005964EC"/>
    <w:rsid w:val="00596AB7"/>
    <w:rsid w:val="00596D1F"/>
    <w:rsid w:val="00597CA5"/>
    <w:rsid w:val="005A0960"/>
    <w:rsid w:val="005A1261"/>
    <w:rsid w:val="005A1DB5"/>
    <w:rsid w:val="005A4C07"/>
    <w:rsid w:val="005A5DA5"/>
    <w:rsid w:val="005A5F3A"/>
    <w:rsid w:val="005A7422"/>
    <w:rsid w:val="005A76AD"/>
    <w:rsid w:val="005A79D6"/>
    <w:rsid w:val="005A7A28"/>
    <w:rsid w:val="005B1893"/>
    <w:rsid w:val="005B1C4C"/>
    <w:rsid w:val="005B1ECD"/>
    <w:rsid w:val="005B1FEB"/>
    <w:rsid w:val="005B32A0"/>
    <w:rsid w:val="005B3807"/>
    <w:rsid w:val="005B43D5"/>
    <w:rsid w:val="005B4454"/>
    <w:rsid w:val="005B4F87"/>
    <w:rsid w:val="005B53F4"/>
    <w:rsid w:val="005B542D"/>
    <w:rsid w:val="005B5D9A"/>
    <w:rsid w:val="005B677B"/>
    <w:rsid w:val="005B7D9A"/>
    <w:rsid w:val="005C1A57"/>
    <w:rsid w:val="005C1C8B"/>
    <w:rsid w:val="005C2504"/>
    <w:rsid w:val="005C41C5"/>
    <w:rsid w:val="005C4384"/>
    <w:rsid w:val="005C5B5C"/>
    <w:rsid w:val="005D1036"/>
    <w:rsid w:val="005D1A4D"/>
    <w:rsid w:val="005D213D"/>
    <w:rsid w:val="005D22BA"/>
    <w:rsid w:val="005D2995"/>
    <w:rsid w:val="005D2E9B"/>
    <w:rsid w:val="005D35F9"/>
    <w:rsid w:val="005D4600"/>
    <w:rsid w:val="005D4D8B"/>
    <w:rsid w:val="005D5402"/>
    <w:rsid w:val="005D5BBA"/>
    <w:rsid w:val="005D629A"/>
    <w:rsid w:val="005D7183"/>
    <w:rsid w:val="005E0730"/>
    <w:rsid w:val="005E0759"/>
    <w:rsid w:val="005E0A8E"/>
    <w:rsid w:val="005E0D4D"/>
    <w:rsid w:val="005E124F"/>
    <w:rsid w:val="005E16C5"/>
    <w:rsid w:val="005E1D48"/>
    <w:rsid w:val="005E1F40"/>
    <w:rsid w:val="005E1FF0"/>
    <w:rsid w:val="005E26FB"/>
    <w:rsid w:val="005E2B27"/>
    <w:rsid w:val="005E2F31"/>
    <w:rsid w:val="005E4400"/>
    <w:rsid w:val="005E46B3"/>
    <w:rsid w:val="005E5BDB"/>
    <w:rsid w:val="005E681E"/>
    <w:rsid w:val="005E776F"/>
    <w:rsid w:val="005F023F"/>
    <w:rsid w:val="005F089F"/>
    <w:rsid w:val="005F0A40"/>
    <w:rsid w:val="005F0A77"/>
    <w:rsid w:val="005F0C3A"/>
    <w:rsid w:val="005F133C"/>
    <w:rsid w:val="005F1E3B"/>
    <w:rsid w:val="005F2C7A"/>
    <w:rsid w:val="005F30C1"/>
    <w:rsid w:val="005F3260"/>
    <w:rsid w:val="005F4B8E"/>
    <w:rsid w:val="005F5180"/>
    <w:rsid w:val="005F5DE4"/>
    <w:rsid w:val="005F5E21"/>
    <w:rsid w:val="005F600D"/>
    <w:rsid w:val="006002F0"/>
    <w:rsid w:val="0060077C"/>
    <w:rsid w:val="00600CD2"/>
    <w:rsid w:val="00600F4E"/>
    <w:rsid w:val="00601949"/>
    <w:rsid w:val="00602468"/>
    <w:rsid w:val="0060268B"/>
    <w:rsid w:val="006028D2"/>
    <w:rsid w:val="00603A3D"/>
    <w:rsid w:val="006042C2"/>
    <w:rsid w:val="00604CAB"/>
    <w:rsid w:val="00605D03"/>
    <w:rsid w:val="00605DDB"/>
    <w:rsid w:val="006061FB"/>
    <w:rsid w:val="00606EC0"/>
    <w:rsid w:val="00607AE9"/>
    <w:rsid w:val="00607B18"/>
    <w:rsid w:val="00610ED1"/>
    <w:rsid w:val="006112E4"/>
    <w:rsid w:val="00611CBE"/>
    <w:rsid w:val="006132AB"/>
    <w:rsid w:val="00613EE3"/>
    <w:rsid w:val="00613FE1"/>
    <w:rsid w:val="006140DF"/>
    <w:rsid w:val="00614799"/>
    <w:rsid w:val="00615DDA"/>
    <w:rsid w:val="006167A3"/>
    <w:rsid w:val="00616DC1"/>
    <w:rsid w:val="00616DC5"/>
    <w:rsid w:val="006176A7"/>
    <w:rsid w:val="00621192"/>
    <w:rsid w:val="0062208C"/>
    <w:rsid w:val="0062287B"/>
    <w:rsid w:val="00623C2F"/>
    <w:rsid w:val="00623F15"/>
    <w:rsid w:val="006242A7"/>
    <w:rsid w:val="00624455"/>
    <w:rsid w:val="0062464B"/>
    <w:rsid w:val="00624C04"/>
    <w:rsid w:val="00625243"/>
    <w:rsid w:val="00626A94"/>
    <w:rsid w:val="0062773D"/>
    <w:rsid w:val="0062794E"/>
    <w:rsid w:val="00627EF5"/>
    <w:rsid w:val="006303C8"/>
    <w:rsid w:val="0063110A"/>
    <w:rsid w:val="006313F2"/>
    <w:rsid w:val="006317AC"/>
    <w:rsid w:val="00631AAA"/>
    <w:rsid w:val="0063297F"/>
    <w:rsid w:val="0063433E"/>
    <w:rsid w:val="006350F6"/>
    <w:rsid w:val="0063688A"/>
    <w:rsid w:val="0063698B"/>
    <w:rsid w:val="00637C91"/>
    <w:rsid w:val="00640A23"/>
    <w:rsid w:val="00641343"/>
    <w:rsid w:val="006415D3"/>
    <w:rsid w:val="0064225F"/>
    <w:rsid w:val="00642829"/>
    <w:rsid w:val="00643351"/>
    <w:rsid w:val="00643399"/>
    <w:rsid w:val="006437B6"/>
    <w:rsid w:val="0064392A"/>
    <w:rsid w:val="00643B9A"/>
    <w:rsid w:val="006443D9"/>
    <w:rsid w:val="00645167"/>
    <w:rsid w:val="0064565A"/>
    <w:rsid w:val="0064598C"/>
    <w:rsid w:val="00645DD1"/>
    <w:rsid w:val="006467D5"/>
    <w:rsid w:val="00646A04"/>
    <w:rsid w:val="00646B39"/>
    <w:rsid w:val="00646E99"/>
    <w:rsid w:val="0064702D"/>
    <w:rsid w:val="006474D1"/>
    <w:rsid w:val="0065141B"/>
    <w:rsid w:val="00651C3D"/>
    <w:rsid w:val="00651CC5"/>
    <w:rsid w:val="00651DFD"/>
    <w:rsid w:val="00651F3A"/>
    <w:rsid w:val="0065200A"/>
    <w:rsid w:val="00652286"/>
    <w:rsid w:val="006527CC"/>
    <w:rsid w:val="00652B48"/>
    <w:rsid w:val="00653B6F"/>
    <w:rsid w:val="006549EA"/>
    <w:rsid w:val="00654A45"/>
    <w:rsid w:val="00654D9A"/>
    <w:rsid w:val="0065537B"/>
    <w:rsid w:val="006555FB"/>
    <w:rsid w:val="0065593C"/>
    <w:rsid w:val="0065672C"/>
    <w:rsid w:val="0065683F"/>
    <w:rsid w:val="00656D03"/>
    <w:rsid w:val="0066042B"/>
    <w:rsid w:val="00660879"/>
    <w:rsid w:val="00661519"/>
    <w:rsid w:val="006625FD"/>
    <w:rsid w:val="0066358C"/>
    <w:rsid w:val="006650EA"/>
    <w:rsid w:val="0066562C"/>
    <w:rsid w:val="00666821"/>
    <w:rsid w:val="006700D7"/>
    <w:rsid w:val="00670350"/>
    <w:rsid w:val="00670441"/>
    <w:rsid w:val="0067174E"/>
    <w:rsid w:val="006718E5"/>
    <w:rsid w:val="00671A10"/>
    <w:rsid w:val="00671CD6"/>
    <w:rsid w:val="00672CE5"/>
    <w:rsid w:val="00673818"/>
    <w:rsid w:val="00674103"/>
    <w:rsid w:val="00674DF4"/>
    <w:rsid w:val="00674F36"/>
    <w:rsid w:val="00674FDB"/>
    <w:rsid w:val="006753A4"/>
    <w:rsid w:val="00675DD9"/>
    <w:rsid w:val="006760D5"/>
    <w:rsid w:val="0067643C"/>
    <w:rsid w:val="00676C1D"/>
    <w:rsid w:val="00677D27"/>
    <w:rsid w:val="006800ED"/>
    <w:rsid w:val="00680677"/>
    <w:rsid w:val="0068077A"/>
    <w:rsid w:val="006809F0"/>
    <w:rsid w:val="006811ED"/>
    <w:rsid w:val="00682E75"/>
    <w:rsid w:val="006839A4"/>
    <w:rsid w:val="00683D0B"/>
    <w:rsid w:val="00683E65"/>
    <w:rsid w:val="00683F5A"/>
    <w:rsid w:val="006851B9"/>
    <w:rsid w:val="00685501"/>
    <w:rsid w:val="0068641B"/>
    <w:rsid w:val="006869E5"/>
    <w:rsid w:val="0068752F"/>
    <w:rsid w:val="00690428"/>
    <w:rsid w:val="00691169"/>
    <w:rsid w:val="0069166F"/>
    <w:rsid w:val="00691813"/>
    <w:rsid w:val="00691E55"/>
    <w:rsid w:val="006926BE"/>
    <w:rsid w:val="00692D7D"/>
    <w:rsid w:val="006940C2"/>
    <w:rsid w:val="00694876"/>
    <w:rsid w:val="00694A8B"/>
    <w:rsid w:val="00695AB4"/>
    <w:rsid w:val="00695C97"/>
    <w:rsid w:val="00696FBE"/>
    <w:rsid w:val="00697350"/>
    <w:rsid w:val="00697459"/>
    <w:rsid w:val="006A00F4"/>
    <w:rsid w:val="006A06AA"/>
    <w:rsid w:val="006A096B"/>
    <w:rsid w:val="006A0E29"/>
    <w:rsid w:val="006A17EA"/>
    <w:rsid w:val="006A1A5D"/>
    <w:rsid w:val="006A2A92"/>
    <w:rsid w:val="006A3519"/>
    <w:rsid w:val="006A3DB7"/>
    <w:rsid w:val="006A47CB"/>
    <w:rsid w:val="006A4B16"/>
    <w:rsid w:val="006A51E1"/>
    <w:rsid w:val="006A6079"/>
    <w:rsid w:val="006A635E"/>
    <w:rsid w:val="006A6FFA"/>
    <w:rsid w:val="006A731A"/>
    <w:rsid w:val="006A7A44"/>
    <w:rsid w:val="006B01AE"/>
    <w:rsid w:val="006B03ED"/>
    <w:rsid w:val="006B0C7E"/>
    <w:rsid w:val="006B107F"/>
    <w:rsid w:val="006B1EE4"/>
    <w:rsid w:val="006B21C1"/>
    <w:rsid w:val="006B228B"/>
    <w:rsid w:val="006B33D4"/>
    <w:rsid w:val="006B348A"/>
    <w:rsid w:val="006B35D8"/>
    <w:rsid w:val="006B3C81"/>
    <w:rsid w:val="006B3D38"/>
    <w:rsid w:val="006B4003"/>
    <w:rsid w:val="006B4AFE"/>
    <w:rsid w:val="006B4F96"/>
    <w:rsid w:val="006B5455"/>
    <w:rsid w:val="006B5BD6"/>
    <w:rsid w:val="006B5EB2"/>
    <w:rsid w:val="006B64D5"/>
    <w:rsid w:val="006B6FB8"/>
    <w:rsid w:val="006C19F2"/>
    <w:rsid w:val="006C358C"/>
    <w:rsid w:val="006C3B00"/>
    <w:rsid w:val="006C67A1"/>
    <w:rsid w:val="006C6A2A"/>
    <w:rsid w:val="006C7369"/>
    <w:rsid w:val="006C7791"/>
    <w:rsid w:val="006C7CB2"/>
    <w:rsid w:val="006D09F4"/>
    <w:rsid w:val="006D0CE9"/>
    <w:rsid w:val="006D0ED7"/>
    <w:rsid w:val="006D0F43"/>
    <w:rsid w:val="006D1589"/>
    <w:rsid w:val="006D18AC"/>
    <w:rsid w:val="006D18D4"/>
    <w:rsid w:val="006D1920"/>
    <w:rsid w:val="006D1D2D"/>
    <w:rsid w:val="006D1E11"/>
    <w:rsid w:val="006D2562"/>
    <w:rsid w:val="006D28F9"/>
    <w:rsid w:val="006D397D"/>
    <w:rsid w:val="006D4276"/>
    <w:rsid w:val="006D56C0"/>
    <w:rsid w:val="006D5950"/>
    <w:rsid w:val="006D59D2"/>
    <w:rsid w:val="006D5B0B"/>
    <w:rsid w:val="006D60CB"/>
    <w:rsid w:val="006D63F3"/>
    <w:rsid w:val="006D65DB"/>
    <w:rsid w:val="006D660E"/>
    <w:rsid w:val="006D6652"/>
    <w:rsid w:val="006D673F"/>
    <w:rsid w:val="006D69E1"/>
    <w:rsid w:val="006E11DD"/>
    <w:rsid w:val="006E1F09"/>
    <w:rsid w:val="006E247D"/>
    <w:rsid w:val="006E2603"/>
    <w:rsid w:val="006E3AB9"/>
    <w:rsid w:val="006E4199"/>
    <w:rsid w:val="006E437C"/>
    <w:rsid w:val="006E471D"/>
    <w:rsid w:val="006E4760"/>
    <w:rsid w:val="006E4B23"/>
    <w:rsid w:val="006E5BB1"/>
    <w:rsid w:val="006E5E47"/>
    <w:rsid w:val="006E6CD5"/>
    <w:rsid w:val="006E736B"/>
    <w:rsid w:val="006E7915"/>
    <w:rsid w:val="006E79FB"/>
    <w:rsid w:val="006F1775"/>
    <w:rsid w:val="006F1BDF"/>
    <w:rsid w:val="006F21DF"/>
    <w:rsid w:val="006F22B4"/>
    <w:rsid w:val="006F37F6"/>
    <w:rsid w:val="006F453E"/>
    <w:rsid w:val="006F47EE"/>
    <w:rsid w:val="006F5759"/>
    <w:rsid w:val="006F5A07"/>
    <w:rsid w:val="006F5B3E"/>
    <w:rsid w:val="006F62C9"/>
    <w:rsid w:val="006F6BA4"/>
    <w:rsid w:val="006F7FC3"/>
    <w:rsid w:val="0070125B"/>
    <w:rsid w:val="007012DA"/>
    <w:rsid w:val="0070154F"/>
    <w:rsid w:val="007017D0"/>
    <w:rsid w:val="00701BA5"/>
    <w:rsid w:val="00704820"/>
    <w:rsid w:val="0070539D"/>
    <w:rsid w:val="0070578F"/>
    <w:rsid w:val="00705B58"/>
    <w:rsid w:val="00705FD1"/>
    <w:rsid w:val="0071018D"/>
    <w:rsid w:val="00710221"/>
    <w:rsid w:val="00710612"/>
    <w:rsid w:val="007115CF"/>
    <w:rsid w:val="00711643"/>
    <w:rsid w:val="00713B15"/>
    <w:rsid w:val="00713B1F"/>
    <w:rsid w:val="007141D0"/>
    <w:rsid w:val="0071475A"/>
    <w:rsid w:val="007148D1"/>
    <w:rsid w:val="00714A05"/>
    <w:rsid w:val="00715E70"/>
    <w:rsid w:val="0071655A"/>
    <w:rsid w:val="0071695D"/>
    <w:rsid w:val="00716CC1"/>
    <w:rsid w:val="00720A98"/>
    <w:rsid w:val="00720F38"/>
    <w:rsid w:val="00721ECB"/>
    <w:rsid w:val="007229DE"/>
    <w:rsid w:val="00722B44"/>
    <w:rsid w:val="00722C6D"/>
    <w:rsid w:val="00722D39"/>
    <w:rsid w:val="00723857"/>
    <w:rsid w:val="00723AA7"/>
    <w:rsid w:val="00724BD6"/>
    <w:rsid w:val="007251B2"/>
    <w:rsid w:val="0072575D"/>
    <w:rsid w:val="0072636C"/>
    <w:rsid w:val="007273C5"/>
    <w:rsid w:val="00727695"/>
    <w:rsid w:val="00727D4F"/>
    <w:rsid w:val="00730C6C"/>
    <w:rsid w:val="007323BE"/>
    <w:rsid w:val="0073255F"/>
    <w:rsid w:val="0073274E"/>
    <w:rsid w:val="00732C51"/>
    <w:rsid w:val="007335DB"/>
    <w:rsid w:val="0073384E"/>
    <w:rsid w:val="0073499B"/>
    <w:rsid w:val="00734F12"/>
    <w:rsid w:val="007355ED"/>
    <w:rsid w:val="00736282"/>
    <w:rsid w:val="007365F0"/>
    <w:rsid w:val="00736977"/>
    <w:rsid w:val="007372AF"/>
    <w:rsid w:val="00737307"/>
    <w:rsid w:val="00737C7A"/>
    <w:rsid w:val="00740015"/>
    <w:rsid w:val="0074049E"/>
    <w:rsid w:val="00740B05"/>
    <w:rsid w:val="00740DAC"/>
    <w:rsid w:val="00741AF0"/>
    <w:rsid w:val="00742382"/>
    <w:rsid w:val="00742860"/>
    <w:rsid w:val="0074408D"/>
    <w:rsid w:val="007447A5"/>
    <w:rsid w:val="007455C8"/>
    <w:rsid w:val="00745C76"/>
    <w:rsid w:val="00745DEE"/>
    <w:rsid w:val="0074667D"/>
    <w:rsid w:val="0074697F"/>
    <w:rsid w:val="007469D3"/>
    <w:rsid w:val="007476AD"/>
    <w:rsid w:val="00747DC1"/>
    <w:rsid w:val="00747E7D"/>
    <w:rsid w:val="007507CF"/>
    <w:rsid w:val="00751DDE"/>
    <w:rsid w:val="007523B9"/>
    <w:rsid w:val="00752749"/>
    <w:rsid w:val="00753B60"/>
    <w:rsid w:val="007542C5"/>
    <w:rsid w:val="0075437C"/>
    <w:rsid w:val="00754686"/>
    <w:rsid w:val="007546CD"/>
    <w:rsid w:val="00754F5E"/>
    <w:rsid w:val="007550FE"/>
    <w:rsid w:val="00755721"/>
    <w:rsid w:val="00755CE8"/>
    <w:rsid w:val="00756C7E"/>
    <w:rsid w:val="00757755"/>
    <w:rsid w:val="007604FB"/>
    <w:rsid w:val="007615EF"/>
    <w:rsid w:val="00761B67"/>
    <w:rsid w:val="00763440"/>
    <w:rsid w:val="0076352C"/>
    <w:rsid w:val="00763A24"/>
    <w:rsid w:val="00763A72"/>
    <w:rsid w:val="00764005"/>
    <w:rsid w:val="00764085"/>
    <w:rsid w:val="0076426C"/>
    <w:rsid w:val="00767B35"/>
    <w:rsid w:val="00767DCD"/>
    <w:rsid w:val="007709C0"/>
    <w:rsid w:val="00770D17"/>
    <w:rsid w:val="00771293"/>
    <w:rsid w:val="00771628"/>
    <w:rsid w:val="00771A5F"/>
    <w:rsid w:val="00771BA2"/>
    <w:rsid w:val="00771DA3"/>
    <w:rsid w:val="00771EA2"/>
    <w:rsid w:val="00772D14"/>
    <w:rsid w:val="0077354E"/>
    <w:rsid w:val="00773F60"/>
    <w:rsid w:val="007741CD"/>
    <w:rsid w:val="0077429A"/>
    <w:rsid w:val="0077524C"/>
    <w:rsid w:val="00776715"/>
    <w:rsid w:val="007769F4"/>
    <w:rsid w:val="0077768C"/>
    <w:rsid w:val="0078006D"/>
    <w:rsid w:val="0078014D"/>
    <w:rsid w:val="0078037A"/>
    <w:rsid w:val="00780869"/>
    <w:rsid w:val="00780CCE"/>
    <w:rsid w:val="00780DC3"/>
    <w:rsid w:val="00781B0F"/>
    <w:rsid w:val="00781EF3"/>
    <w:rsid w:val="00781F85"/>
    <w:rsid w:val="007827C3"/>
    <w:rsid w:val="007838FC"/>
    <w:rsid w:val="00784124"/>
    <w:rsid w:val="00784656"/>
    <w:rsid w:val="00785BF3"/>
    <w:rsid w:val="007867ED"/>
    <w:rsid w:val="0078684A"/>
    <w:rsid w:val="007900FE"/>
    <w:rsid w:val="007913A1"/>
    <w:rsid w:val="00792302"/>
    <w:rsid w:val="007927E7"/>
    <w:rsid w:val="00792AA5"/>
    <w:rsid w:val="0079367B"/>
    <w:rsid w:val="00793EF6"/>
    <w:rsid w:val="0079472A"/>
    <w:rsid w:val="00794924"/>
    <w:rsid w:val="0079497B"/>
    <w:rsid w:val="00794CA6"/>
    <w:rsid w:val="00794E88"/>
    <w:rsid w:val="00795DD9"/>
    <w:rsid w:val="007971B7"/>
    <w:rsid w:val="007976FB"/>
    <w:rsid w:val="007A02B3"/>
    <w:rsid w:val="007A08AD"/>
    <w:rsid w:val="007A0946"/>
    <w:rsid w:val="007A127B"/>
    <w:rsid w:val="007A1D72"/>
    <w:rsid w:val="007A26FC"/>
    <w:rsid w:val="007A27C0"/>
    <w:rsid w:val="007A2EE6"/>
    <w:rsid w:val="007A4182"/>
    <w:rsid w:val="007A41E1"/>
    <w:rsid w:val="007A5158"/>
    <w:rsid w:val="007A5201"/>
    <w:rsid w:val="007A5774"/>
    <w:rsid w:val="007A6735"/>
    <w:rsid w:val="007A68F1"/>
    <w:rsid w:val="007A6D04"/>
    <w:rsid w:val="007A7185"/>
    <w:rsid w:val="007A7788"/>
    <w:rsid w:val="007A7C4D"/>
    <w:rsid w:val="007B0214"/>
    <w:rsid w:val="007B130C"/>
    <w:rsid w:val="007B1B5B"/>
    <w:rsid w:val="007B1BAB"/>
    <w:rsid w:val="007B1CD2"/>
    <w:rsid w:val="007B1D2D"/>
    <w:rsid w:val="007B2C2B"/>
    <w:rsid w:val="007B2DB4"/>
    <w:rsid w:val="007B2F45"/>
    <w:rsid w:val="007B33F8"/>
    <w:rsid w:val="007B361F"/>
    <w:rsid w:val="007B4EDE"/>
    <w:rsid w:val="007B70C3"/>
    <w:rsid w:val="007B75D5"/>
    <w:rsid w:val="007B773F"/>
    <w:rsid w:val="007B7D6F"/>
    <w:rsid w:val="007C0323"/>
    <w:rsid w:val="007C0459"/>
    <w:rsid w:val="007C04BC"/>
    <w:rsid w:val="007C169C"/>
    <w:rsid w:val="007C285A"/>
    <w:rsid w:val="007C34DF"/>
    <w:rsid w:val="007C3562"/>
    <w:rsid w:val="007C359F"/>
    <w:rsid w:val="007C3AAF"/>
    <w:rsid w:val="007C3F2A"/>
    <w:rsid w:val="007C3F4B"/>
    <w:rsid w:val="007C4164"/>
    <w:rsid w:val="007C4426"/>
    <w:rsid w:val="007C4F86"/>
    <w:rsid w:val="007C52EA"/>
    <w:rsid w:val="007C5BDF"/>
    <w:rsid w:val="007C6F61"/>
    <w:rsid w:val="007C70D7"/>
    <w:rsid w:val="007C798B"/>
    <w:rsid w:val="007D05B3"/>
    <w:rsid w:val="007D05E5"/>
    <w:rsid w:val="007D07AC"/>
    <w:rsid w:val="007D0FAC"/>
    <w:rsid w:val="007D1168"/>
    <w:rsid w:val="007D1CD7"/>
    <w:rsid w:val="007D1DF1"/>
    <w:rsid w:val="007D1FEE"/>
    <w:rsid w:val="007D20DA"/>
    <w:rsid w:val="007D2FD3"/>
    <w:rsid w:val="007D3E26"/>
    <w:rsid w:val="007D4055"/>
    <w:rsid w:val="007D4408"/>
    <w:rsid w:val="007D4C7D"/>
    <w:rsid w:val="007D642C"/>
    <w:rsid w:val="007D7C6D"/>
    <w:rsid w:val="007E05AE"/>
    <w:rsid w:val="007E0641"/>
    <w:rsid w:val="007E06CE"/>
    <w:rsid w:val="007E07F2"/>
    <w:rsid w:val="007E167D"/>
    <w:rsid w:val="007E1889"/>
    <w:rsid w:val="007E1E2C"/>
    <w:rsid w:val="007E2832"/>
    <w:rsid w:val="007E2AC5"/>
    <w:rsid w:val="007E33D4"/>
    <w:rsid w:val="007E39CD"/>
    <w:rsid w:val="007E4F78"/>
    <w:rsid w:val="007E543C"/>
    <w:rsid w:val="007E5C7A"/>
    <w:rsid w:val="007E5E39"/>
    <w:rsid w:val="007E5E79"/>
    <w:rsid w:val="007E5F69"/>
    <w:rsid w:val="007E62E4"/>
    <w:rsid w:val="007E6EA8"/>
    <w:rsid w:val="007F0040"/>
    <w:rsid w:val="007F03F4"/>
    <w:rsid w:val="007F07B9"/>
    <w:rsid w:val="007F0C1B"/>
    <w:rsid w:val="007F2B15"/>
    <w:rsid w:val="007F2E3D"/>
    <w:rsid w:val="007F3ECD"/>
    <w:rsid w:val="007F40B6"/>
    <w:rsid w:val="007F452E"/>
    <w:rsid w:val="007F4693"/>
    <w:rsid w:val="007F4D6C"/>
    <w:rsid w:val="007F4DE0"/>
    <w:rsid w:val="007F5766"/>
    <w:rsid w:val="007F5E0C"/>
    <w:rsid w:val="007F63D4"/>
    <w:rsid w:val="007F6734"/>
    <w:rsid w:val="007F67A4"/>
    <w:rsid w:val="007F7A1B"/>
    <w:rsid w:val="007F7F4F"/>
    <w:rsid w:val="008002AC"/>
    <w:rsid w:val="00800D5D"/>
    <w:rsid w:val="00801252"/>
    <w:rsid w:val="00801475"/>
    <w:rsid w:val="00802911"/>
    <w:rsid w:val="00802A8E"/>
    <w:rsid w:val="00804EE8"/>
    <w:rsid w:val="008051E8"/>
    <w:rsid w:val="00805A06"/>
    <w:rsid w:val="00805FEB"/>
    <w:rsid w:val="00806091"/>
    <w:rsid w:val="008063C5"/>
    <w:rsid w:val="00806654"/>
    <w:rsid w:val="008066D8"/>
    <w:rsid w:val="00806F52"/>
    <w:rsid w:val="008073AD"/>
    <w:rsid w:val="00807884"/>
    <w:rsid w:val="00807A31"/>
    <w:rsid w:val="00807F1F"/>
    <w:rsid w:val="0081099F"/>
    <w:rsid w:val="008115E4"/>
    <w:rsid w:val="008118B2"/>
    <w:rsid w:val="00812040"/>
    <w:rsid w:val="008124E6"/>
    <w:rsid w:val="00812E21"/>
    <w:rsid w:val="00813374"/>
    <w:rsid w:val="008136A3"/>
    <w:rsid w:val="008140D1"/>
    <w:rsid w:val="00814A2E"/>
    <w:rsid w:val="00814AD7"/>
    <w:rsid w:val="00814B26"/>
    <w:rsid w:val="00815897"/>
    <w:rsid w:val="00815F0A"/>
    <w:rsid w:val="00816752"/>
    <w:rsid w:val="00817191"/>
    <w:rsid w:val="00817CC9"/>
    <w:rsid w:val="00817D58"/>
    <w:rsid w:val="008201A2"/>
    <w:rsid w:val="008204D1"/>
    <w:rsid w:val="00820721"/>
    <w:rsid w:val="0082072D"/>
    <w:rsid w:val="0082081D"/>
    <w:rsid w:val="00820F5A"/>
    <w:rsid w:val="008217AF"/>
    <w:rsid w:val="008228F2"/>
    <w:rsid w:val="00822D67"/>
    <w:rsid w:val="00824092"/>
    <w:rsid w:val="0082439A"/>
    <w:rsid w:val="00824CA2"/>
    <w:rsid w:val="0082539A"/>
    <w:rsid w:val="008254D6"/>
    <w:rsid w:val="00826C9F"/>
    <w:rsid w:val="008275BB"/>
    <w:rsid w:val="00827796"/>
    <w:rsid w:val="00827CA0"/>
    <w:rsid w:val="00827EE3"/>
    <w:rsid w:val="00830143"/>
    <w:rsid w:val="00830720"/>
    <w:rsid w:val="00830881"/>
    <w:rsid w:val="0083108D"/>
    <w:rsid w:val="00831093"/>
    <w:rsid w:val="008311E8"/>
    <w:rsid w:val="008314F9"/>
    <w:rsid w:val="0083192D"/>
    <w:rsid w:val="0083198D"/>
    <w:rsid w:val="008328C2"/>
    <w:rsid w:val="00833CAA"/>
    <w:rsid w:val="0083432A"/>
    <w:rsid w:val="00835326"/>
    <w:rsid w:val="008353C5"/>
    <w:rsid w:val="008367B9"/>
    <w:rsid w:val="00836AC6"/>
    <w:rsid w:val="00836E15"/>
    <w:rsid w:val="00840188"/>
    <w:rsid w:val="00841859"/>
    <w:rsid w:val="00842F85"/>
    <w:rsid w:val="008431C6"/>
    <w:rsid w:val="008433BB"/>
    <w:rsid w:val="00844767"/>
    <w:rsid w:val="00845258"/>
    <w:rsid w:val="00845565"/>
    <w:rsid w:val="0084589D"/>
    <w:rsid w:val="00845BB4"/>
    <w:rsid w:val="008462EA"/>
    <w:rsid w:val="00846FD1"/>
    <w:rsid w:val="00847C0F"/>
    <w:rsid w:val="00847F2D"/>
    <w:rsid w:val="008508B0"/>
    <w:rsid w:val="00850CDE"/>
    <w:rsid w:val="008512D0"/>
    <w:rsid w:val="00851BE4"/>
    <w:rsid w:val="00851DA3"/>
    <w:rsid w:val="00851EC3"/>
    <w:rsid w:val="00851EFD"/>
    <w:rsid w:val="00852749"/>
    <w:rsid w:val="00852DC4"/>
    <w:rsid w:val="00854127"/>
    <w:rsid w:val="008541BD"/>
    <w:rsid w:val="008545CF"/>
    <w:rsid w:val="00854CE0"/>
    <w:rsid w:val="00855467"/>
    <w:rsid w:val="008558F4"/>
    <w:rsid w:val="00855C82"/>
    <w:rsid w:val="008569D1"/>
    <w:rsid w:val="00857C40"/>
    <w:rsid w:val="00857D66"/>
    <w:rsid w:val="008604B3"/>
    <w:rsid w:val="0086065E"/>
    <w:rsid w:val="00860BCF"/>
    <w:rsid w:val="00860D44"/>
    <w:rsid w:val="00861777"/>
    <w:rsid w:val="008618BC"/>
    <w:rsid w:val="008625CF"/>
    <w:rsid w:val="008631A9"/>
    <w:rsid w:val="00863B1E"/>
    <w:rsid w:val="00863EC6"/>
    <w:rsid w:val="008644AA"/>
    <w:rsid w:val="00870412"/>
    <w:rsid w:val="00870EBE"/>
    <w:rsid w:val="00871286"/>
    <w:rsid w:val="0087150C"/>
    <w:rsid w:val="00871DEE"/>
    <w:rsid w:val="008726C1"/>
    <w:rsid w:val="0087317F"/>
    <w:rsid w:val="00873244"/>
    <w:rsid w:val="00873488"/>
    <w:rsid w:val="00873586"/>
    <w:rsid w:val="00873B3D"/>
    <w:rsid w:val="008746CF"/>
    <w:rsid w:val="008747AD"/>
    <w:rsid w:val="00874831"/>
    <w:rsid w:val="00874861"/>
    <w:rsid w:val="00874E4B"/>
    <w:rsid w:val="00876C60"/>
    <w:rsid w:val="008771F7"/>
    <w:rsid w:val="00877736"/>
    <w:rsid w:val="00880506"/>
    <w:rsid w:val="0088114A"/>
    <w:rsid w:val="00881758"/>
    <w:rsid w:val="0088237B"/>
    <w:rsid w:val="00882739"/>
    <w:rsid w:val="00882863"/>
    <w:rsid w:val="00882D7F"/>
    <w:rsid w:val="00882DFA"/>
    <w:rsid w:val="0088455D"/>
    <w:rsid w:val="008854F6"/>
    <w:rsid w:val="0088566E"/>
    <w:rsid w:val="00887615"/>
    <w:rsid w:val="00887DC5"/>
    <w:rsid w:val="00890576"/>
    <w:rsid w:val="00890A11"/>
    <w:rsid w:val="008917C1"/>
    <w:rsid w:val="008919D8"/>
    <w:rsid w:val="00891C32"/>
    <w:rsid w:val="00891D81"/>
    <w:rsid w:val="00892899"/>
    <w:rsid w:val="00892F7A"/>
    <w:rsid w:val="0089332E"/>
    <w:rsid w:val="00893463"/>
    <w:rsid w:val="00893902"/>
    <w:rsid w:val="0089431F"/>
    <w:rsid w:val="00894DCB"/>
    <w:rsid w:val="00894FBE"/>
    <w:rsid w:val="00895B32"/>
    <w:rsid w:val="00896169"/>
    <w:rsid w:val="00896671"/>
    <w:rsid w:val="0089748C"/>
    <w:rsid w:val="00897794"/>
    <w:rsid w:val="008A01F2"/>
    <w:rsid w:val="008A040A"/>
    <w:rsid w:val="008A059F"/>
    <w:rsid w:val="008A08FF"/>
    <w:rsid w:val="008A0B95"/>
    <w:rsid w:val="008A1223"/>
    <w:rsid w:val="008A1712"/>
    <w:rsid w:val="008A1CF2"/>
    <w:rsid w:val="008A2622"/>
    <w:rsid w:val="008A2CAD"/>
    <w:rsid w:val="008A3788"/>
    <w:rsid w:val="008A37BA"/>
    <w:rsid w:val="008A4912"/>
    <w:rsid w:val="008A5076"/>
    <w:rsid w:val="008A5662"/>
    <w:rsid w:val="008A599D"/>
    <w:rsid w:val="008A5FF2"/>
    <w:rsid w:val="008A644C"/>
    <w:rsid w:val="008A6976"/>
    <w:rsid w:val="008A6CBE"/>
    <w:rsid w:val="008A7864"/>
    <w:rsid w:val="008A7EE8"/>
    <w:rsid w:val="008B0DE7"/>
    <w:rsid w:val="008B1D38"/>
    <w:rsid w:val="008B233E"/>
    <w:rsid w:val="008B280C"/>
    <w:rsid w:val="008B304A"/>
    <w:rsid w:val="008B3127"/>
    <w:rsid w:val="008B32A3"/>
    <w:rsid w:val="008B337D"/>
    <w:rsid w:val="008B3E19"/>
    <w:rsid w:val="008B3F1E"/>
    <w:rsid w:val="008B3FF9"/>
    <w:rsid w:val="008B4641"/>
    <w:rsid w:val="008B5D25"/>
    <w:rsid w:val="008B6294"/>
    <w:rsid w:val="008B66EC"/>
    <w:rsid w:val="008B6931"/>
    <w:rsid w:val="008B6D7A"/>
    <w:rsid w:val="008B704A"/>
    <w:rsid w:val="008C0197"/>
    <w:rsid w:val="008C07D0"/>
    <w:rsid w:val="008C0B7B"/>
    <w:rsid w:val="008C0BCA"/>
    <w:rsid w:val="008C1FAE"/>
    <w:rsid w:val="008C2336"/>
    <w:rsid w:val="008C26A4"/>
    <w:rsid w:val="008C26AA"/>
    <w:rsid w:val="008C29B2"/>
    <w:rsid w:val="008C2C2C"/>
    <w:rsid w:val="008C34A9"/>
    <w:rsid w:val="008C466B"/>
    <w:rsid w:val="008C56BE"/>
    <w:rsid w:val="008C5F6D"/>
    <w:rsid w:val="008C6044"/>
    <w:rsid w:val="008C69AD"/>
    <w:rsid w:val="008C69BC"/>
    <w:rsid w:val="008C741E"/>
    <w:rsid w:val="008D081C"/>
    <w:rsid w:val="008D08A4"/>
    <w:rsid w:val="008D0F5E"/>
    <w:rsid w:val="008D17DD"/>
    <w:rsid w:val="008D1D11"/>
    <w:rsid w:val="008D5278"/>
    <w:rsid w:val="008D556A"/>
    <w:rsid w:val="008D5696"/>
    <w:rsid w:val="008D619E"/>
    <w:rsid w:val="008D6BAE"/>
    <w:rsid w:val="008E0D8F"/>
    <w:rsid w:val="008E128C"/>
    <w:rsid w:val="008E1C9B"/>
    <w:rsid w:val="008E3B40"/>
    <w:rsid w:val="008E55CE"/>
    <w:rsid w:val="008E582E"/>
    <w:rsid w:val="008E5B5E"/>
    <w:rsid w:val="008E5CC0"/>
    <w:rsid w:val="008E601C"/>
    <w:rsid w:val="008E626D"/>
    <w:rsid w:val="008E7CA7"/>
    <w:rsid w:val="008E7CCB"/>
    <w:rsid w:val="008F156B"/>
    <w:rsid w:val="008F191F"/>
    <w:rsid w:val="008F2F0A"/>
    <w:rsid w:val="008F55C0"/>
    <w:rsid w:val="008F5751"/>
    <w:rsid w:val="008F5B0A"/>
    <w:rsid w:val="008F5EA9"/>
    <w:rsid w:val="008F7C2F"/>
    <w:rsid w:val="0090009B"/>
    <w:rsid w:val="00900130"/>
    <w:rsid w:val="00901034"/>
    <w:rsid w:val="00901911"/>
    <w:rsid w:val="009024D7"/>
    <w:rsid w:val="00902520"/>
    <w:rsid w:val="0090254C"/>
    <w:rsid w:val="00902D20"/>
    <w:rsid w:val="0090353E"/>
    <w:rsid w:val="0090392D"/>
    <w:rsid w:val="0090401A"/>
    <w:rsid w:val="00904D25"/>
    <w:rsid w:val="00904E04"/>
    <w:rsid w:val="00905DD7"/>
    <w:rsid w:val="00906450"/>
    <w:rsid w:val="009067E6"/>
    <w:rsid w:val="0090683B"/>
    <w:rsid w:val="009076C9"/>
    <w:rsid w:val="00907B80"/>
    <w:rsid w:val="00910CA5"/>
    <w:rsid w:val="00911600"/>
    <w:rsid w:val="00912854"/>
    <w:rsid w:val="00914032"/>
    <w:rsid w:val="0091461A"/>
    <w:rsid w:val="00914681"/>
    <w:rsid w:val="00914FF1"/>
    <w:rsid w:val="009153C8"/>
    <w:rsid w:val="00915CE8"/>
    <w:rsid w:val="00916EA1"/>
    <w:rsid w:val="00916F91"/>
    <w:rsid w:val="00917CA5"/>
    <w:rsid w:val="00920A83"/>
    <w:rsid w:val="009211E9"/>
    <w:rsid w:val="00922085"/>
    <w:rsid w:val="0092319C"/>
    <w:rsid w:val="00923573"/>
    <w:rsid w:val="00923DBC"/>
    <w:rsid w:val="00924D5F"/>
    <w:rsid w:val="00925380"/>
    <w:rsid w:val="0092582C"/>
    <w:rsid w:val="00925B41"/>
    <w:rsid w:val="00925F6E"/>
    <w:rsid w:val="009261F9"/>
    <w:rsid w:val="00926535"/>
    <w:rsid w:val="00926FCA"/>
    <w:rsid w:val="00927160"/>
    <w:rsid w:val="00927A54"/>
    <w:rsid w:val="009300B2"/>
    <w:rsid w:val="009303E1"/>
    <w:rsid w:val="00930568"/>
    <w:rsid w:val="00930795"/>
    <w:rsid w:val="0093094E"/>
    <w:rsid w:val="00930FF5"/>
    <w:rsid w:val="00931B25"/>
    <w:rsid w:val="00931BB4"/>
    <w:rsid w:val="00931D91"/>
    <w:rsid w:val="00932284"/>
    <w:rsid w:val="00933AF5"/>
    <w:rsid w:val="009340F4"/>
    <w:rsid w:val="00934291"/>
    <w:rsid w:val="00935AF5"/>
    <w:rsid w:val="00935B3A"/>
    <w:rsid w:val="00935EDE"/>
    <w:rsid w:val="00940C05"/>
    <w:rsid w:val="00943C7C"/>
    <w:rsid w:val="00944C01"/>
    <w:rsid w:val="00944CB1"/>
    <w:rsid w:val="00944D93"/>
    <w:rsid w:val="00945B2A"/>
    <w:rsid w:val="00945B4F"/>
    <w:rsid w:val="00945CD7"/>
    <w:rsid w:val="00947CCD"/>
    <w:rsid w:val="00951737"/>
    <w:rsid w:val="009518B9"/>
    <w:rsid w:val="00952047"/>
    <w:rsid w:val="0095238C"/>
    <w:rsid w:val="00953021"/>
    <w:rsid w:val="009539D5"/>
    <w:rsid w:val="00954802"/>
    <w:rsid w:val="00954D23"/>
    <w:rsid w:val="00954E10"/>
    <w:rsid w:val="00955131"/>
    <w:rsid w:val="0095513A"/>
    <w:rsid w:val="00955DC9"/>
    <w:rsid w:val="00956987"/>
    <w:rsid w:val="00956C0F"/>
    <w:rsid w:val="00957CE3"/>
    <w:rsid w:val="009615C0"/>
    <w:rsid w:val="009619FB"/>
    <w:rsid w:val="00961F6F"/>
    <w:rsid w:val="00963200"/>
    <w:rsid w:val="009634A8"/>
    <w:rsid w:val="00963865"/>
    <w:rsid w:val="009647DE"/>
    <w:rsid w:val="00965BE5"/>
    <w:rsid w:val="00965D6D"/>
    <w:rsid w:val="0096721E"/>
    <w:rsid w:val="00967499"/>
    <w:rsid w:val="009678C6"/>
    <w:rsid w:val="009678CB"/>
    <w:rsid w:val="00967A83"/>
    <w:rsid w:val="009700F7"/>
    <w:rsid w:val="00970D15"/>
    <w:rsid w:val="009717E4"/>
    <w:rsid w:val="00971861"/>
    <w:rsid w:val="00972A0C"/>
    <w:rsid w:val="00972C4F"/>
    <w:rsid w:val="00972FF8"/>
    <w:rsid w:val="00973B22"/>
    <w:rsid w:val="00974B5C"/>
    <w:rsid w:val="009763A2"/>
    <w:rsid w:val="009768B0"/>
    <w:rsid w:val="009779DB"/>
    <w:rsid w:val="00980C1A"/>
    <w:rsid w:val="0098119B"/>
    <w:rsid w:val="009820DA"/>
    <w:rsid w:val="0098352A"/>
    <w:rsid w:val="0098361C"/>
    <w:rsid w:val="00983D97"/>
    <w:rsid w:val="0098488E"/>
    <w:rsid w:val="0098535F"/>
    <w:rsid w:val="00985785"/>
    <w:rsid w:val="0098653C"/>
    <w:rsid w:val="009865D9"/>
    <w:rsid w:val="00986D20"/>
    <w:rsid w:val="00986D76"/>
    <w:rsid w:val="00987FCC"/>
    <w:rsid w:val="0099002E"/>
    <w:rsid w:val="009904EA"/>
    <w:rsid w:val="00990FCB"/>
    <w:rsid w:val="00992ADB"/>
    <w:rsid w:val="0099308F"/>
    <w:rsid w:val="009937FC"/>
    <w:rsid w:val="00994081"/>
    <w:rsid w:val="00994CB1"/>
    <w:rsid w:val="0099570D"/>
    <w:rsid w:val="00995784"/>
    <w:rsid w:val="009957F2"/>
    <w:rsid w:val="0099634D"/>
    <w:rsid w:val="009966AB"/>
    <w:rsid w:val="00997714"/>
    <w:rsid w:val="009A0B5F"/>
    <w:rsid w:val="009A0F2E"/>
    <w:rsid w:val="009A1CAB"/>
    <w:rsid w:val="009A23D1"/>
    <w:rsid w:val="009A2623"/>
    <w:rsid w:val="009A26B4"/>
    <w:rsid w:val="009A2CA5"/>
    <w:rsid w:val="009A36C9"/>
    <w:rsid w:val="009A3F4F"/>
    <w:rsid w:val="009A41E9"/>
    <w:rsid w:val="009A48DD"/>
    <w:rsid w:val="009A4CB1"/>
    <w:rsid w:val="009A5014"/>
    <w:rsid w:val="009A58D9"/>
    <w:rsid w:val="009A66B4"/>
    <w:rsid w:val="009A6F18"/>
    <w:rsid w:val="009B0EBD"/>
    <w:rsid w:val="009B1893"/>
    <w:rsid w:val="009B22FD"/>
    <w:rsid w:val="009B24A4"/>
    <w:rsid w:val="009B2621"/>
    <w:rsid w:val="009B34E3"/>
    <w:rsid w:val="009B38A3"/>
    <w:rsid w:val="009B44FE"/>
    <w:rsid w:val="009B469C"/>
    <w:rsid w:val="009B50F1"/>
    <w:rsid w:val="009B5107"/>
    <w:rsid w:val="009B5598"/>
    <w:rsid w:val="009B65B8"/>
    <w:rsid w:val="009B6D2B"/>
    <w:rsid w:val="009C0007"/>
    <w:rsid w:val="009C0924"/>
    <w:rsid w:val="009C2A4C"/>
    <w:rsid w:val="009C2CB0"/>
    <w:rsid w:val="009C3B75"/>
    <w:rsid w:val="009C3E28"/>
    <w:rsid w:val="009C4064"/>
    <w:rsid w:val="009C434F"/>
    <w:rsid w:val="009C43F3"/>
    <w:rsid w:val="009C4AC7"/>
    <w:rsid w:val="009C4CE2"/>
    <w:rsid w:val="009C4FC4"/>
    <w:rsid w:val="009C6373"/>
    <w:rsid w:val="009C6B4F"/>
    <w:rsid w:val="009C7251"/>
    <w:rsid w:val="009C73AB"/>
    <w:rsid w:val="009C7D4B"/>
    <w:rsid w:val="009C7E20"/>
    <w:rsid w:val="009D037F"/>
    <w:rsid w:val="009D076A"/>
    <w:rsid w:val="009D0BCD"/>
    <w:rsid w:val="009D108B"/>
    <w:rsid w:val="009D194F"/>
    <w:rsid w:val="009D1F58"/>
    <w:rsid w:val="009D24BE"/>
    <w:rsid w:val="009D2930"/>
    <w:rsid w:val="009D2AE5"/>
    <w:rsid w:val="009D2CF3"/>
    <w:rsid w:val="009D2E11"/>
    <w:rsid w:val="009D3690"/>
    <w:rsid w:val="009D37F9"/>
    <w:rsid w:val="009D3921"/>
    <w:rsid w:val="009D3AE8"/>
    <w:rsid w:val="009D3CBC"/>
    <w:rsid w:val="009D3F81"/>
    <w:rsid w:val="009D47EF"/>
    <w:rsid w:val="009D4AD8"/>
    <w:rsid w:val="009D4B56"/>
    <w:rsid w:val="009D4C64"/>
    <w:rsid w:val="009D5C59"/>
    <w:rsid w:val="009D6C33"/>
    <w:rsid w:val="009D7108"/>
    <w:rsid w:val="009D7273"/>
    <w:rsid w:val="009D773E"/>
    <w:rsid w:val="009D7C39"/>
    <w:rsid w:val="009E0981"/>
    <w:rsid w:val="009E0D44"/>
    <w:rsid w:val="009E114C"/>
    <w:rsid w:val="009E230A"/>
    <w:rsid w:val="009E30CC"/>
    <w:rsid w:val="009E3C16"/>
    <w:rsid w:val="009E4D7C"/>
    <w:rsid w:val="009E4DD0"/>
    <w:rsid w:val="009E5F04"/>
    <w:rsid w:val="009E6518"/>
    <w:rsid w:val="009E7B97"/>
    <w:rsid w:val="009F00F6"/>
    <w:rsid w:val="009F07FF"/>
    <w:rsid w:val="009F09F3"/>
    <w:rsid w:val="009F0E56"/>
    <w:rsid w:val="009F0E84"/>
    <w:rsid w:val="009F130C"/>
    <w:rsid w:val="009F133C"/>
    <w:rsid w:val="009F2D54"/>
    <w:rsid w:val="009F2F92"/>
    <w:rsid w:val="009F3395"/>
    <w:rsid w:val="009F376D"/>
    <w:rsid w:val="009F4163"/>
    <w:rsid w:val="009F4B12"/>
    <w:rsid w:val="009F50DD"/>
    <w:rsid w:val="009F6DDF"/>
    <w:rsid w:val="009F70B8"/>
    <w:rsid w:val="00A009B3"/>
    <w:rsid w:val="00A00C92"/>
    <w:rsid w:val="00A02691"/>
    <w:rsid w:val="00A02C40"/>
    <w:rsid w:val="00A03272"/>
    <w:rsid w:val="00A06AAB"/>
    <w:rsid w:val="00A0758E"/>
    <w:rsid w:val="00A0783C"/>
    <w:rsid w:val="00A078F5"/>
    <w:rsid w:val="00A07E1C"/>
    <w:rsid w:val="00A11238"/>
    <w:rsid w:val="00A11F67"/>
    <w:rsid w:val="00A11FCC"/>
    <w:rsid w:val="00A12825"/>
    <w:rsid w:val="00A12B21"/>
    <w:rsid w:val="00A12E36"/>
    <w:rsid w:val="00A13146"/>
    <w:rsid w:val="00A132BF"/>
    <w:rsid w:val="00A14653"/>
    <w:rsid w:val="00A1481C"/>
    <w:rsid w:val="00A14921"/>
    <w:rsid w:val="00A14FA1"/>
    <w:rsid w:val="00A15384"/>
    <w:rsid w:val="00A157A3"/>
    <w:rsid w:val="00A16075"/>
    <w:rsid w:val="00A16207"/>
    <w:rsid w:val="00A163EA"/>
    <w:rsid w:val="00A1667D"/>
    <w:rsid w:val="00A16E2A"/>
    <w:rsid w:val="00A16F5C"/>
    <w:rsid w:val="00A174BA"/>
    <w:rsid w:val="00A174EE"/>
    <w:rsid w:val="00A17AD1"/>
    <w:rsid w:val="00A17E5E"/>
    <w:rsid w:val="00A200BF"/>
    <w:rsid w:val="00A202E6"/>
    <w:rsid w:val="00A2039D"/>
    <w:rsid w:val="00A20AE1"/>
    <w:rsid w:val="00A20D9D"/>
    <w:rsid w:val="00A20EE7"/>
    <w:rsid w:val="00A2144C"/>
    <w:rsid w:val="00A21F65"/>
    <w:rsid w:val="00A2227D"/>
    <w:rsid w:val="00A2279E"/>
    <w:rsid w:val="00A23769"/>
    <w:rsid w:val="00A24EAE"/>
    <w:rsid w:val="00A25699"/>
    <w:rsid w:val="00A25723"/>
    <w:rsid w:val="00A25A39"/>
    <w:rsid w:val="00A25A8C"/>
    <w:rsid w:val="00A27948"/>
    <w:rsid w:val="00A27BCB"/>
    <w:rsid w:val="00A27CBB"/>
    <w:rsid w:val="00A304D0"/>
    <w:rsid w:val="00A30D97"/>
    <w:rsid w:val="00A30ED2"/>
    <w:rsid w:val="00A30F7A"/>
    <w:rsid w:val="00A32741"/>
    <w:rsid w:val="00A333A6"/>
    <w:rsid w:val="00A33719"/>
    <w:rsid w:val="00A345A7"/>
    <w:rsid w:val="00A34CE9"/>
    <w:rsid w:val="00A34D0F"/>
    <w:rsid w:val="00A351D3"/>
    <w:rsid w:val="00A35B59"/>
    <w:rsid w:val="00A368B3"/>
    <w:rsid w:val="00A368FF"/>
    <w:rsid w:val="00A371EB"/>
    <w:rsid w:val="00A37219"/>
    <w:rsid w:val="00A37D42"/>
    <w:rsid w:val="00A40544"/>
    <w:rsid w:val="00A4170D"/>
    <w:rsid w:val="00A41859"/>
    <w:rsid w:val="00A41E6F"/>
    <w:rsid w:val="00A425C1"/>
    <w:rsid w:val="00A431C0"/>
    <w:rsid w:val="00A43902"/>
    <w:rsid w:val="00A4422F"/>
    <w:rsid w:val="00A4426D"/>
    <w:rsid w:val="00A44B7E"/>
    <w:rsid w:val="00A44FDF"/>
    <w:rsid w:val="00A450A8"/>
    <w:rsid w:val="00A45F88"/>
    <w:rsid w:val="00A479D5"/>
    <w:rsid w:val="00A51227"/>
    <w:rsid w:val="00A517BD"/>
    <w:rsid w:val="00A5204C"/>
    <w:rsid w:val="00A52410"/>
    <w:rsid w:val="00A5330A"/>
    <w:rsid w:val="00A533C0"/>
    <w:rsid w:val="00A53BE0"/>
    <w:rsid w:val="00A55075"/>
    <w:rsid w:val="00A55120"/>
    <w:rsid w:val="00A55398"/>
    <w:rsid w:val="00A553A4"/>
    <w:rsid w:val="00A5541F"/>
    <w:rsid w:val="00A56520"/>
    <w:rsid w:val="00A567CB"/>
    <w:rsid w:val="00A609E3"/>
    <w:rsid w:val="00A60EC2"/>
    <w:rsid w:val="00A6117A"/>
    <w:rsid w:val="00A6177D"/>
    <w:rsid w:val="00A61C04"/>
    <w:rsid w:val="00A6310C"/>
    <w:rsid w:val="00A63A13"/>
    <w:rsid w:val="00A643F8"/>
    <w:rsid w:val="00A65460"/>
    <w:rsid w:val="00A65DD1"/>
    <w:rsid w:val="00A663EC"/>
    <w:rsid w:val="00A66E0B"/>
    <w:rsid w:val="00A66F5A"/>
    <w:rsid w:val="00A6701A"/>
    <w:rsid w:val="00A6760C"/>
    <w:rsid w:val="00A70557"/>
    <w:rsid w:val="00A70C31"/>
    <w:rsid w:val="00A7104B"/>
    <w:rsid w:val="00A712CE"/>
    <w:rsid w:val="00A71DB5"/>
    <w:rsid w:val="00A729A6"/>
    <w:rsid w:val="00A7346F"/>
    <w:rsid w:val="00A74A86"/>
    <w:rsid w:val="00A74C39"/>
    <w:rsid w:val="00A75C0F"/>
    <w:rsid w:val="00A760F3"/>
    <w:rsid w:val="00A7624A"/>
    <w:rsid w:val="00A776C2"/>
    <w:rsid w:val="00A776D1"/>
    <w:rsid w:val="00A77E09"/>
    <w:rsid w:val="00A80F9E"/>
    <w:rsid w:val="00A816AF"/>
    <w:rsid w:val="00A81720"/>
    <w:rsid w:val="00A818E4"/>
    <w:rsid w:val="00A82B19"/>
    <w:rsid w:val="00A82B8B"/>
    <w:rsid w:val="00A82EF4"/>
    <w:rsid w:val="00A839BB"/>
    <w:rsid w:val="00A83C04"/>
    <w:rsid w:val="00A83ED1"/>
    <w:rsid w:val="00A8428F"/>
    <w:rsid w:val="00A84DE6"/>
    <w:rsid w:val="00A85054"/>
    <w:rsid w:val="00A858B7"/>
    <w:rsid w:val="00A87111"/>
    <w:rsid w:val="00A87990"/>
    <w:rsid w:val="00A87CA6"/>
    <w:rsid w:val="00A9066E"/>
    <w:rsid w:val="00A90D15"/>
    <w:rsid w:val="00A90F3D"/>
    <w:rsid w:val="00A920A7"/>
    <w:rsid w:val="00A925BC"/>
    <w:rsid w:val="00A92878"/>
    <w:rsid w:val="00A929A2"/>
    <w:rsid w:val="00A92FE9"/>
    <w:rsid w:val="00A93DF7"/>
    <w:rsid w:val="00A94383"/>
    <w:rsid w:val="00A9448C"/>
    <w:rsid w:val="00A94545"/>
    <w:rsid w:val="00A95A20"/>
    <w:rsid w:val="00A961E7"/>
    <w:rsid w:val="00A96F32"/>
    <w:rsid w:val="00A9721B"/>
    <w:rsid w:val="00AA0635"/>
    <w:rsid w:val="00AA068C"/>
    <w:rsid w:val="00AA0D88"/>
    <w:rsid w:val="00AA0E32"/>
    <w:rsid w:val="00AA1412"/>
    <w:rsid w:val="00AA162D"/>
    <w:rsid w:val="00AA21C4"/>
    <w:rsid w:val="00AA2A40"/>
    <w:rsid w:val="00AA2B20"/>
    <w:rsid w:val="00AA36ED"/>
    <w:rsid w:val="00AA37B5"/>
    <w:rsid w:val="00AA3F85"/>
    <w:rsid w:val="00AA4737"/>
    <w:rsid w:val="00AA4899"/>
    <w:rsid w:val="00AA48B5"/>
    <w:rsid w:val="00AA5262"/>
    <w:rsid w:val="00AA5AB7"/>
    <w:rsid w:val="00AA5BE3"/>
    <w:rsid w:val="00AA6FC3"/>
    <w:rsid w:val="00AA77EF"/>
    <w:rsid w:val="00AB019A"/>
    <w:rsid w:val="00AB22B2"/>
    <w:rsid w:val="00AB2877"/>
    <w:rsid w:val="00AB2F06"/>
    <w:rsid w:val="00AB315D"/>
    <w:rsid w:val="00AB3E95"/>
    <w:rsid w:val="00AB54CB"/>
    <w:rsid w:val="00AB5BB3"/>
    <w:rsid w:val="00AB661C"/>
    <w:rsid w:val="00AB689D"/>
    <w:rsid w:val="00AB7491"/>
    <w:rsid w:val="00AB7519"/>
    <w:rsid w:val="00AB79CA"/>
    <w:rsid w:val="00AB7A7D"/>
    <w:rsid w:val="00AC0487"/>
    <w:rsid w:val="00AC1797"/>
    <w:rsid w:val="00AC1E7A"/>
    <w:rsid w:val="00AC2E6C"/>
    <w:rsid w:val="00AC4151"/>
    <w:rsid w:val="00AC5372"/>
    <w:rsid w:val="00AC656E"/>
    <w:rsid w:val="00AC6B32"/>
    <w:rsid w:val="00AC6CEC"/>
    <w:rsid w:val="00AC6EAD"/>
    <w:rsid w:val="00AC7078"/>
    <w:rsid w:val="00AC74D7"/>
    <w:rsid w:val="00AC7C73"/>
    <w:rsid w:val="00AD0375"/>
    <w:rsid w:val="00AD0552"/>
    <w:rsid w:val="00AD26BD"/>
    <w:rsid w:val="00AD3A05"/>
    <w:rsid w:val="00AD3AEF"/>
    <w:rsid w:val="00AD3E0E"/>
    <w:rsid w:val="00AD50F5"/>
    <w:rsid w:val="00AD554D"/>
    <w:rsid w:val="00AD59DD"/>
    <w:rsid w:val="00AD59ED"/>
    <w:rsid w:val="00AD5B70"/>
    <w:rsid w:val="00AD6676"/>
    <w:rsid w:val="00AD67B3"/>
    <w:rsid w:val="00AD68C8"/>
    <w:rsid w:val="00AD68DA"/>
    <w:rsid w:val="00AD6C4D"/>
    <w:rsid w:val="00AE0021"/>
    <w:rsid w:val="00AE0E2E"/>
    <w:rsid w:val="00AE1841"/>
    <w:rsid w:val="00AE2231"/>
    <w:rsid w:val="00AE2348"/>
    <w:rsid w:val="00AE24DA"/>
    <w:rsid w:val="00AE25A2"/>
    <w:rsid w:val="00AE283B"/>
    <w:rsid w:val="00AE3E0B"/>
    <w:rsid w:val="00AE4C8C"/>
    <w:rsid w:val="00AE5231"/>
    <w:rsid w:val="00AE588D"/>
    <w:rsid w:val="00AE5D50"/>
    <w:rsid w:val="00AE624F"/>
    <w:rsid w:val="00AE63E4"/>
    <w:rsid w:val="00AE7A44"/>
    <w:rsid w:val="00AE7B48"/>
    <w:rsid w:val="00AF007F"/>
    <w:rsid w:val="00AF1046"/>
    <w:rsid w:val="00AF1536"/>
    <w:rsid w:val="00AF1A4C"/>
    <w:rsid w:val="00AF1EF9"/>
    <w:rsid w:val="00AF2B90"/>
    <w:rsid w:val="00AF4A9F"/>
    <w:rsid w:val="00AF4BC0"/>
    <w:rsid w:val="00AF4CF2"/>
    <w:rsid w:val="00AF4F99"/>
    <w:rsid w:val="00AF501B"/>
    <w:rsid w:val="00AF56ED"/>
    <w:rsid w:val="00AF62F4"/>
    <w:rsid w:val="00AF6473"/>
    <w:rsid w:val="00AF7CBB"/>
    <w:rsid w:val="00AF7F4D"/>
    <w:rsid w:val="00B00065"/>
    <w:rsid w:val="00B01DF9"/>
    <w:rsid w:val="00B01EDB"/>
    <w:rsid w:val="00B0268D"/>
    <w:rsid w:val="00B028FA"/>
    <w:rsid w:val="00B02A8A"/>
    <w:rsid w:val="00B03C25"/>
    <w:rsid w:val="00B04490"/>
    <w:rsid w:val="00B0491A"/>
    <w:rsid w:val="00B04947"/>
    <w:rsid w:val="00B05ECB"/>
    <w:rsid w:val="00B0634D"/>
    <w:rsid w:val="00B067AF"/>
    <w:rsid w:val="00B10129"/>
    <w:rsid w:val="00B1026B"/>
    <w:rsid w:val="00B105D6"/>
    <w:rsid w:val="00B10F2A"/>
    <w:rsid w:val="00B119EC"/>
    <w:rsid w:val="00B11B90"/>
    <w:rsid w:val="00B11D89"/>
    <w:rsid w:val="00B121C0"/>
    <w:rsid w:val="00B1252E"/>
    <w:rsid w:val="00B12E5D"/>
    <w:rsid w:val="00B12FBB"/>
    <w:rsid w:val="00B13044"/>
    <w:rsid w:val="00B14455"/>
    <w:rsid w:val="00B14699"/>
    <w:rsid w:val="00B14D9F"/>
    <w:rsid w:val="00B14DB1"/>
    <w:rsid w:val="00B156B7"/>
    <w:rsid w:val="00B1585A"/>
    <w:rsid w:val="00B15F1B"/>
    <w:rsid w:val="00B16038"/>
    <w:rsid w:val="00B16181"/>
    <w:rsid w:val="00B16B35"/>
    <w:rsid w:val="00B16D73"/>
    <w:rsid w:val="00B17BE7"/>
    <w:rsid w:val="00B204F6"/>
    <w:rsid w:val="00B2156E"/>
    <w:rsid w:val="00B21A74"/>
    <w:rsid w:val="00B21F71"/>
    <w:rsid w:val="00B222AC"/>
    <w:rsid w:val="00B22797"/>
    <w:rsid w:val="00B22D45"/>
    <w:rsid w:val="00B232E1"/>
    <w:rsid w:val="00B238C9"/>
    <w:rsid w:val="00B248C2"/>
    <w:rsid w:val="00B2685F"/>
    <w:rsid w:val="00B27047"/>
    <w:rsid w:val="00B27178"/>
    <w:rsid w:val="00B2717C"/>
    <w:rsid w:val="00B27414"/>
    <w:rsid w:val="00B3092D"/>
    <w:rsid w:val="00B30A4B"/>
    <w:rsid w:val="00B30B15"/>
    <w:rsid w:val="00B31853"/>
    <w:rsid w:val="00B3191E"/>
    <w:rsid w:val="00B31E1E"/>
    <w:rsid w:val="00B32204"/>
    <w:rsid w:val="00B330B8"/>
    <w:rsid w:val="00B333E1"/>
    <w:rsid w:val="00B33DB2"/>
    <w:rsid w:val="00B33F8E"/>
    <w:rsid w:val="00B3407F"/>
    <w:rsid w:val="00B34302"/>
    <w:rsid w:val="00B345D2"/>
    <w:rsid w:val="00B35148"/>
    <w:rsid w:val="00B3569F"/>
    <w:rsid w:val="00B364AD"/>
    <w:rsid w:val="00B36740"/>
    <w:rsid w:val="00B3716B"/>
    <w:rsid w:val="00B37DE4"/>
    <w:rsid w:val="00B40765"/>
    <w:rsid w:val="00B40FE7"/>
    <w:rsid w:val="00B41DFD"/>
    <w:rsid w:val="00B41E4B"/>
    <w:rsid w:val="00B4365F"/>
    <w:rsid w:val="00B44A73"/>
    <w:rsid w:val="00B46EFE"/>
    <w:rsid w:val="00B473B8"/>
    <w:rsid w:val="00B47645"/>
    <w:rsid w:val="00B5187F"/>
    <w:rsid w:val="00B52206"/>
    <w:rsid w:val="00B53D03"/>
    <w:rsid w:val="00B55359"/>
    <w:rsid w:val="00B557E1"/>
    <w:rsid w:val="00B558D1"/>
    <w:rsid w:val="00B56207"/>
    <w:rsid w:val="00B56D7A"/>
    <w:rsid w:val="00B61369"/>
    <w:rsid w:val="00B64441"/>
    <w:rsid w:val="00B64716"/>
    <w:rsid w:val="00B649ED"/>
    <w:rsid w:val="00B64E56"/>
    <w:rsid w:val="00B64FA6"/>
    <w:rsid w:val="00B657AB"/>
    <w:rsid w:val="00B66C2B"/>
    <w:rsid w:val="00B708A2"/>
    <w:rsid w:val="00B70A6C"/>
    <w:rsid w:val="00B712BB"/>
    <w:rsid w:val="00B7175B"/>
    <w:rsid w:val="00B718C5"/>
    <w:rsid w:val="00B71ECC"/>
    <w:rsid w:val="00B723F4"/>
    <w:rsid w:val="00B72CBC"/>
    <w:rsid w:val="00B730D5"/>
    <w:rsid w:val="00B7387D"/>
    <w:rsid w:val="00B73D09"/>
    <w:rsid w:val="00B7416C"/>
    <w:rsid w:val="00B74604"/>
    <w:rsid w:val="00B757BB"/>
    <w:rsid w:val="00B75904"/>
    <w:rsid w:val="00B760E3"/>
    <w:rsid w:val="00B76FFC"/>
    <w:rsid w:val="00B7782C"/>
    <w:rsid w:val="00B80280"/>
    <w:rsid w:val="00B80B44"/>
    <w:rsid w:val="00B81F41"/>
    <w:rsid w:val="00B81FED"/>
    <w:rsid w:val="00B82263"/>
    <w:rsid w:val="00B829A2"/>
    <w:rsid w:val="00B82BD0"/>
    <w:rsid w:val="00B82C93"/>
    <w:rsid w:val="00B82F8E"/>
    <w:rsid w:val="00B84396"/>
    <w:rsid w:val="00B845A2"/>
    <w:rsid w:val="00B84611"/>
    <w:rsid w:val="00B84E0E"/>
    <w:rsid w:val="00B84FB9"/>
    <w:rsid w:val="00B85493"/>
    <w:rsid w:val="00B85D28"/>
    <w:rsid w:val="00B85D6B"/>
    <w:rsid w:val="00B86E22"/>
    <w:rsid w:val="00B8726C"/>
    <w:rsid w:val="00B87793"/>
    <w:rsid w:val="00B879AD"/>
    <w:rsid w:val="00B91324"/>
    <w:rsid w:val="00B915B7"/>
    <w:rsid w:val="00B91C34"/>
    <w:rsid w:val="00B9224A"/>
    <w:rsid w:val="00B9228D"/>
    <w:rsid w:val="00B9249D"/>
    <w:rsid w:val="00B928A6"/>
    <w:rsid w:val="00B92B28"/>
    <w:rsid w:val="00B92FED"/>
    <w:rsid w:val="00B930FA"/>
    <w:rsid w:val="00B9378D"/>
    <w:rsid w:val="00B937CE"/>
    <w:rsid w:val="00B94C5B"/>
    <w:rsid w:val="00B94C69"/>
    <w:rsid w:val="00B95509"/>
    <w:rsid w:val="00B966D0"/>
    <w:rsid w:val="00B97E0C"/>
    <w:rsid w:val="00BA03D4"/>
    <w:rsid w:val="00BA0924"/>
    <w:rsid w:val="00BA0EF1"/>
    <w:rsid w:val="00BA29C7"/>
    <w:rsid w:val="00BA2CE6"/>
    <w:rsid w:val="00BA3BF9"/>
    <w:rsid w:val="00BA3F9C"/>
    <w:rsid w:val="00BA5C2F"/>
    <w:rsid w:val="00BA6488"/>
    <w:rsid w:val="00BA6830"/>
    <w:rsid w:val="00BA6CA3"/>
    <w:rsid w:val="00BA6E26"/>
    <w:rsid w:val="00BA74AB"/>
    <w:rsid w:val="00BA789B"/>
    <w:rsid w:val="00BA7F0D"/>
    <w:rsid w:val="00BB0786"/>
    <w:rsid w:val="00BB0EB1"/>
    <w:rsid w:val="00BB101A"/>
    <w:rsid w:val="00BB2296"/>
    <w:rsid w:val="00BB3443"/>
    <w:rsid w:val="00BB43C3"/>
    <w:rsid w:val="00BB45B4"/>
    <w:rsid w:val="00BB53C1"/>
    <w:rsid w:val="00BB5573"/>
    <w:rsid w:val="00BB639A"/>
    <w:rsid w:val="00BB6CDC"/>
    <w:rsid w:val="00BB713F"/>
    <w:rsid w:val="00BC03DE"/>
    <w:rsid w:val="00BC152D"/>
    <w:rsid w:val="00BC2790"/>
    <w:rsid w:val="00BC35FC"/>
    <w:rsid w:val="00BC3892"/>
    <w:rsid w:val="00BC4BD9"/>
    <w:rsid w:val="00BC4E9C"/>
    <w:rsid w:val="00BC58C9"/>
    <w:rsid w:val="00BC5BCB"/>
    <w:rsid w:val="00BC5F7D"/>
    <w:rsid w:val="00BC746F"/>
    <w:rsid w:val="00BD0221"/>
    <w:rsid w:val="00BD0B37"/>
    <w:rsid w:val="00BD0E48"/>
    <w:rsid w:val="00BD11CE"/>
    <w:rsid w:val="00BD1225"/>
    <w:rsid w:val="00BD1CD8"/>
    <w:rsid w:val="00BD2F8E"/>
    <w:rsid w:val="00BD30D5"/>
    <w:rsid w:val="00BD3281"/>
    <w:rsid w:val="00BD538C"/>
    <w:rsid w:val="00BD59D4"/>
    <w:rsid w:val="00BD6083"/>
    <w:rsid w:val="00BD608A"/>
    <w:rsid w:val="00BD60D9"/>
    <w:rsid w:val="00BD68E0"/>
    <w:rsid w:val="00BD79ED"/>
    <w:rsid w:val="00BE00B5"/>
    <w:rsid w:val="00BE04D0"/>
    <w:rsid w:val="00BE0736"/>
    <w:rsid w:val="00BE0DE5"/>
    <w:rsid w:val="00BE0F85"/>
    <w:rsid w:val="00BE13AA"/>
    <w:rsid w:val="00BE16CE"/>
    <w:rsid w:val="00BE1D2C"/>
    <w:rsid w:val="00BE1F84"/>
    <w:rsid w:val="00BE2034"/>
    <w:rsid w:val="00BE213F"/>
    <w:rsid w:val="00BE270B"/>
    <w:rsid w:val="00BE2BB3"/>
    <w:rsid w:val="00BE4A5B"/>
    <w:rsid w:val="00BE5B39"/>
    <w:rsid w:val="00BE5EB5"/>
    <w:rsid w:val="00BE6456"/>
    <w:rsid w:val="00BE6784"/>
    <w:rsid w:val="00BE7CF6"/>
    <w:rsid w:val="00BF009B"/>
    <w:rsid w:val="00BF26D7"/>
    <w:rsid w:val="00BF3228"/>
    <w:rsid w:val="00BF3260"/>
    <w:rsid w:val="00BF3B1C"/>
    <w:rsid w:val="00BF4BDF"/>
    <w:rsid w:val="00BF7522"/>
    <w:rsid w:val="00BF7B0F"/>
    <w:rsid w:val="00BF7B8A"/>
    <w:rsid w:val="00C00816"/>
    <w:rsid w:val="00C014BE"/>
    <w:rsid w:val="00C014D1"/>
    <w:rsid w:val="00C01702"/>
    <w:rsid w:val="00C0174D"/>
    <w:rsid w:val="00C0190A"/>
    <w:rsid w:val="00C01ABD"/>
    <w:rsid w:val="00C021A4"/>
    <w:rsid w:val="00C0335F"/>
    <w:rsid w:val="00C03999"/>
    <w:rsid w:val="00C04E1F"/>
    <w:rsid w:val="00C05505"/>
    <w:rsid w:val="00C05ADD"/>
    <w:rsid w:val="00C05E35"/>
    <w:rsid w:val="00C06A89"/>
    <w:rsid w:val="00C06CFB"/>
    <w:rsid w:val="00C06DBA"/>
    <w:rsid w:val="00C07044"/>
    <w:rsid w:val="00C1048E"/>
    <w:rsid w:val="00C112EE"/>
    <w:rsid w:val="00C11313"/>
    <w:rsid w:val="00C11FA6"/>
    <w:rsid w:val="00C121EC"/>
    <w:rsid w:val="00C126AC"/>
    <w:rsid w:val="00C129A2"/>
    <w:rsid w:val="00C12D8D"/>
    <w:rsid w:val="00C134D3"/>
    <w:rsid w:val="00C13A23"/>
    <w:rsid w:val="00C14070"/>
    <w:rsid w:val="00C147DD"/>
    <w:rsid w:val="00C149B9"/>
    <w:rsid w:val="00C1548D"/>
    <w:rsid w:val="00C166FB"/>
    <w:rsid w:val="00C167EF"/>
    <w:rsid w:val="00C16869"/>
    <w:rsid w:val="00C16C1A"/>
    <w:rsid w:val="00C16F23"/>
    <w:rsid w:val="00C17337"/>
    <w:rsid w:val="00C20444"/>
    <w:rsid w:val="00C20EBB"/>
    <w:rsid w:val="00C21065"/>
    <w:rsid w:val="00C21185"/>
    <w:rsid w:val="00C21EBC"/>
    <w:rsid w:val="00C2206E"/>
    <w:rsid w:val="00C22477"/>
    <w:rsid w:val="00C22C1A"/>
    <w:rsid w:val="00C22C27"/>
    <w:rsid w:val="00C234D3"/>
    <w:rsid w:val="00C23C53"/>
    <w:rsid w:val="00C24157"/>
    <w:rsid w:val="00C241C7"/>
    <w:rsid w:val="00C2526D"/>
    <w:rsid w:val="00C25332"/>
    <w:rsid w:val="00C2543D"/>
    <w:rsid w:val="00C26316"/>
    <w:rsid w:val="00C266D1"/>
    <w:rsid w:val="00C26F54"/>
    <w:rsid w:val="00C31B96"/>
    <w:rsid w:val="00C32BB7"/>
    <w:rsid w:val="00C33E4C"/>
    <w:rsid w:val="00C3487F"/>
    <w:rsid w:val="00C34FAA"/>
    <w:rsid w:val="00C35245"/>
    <w:rsid w:val="00C35655"/>
    <w:rsid w:val="00C357DB"/>
    <w:rsid w:val="00C37A26"/>
    <w:rsid w:val="00C404BC"/>
    <w:rsid w:val="00C41C76"/>
    <w:rsid w:val="00C41D75"/>
    <w:rsid w:val="00C4221D"/>
    <w:rsid w:val="00C426EF"/>
    <w:rsid w:val="00C427EA"/>
    <w:rsid w:val="00C4297A"/>
    <w:rsid w:val="00C432D2"/>
    <w:rsid w:val="00C43980"/>
    <w:rsid w:val="00C43A62"/>
    <w:rsid w:val="00C445FE"/>
    <w:rsid w:val="00C44A54"/>
    <w:rsid w:val="00C44B2A"/>
    <w:rsid w:val="00C44EDC"/>
    <w:rsid w:val="00C45069"/>
    <w:rsid w:val="00C4526C"/>
    <w:rsid w:val="00C4552C"/>
    <w:rsid w:val="00C45C6F"/>
    <w:rsid w:val="00C46FB0"/>
    <w:rsid w:val="00C47DE7"/>
    <w:rsid w:val="00C5095B"/>
    <w:rsid w:val="00C50AF2"/>
    <w:rsid w:val="00C51006"/>
    <w:rsid w:val="00C51B9A"/>
    <w:rsid w:val="00C520E6"/>
    <w:rsid w:val="00C521ED"/>
    <w:rsid w:val="00C522F3"/>
    <w:rsid w:val="00C536ED"/>
    <w:rsid w:val="00C539DD"/>
    <w:rsid w:val="00C541F9"/>
    <w:rsid w:val="00C543EE"/>
    <w:rsid w:val="00C543F3"/>
    <w:rsid w:val="00C54A01"/>
    <w:rsid w:val="00C55D19"/>
    <w:rsid w:val="00C56429"/>
    <w:rsid w:val="00C5693C"/>
    <w:rsid w:val="00C5783C"/>
    <w:rsid w:val="00C602AF"/>
    <w:rsid w:val="00C61F39"/>
    <w:rsid w:val="00C63284"/>
    <w:rsid w:val="00C63703"/>
    <w:rsid w:val="00C647A6"/>
    <w:rsid w:val="00C64C37"/>
    <w:rsid w:val="00C65522"/>
    <w:rsid w:val="00C655BE"/>
    <w:rsid w:val="00C6576E"/>
    <w:rsid w:val="00C65D0E"/>
    <w:rsid w:val="00C66156"/>
    <w:rsid w:val="00C666CD"/>
    <w:rsid w:val="00C67684"/>
    <w:rsid w:val="00C679A1"/>
    <w:rsid w:val="00C679B9"/>
    <w:rsid w:val="00C67F18"/>
    <w:rsid w:val="00C7080B"/>
    <w:rsid w:val="00C70F8D"/>
    <w:rsid w:val="00C72031"/>
    <w:rsid w:val="00C725A3"/>
    <w:rsid w:val="00C7270D"/>
    <w:rsid w:val="00C727EE"/>
    <w:rsid w:val="00C72C20"/>
    <w:rsid w:val="00C730F9"/>
    <w:rsid w:val="00C74557"/>
    <w:rsid w:val="00C75B0A"/>
    <w:rsid w:val="00C75D10"/>
    <w:rsid w:val="00C76476"/>
    <w:rsid w:val="00C76834"/>
    <w:rsid w:val="00C76FEB"/>
    <w:rsid w:val="00C77D88"/>
    <w:rsid w:val="00C8000E"/>
    <w:rsid w:val="00C8093C"/>
    <w:rsid w:val="00C80A8B"/>
    <w:rsid w:val="00C80F95"/>
    <w:rsid w:val="00C8118D"/>
    <w:rsid w:val="00C82108"/>
    <w:rsid w:val="00C82B11"/>
    <w:rsid w:val="00C8314F"/>
    <w:rsid w:val="00C8376F"/>
    <w:rsid w:val="00C83C87"/>
    <w:rsid w:val="00C841A0"/>
    <w:rsid w:val="00C8449B"/>
    <w:rsid w:val="00C8642F"/>
    <w:rsid w:val="00C86596"/>
    <w:rsid w:val="00C876E4"/>
    <w:rsid w:val="00C8793B"/>
    <w:rsid w:val="00C87CDF"/>
    <w:rsid w:val="00C90B07"/>
    <w:rsid w:val="00C9124D"/>
    <w:rsid w:val="00C91E9E"/>
    <w:rsid w:val="00C9228D"/>
    <w:rsid w:val="00C92A40"/>
    <w:rsid w:val="00C92A53"/>
    <w:rsid w:val="00C92B48"/>
    <w:rsid w:val="00C960EB"/>
    <w:rsid w:val="00C964D5"/>
    <w:rsid w:val="00C97D8E"/>
    <w:rsid w:val="00CA213B"/>
    <w:rsid w:val="00CA2D27"/>
    <w:rsid w:val="00CA42C9"/>
    <w:rsid w:val="00CA4458"/>
    <w:rsid w:val="00CA4800"/>
    <w:rsid w:val="00CA48E7"/>
    <w:rsid w:val="00CA4D8E"/>
    <w:rsid w:val="00CA4EF5"/>
    <w:rsid w:val="00CA51B9"/>
    <w:rsid w:val="00CA5B37"/>
    <w:rsid w:val="00CA5B85"/>
    <w:rsid w:val="00CA64C0"/>
    <w:rsid w:val="00CA74A0"/>
    <w:rsid w:val="00CB0BC4"/>
    <w:rsid w:val="00CB1407"/>
    <w:rsid w:val="00CB2195"/>
    <w:rsid w:val="00CB2EAC"/>
    <w:rsid w:val="00CB3118"/>
    <w:rsid w:val="00CB3617"/>
    <w:rsid w:val="00CB39A8"/>
    <w:rsid w:val="00CB3A12"/>
    <w:rsid w:val="00CB3AEC"/>
    <w:rsid w:val="00CB41FB"/>
    <w:rsid w:val="00CB44DA"/>
    <w:rsid w:val="00CB495D"/>
    <w:rsid w:val="00CB5035"/>
    <w:rsid w:val="00CB512B"/>
    <w:rsid w:val="00CB52B2"/>
    <w:rsid w:val="00CB5359"/>
    <w:rsid w:val="00CB55F0"/>
    <w:rsid w:val="00CB64AE"/>
    <w:rsid w:val="00CB68D8"/>
    <w:rsid w:val="00CB7DD3"/>
    <w:rsid w:val="00CC0967"/>
    <w:rsid w:val="00CC0ACB"/>
    <w:rsid w:val="00CC0CDD"/>
    <w:rsid w:val="00CC1FF4"/>
    <w:rsid w:val="00CC2777"/>
    <w:rsid w:val="00CC30B6"/>
    <w:rsid w:val="00CC4280"/>
    <w:rsid w:val="00CC552B"/>
    <w:rsid w:val="00CC642C"/>
    <w:rsid w:val="00CC65DB"/>
    <w:rsid w:val="00CC6931"/>
    <w:rsid w:val="00CC6AD5"/>
    <w:rsid w:val="00CC71B4"/>
    <w:rsid w:val="00CD00A5"/>
    <w:rsid w:val="00CD00EF"/>
    <w:rsid w:val="00CD1331"/>
    <w:rsid w:val="00CD16A3"/>
    <w:rsid w:val="00CD2D67"/>
    <w:rsid w:val="00CD31D8"/>
    <w:rsid w:val="00CD3CD8"/>
    <w:rsid w:val="00CD3DBB"/>
    <w:rsid w:val="00CD4073"/>
    <w:rsid w:val="00CD455C"/>
    <w:rsid w:val="00CD4E3E"/>
    <w:rsid w:val="00CD5373"/>
    <w:rsid w:val="00CD57CE"/>
    <w:rsid w:val="00CD5C53"/>
    <w:rsid w:val="00CD6005"/>
    <w:rsid w:val="00CD603B"/>
    <w:rsid w:val="00CD6131"/>
    <w:rsid w:val="00CD65CC"/>
    <w:rsid w:val="00CD686F"/>
    <w:rsid w:val="00CD6B27"/>
    <w:rsid w:val="00CD6B44"/>
    <w:rsid w:val="00CD6C7A"/>
    <w:rsid w:val="00CD728A"/>
    <w:rsid w:val="00CD75FB"/>
    <w:rsid w:val="00CE02DE"/>
    <w:rsid w:val="00CE0B2D"/>
    <w:rsid w:val="00CE1295"/>
    <w:rsid w:val="00CE182B"/>
    <w:rsid w:val="00CE1838"/>
    <w:rsid w:val="00CE1A55"/>
    <w:rsid w:val="00CE33C6"/>
    <w:rsid w:val="00CE3862"/>
    <w:rsid w:val="00CE393F"/>
    <w:rsid w:val="00CE3B39"/>
    <w:rsid w:val="00CE4062"/>
    <w:rsid w:val="00CE41E1"/>
    <w:rsid w:val="00CE47CA"/>
    <w:rsid w:val="00CE5294"/>
    <w:rsid w:val="00CE5E7A"/>
    <w:rsid w:val="00CE6071"/>
    <w:rsid w:val="00CE7253"/>
    <w:rsid w:val="00CE7D13"/>
    <w:rsid w:val="00CF0AF2"/>
    <w:rsid w:val="00CF0B5D"/>
    <w:rsid w:val="00CF2621"/>
    <w:rsid w:val="00CF2EA3"/>
    <w:rsid w:val="00CF2ED6"/>
    <w:rsid w:val="00CF3926"/>
    <w:rsid w:val="00CF3DF7"/>
    <w:rsid w:val="00CF5476"/>
    <w:rsid w:val="00CF5A08"/>
    <w:rsid w:val="00CF5FCD"/>
    <w:rsid w:val="00CF6C04"/>
    <w:rsid w:val="00CF7157"/>
    <w:rsid w:val="00CF7883"/>
    <w:rsid w:val="00CF7B75"/>
    <w:rsid w:val="00CF7D8C"/>
    <w:rsid w:val="00CF7F9F"/>
    <w:rsid w:val="00D0085C"/>
    <w:rsid w:val="00D00DCF"/>
    <w:rsid w:val="00D00F81"/>
    <w:rsid w:val="00D0139A"/>
    <w:rsid w:val="00D01AB1"/>
    <w:rsid w:val="00D02201"/>
    <w:rsid w:val="00D02643"/>
    <w:rsid w:val="00D026BB"/>
    <w:rsid w:val="00D027E1"/>
    <w:rsid w:val="00D03E5E"/>
    <w:rsid w:val="00D04DA6"/>
    <w:rsid w:val="00D05B8C"/>
    <w:rsid w:val="00D06725"/>
    <w:rsid w:val="00D071F2"/>
    <w:rsid w:val="00D073F9"/>
    <w:rsid w:val="00D10337"/>
    <w:rsid w:val="00D10859"/>
    <w:rsid w:val="00D109AD"/>
    <w:rsid w:val="00D10EC5"/>
    <w:rsid w:val="00D11784"/>
    <w:rsid w:val="00D1221F"/>
    <w:rsid w:val="00D126B1"/>
    <w:rsid w:val="00D13061"/>
    <w:rsid w:val="00D1359C"/>
    <w:rsid w:val="00D13B4B"/>
    <w:rsid w:val="00D15B3A"/>
    <w:rsid w:val="00D160D4"/>
    <w:rsid w:val="00D161D3"/>
    <w:rsid w:val="00D1654C"/>
    <w:rsid w:val="00D1657E"/>
    <w:rsid w:val="00D16E24"/>
    <w:rsid w:val="00D16FE7"/>
    <w:rsid w:val="00D2013B"/>
    <w:rsid w:val="00D207F5"/>
    <w:rsid w:val="00D20DE3"/>
    <w:rsid w:val="00D21072"/>
    <w:rsid w:val="00D21180"/>
    <w:rsid w:val="00D21526"/>
    <w:rsid w:val="00D2153B"/>
    <w:rsid w:val="00D21691"/>
    <w:rsid w:val="00D2187E"/>
    <w:rsid w:val="00D21B1D"/>
    <w:rsid w:val="00D21F31"/>
    <w:rsid w:val="00D21F51"/>
    <w:rsid w:val="00D2207C"/>
    <w:rsid w:val="00D226A5"/>
    <w:rsid w:val="00D22BCC"/>
    <w:rsid w:val="00D23348"/>
    <w:rsid w:val="00D246DC"/>
    <w:rsid w:val="00D25318"/>
    <w:rsid w:val="00D25357"/>
    <w:rsid w:val="00D25868"/>
    <w:rsid w:val="00D25AD0"/>
    <w:rsid w:val="00D25B75"/>
    <w:rsid w:val="00D25EBB"/>
    <w:rsid w:val="00D25F39"/>
    <w:rsid w:val="00D26B05"/>
    <w:rsid w:val="00D26BE3"/>
    <w:rsid w:val="00D26FC1"/>
    <w:rsid w:val="00D27A2D"/>
    <w:rsid w:val="00D31956"/>
    <w:rsid w:val="00D31B91"/>
    <w:rsid w:val="00D32B06"/>
    <w:rsid w:val="00D32D41"/>
    <w:rsid w:val="00D335DA"/>
    <w:rsid w:val="00D33766"/>
    <w:rsid w:val="00D33996"/>
    <w:rsid w:val="00D34711"/>
    <w:rsid w:val="00D34779"/>
    <w:rsid w:val="00D34908"/>
    <w:rsid w:val="00D35050"/>
    <w:rsid w:val="00D352DB"/>
    <w:rsid w:val="00D3534A"/>
    <w:rsid w:val="00D35B32"/>
    <w:rsid w:val="00D35FA6"/>
    <w:rsid w:val="00D36556"/>
    <w:rsid w:val="00D36B7F"/>
    <w:rsid w:val="00D36C82"/>
    <w:rsid w:val="00D372E1"/>
    <w:rsid w:val="00D40100"/>
    <w:rsid w:val="00D40C39"/>
    <w:rsid w:val="00D41F92"/>
    <w:rsid w:val="00D425EC"/>
    <w:rsid w:val="00D429F0"/>
    <w:rsid w:val="00D42C8C"/>
    <w:rsid w:val="00D436B7"/>
    <w:rsid w:val="00D45057"/>
    <w:rsid w:val="00D45EFC"/>
    <w:rsid w:val="00D4654F"/>
    <w:rsid w:val="00D467EF"/>
    <w:rsid w:val="00D4701D"/>
    <w:rsid w:val="00D47DAA"/>
    <w:rsid w:val="00D51B97"/>
    <w:rsid w:val="00D523B3"/>
    <w:rsid w:val="00D52DA8"/>
    <w:rsid w:val="00D53393"/>
    <w:rsid w:val="00D54942"/>
    <w:rsid w:val="00D54F7E"/>
    <w:rsid w:val="00D56336"/>
    <w:rsid w:val="00D56FAE"/>
    <w:rsid w:val="00D5718E"/>
    <w:rsid w:val="00D5771F"/>
    <w:rsid w:val="00D577B2"/>
    <w:rsid w:val="00D57E9B"/>
    <w:rsid w:val="00D604ED"/>
    <w:rsid w:val="00D60F10"/>
    <w:rsid w:val="00D62BF4"/>
    <w:rsid w:val="00D62C99"/>
    <w:rsid w:val="00D634FD"/>
    <w:rsid w:val="00D64314"/>
    <w:rsid w:val="00D64567"/>
    <w:rsid w:val="00D646D8"/>
    <w:rsid w:val="00D6545A"/>
    <w:rsid w:val="00D659FA"/>
    <w:rsid w:val="00D65D3B"/>
    <w:rsid w:val="00D665F6"/>
    <w:rsid w:val="00D67EBE"/>
    <w:rsid w:val="00D67EE4"/>
    <w:rsid w:val="00D7039D"/>
    <w:rsid w:val="00D704B0"/>
    <w:rsid w:val="00D7100F"/>
    <w:rsid w:val="00D7161A"/>
    <w:rsid w:val="00D71649"/>
    <w:rsid w:val="00D7228A"/>
    <w:rsid w:val="00D7252E"/>
    <w:rsid w:val="00D72EF0"/>
    <w:rsid w:val="00D73215"/>
    <w:rsid w:val="00D744BC"/>
    <w:rsid w:val="00D74CD9"/>
    <w:rsid w:val="00D74D73"/>
    <w:rsid w:val="00D75C55"/>
    <w:rsid w:val="00D76B29"/>
    <w:rsid w:val="00D76D98"/>
    <w:rsid w:val="00D77AFA"/>
    <w:rsid w:val="00D77FB1"/>
    <w:rsid w:val="00D8046D"/>
    <w:rsid w:val="00D80A35"/>
    <w:rsid w:val="00D81ADE"/>
    <w:rsid w:val="00D81D7C"/>
    <w:rsid w:val="00D821D2"/>
    <w:rsid w:val="00D82526"/>
    <w:rsid w:val="00D83CCD"/>
    <w:rsid w:val="00D83D28"/>
    <w:rsid w:val="00D83E8F"/>
    <w:rsid w:val="00D83FF1"/>
    <w:rsid w:val="00D84458"/>
    <w:rsid w:val="00D84F9E"/>
    <w:rsid w:val="00D870A5"/>
    <w:rsid w:val="00D87136"/>
    <w:rsid w:val="00D907F5"/>
    <w:rsid w:val="00D917FD"/>
    <w:rsid w:val="00D91FC4"/>
    <w:rsid w:val="00D9264F"/>
    <w:rsid w:val="00D92F8A"/>
    <w:rsid w:val="00D93379"/>
    <w:rsid w:val="00D969D1"/>
    <w:rsid w:val="00D96B79"/>
    <w:rsid w:val="00D96BA3"/>
    <w:rsid w:val="00D97781"/>
    <w:rsid w:val="00DA0302"/>
    <w:rsid w:val="00DA0369"/>
    <w:rsid w:val="00DA0496"/>
    <w:rsid w:val="00DA07DE"/>
    <w:rsid w:val="00DA0BED"/>
    <w:rsid w:val="00DA1E08"/>
    <w:rsid w:val="00DA2047"/>
    <w:rsid w:val="00DA26AA"/>
    <w:rsid w:val="00DA3266"/>
    <w:rsid w:val="00DA326C"/>
    <w:rsid w:val="00DA36FD"/>
    <w:rsid w:val="00DA3EC7"/>
    <w:rsid w:val="00DA4397"/>
    <w:rsid w:val="00DA5430"/>
    <w:rsid w:val="00DA5854"/>
    <w:rsid w:val="00DA62D6"/>
    <w:rsid w:val="00DA64AB"/>
    <w:rsid w:val="00DA675A"/>
    <w:rsid w:val="00DA6C90"/>
    <w:rsid w:val="00DA73A2"/>
    <w:rsid w:val="00DA790C"/>
    <w:rsid w:val="00DB0865"/>
    <w:rsid w:val="00DB08DE"/>
    <w:rsid w:val="00DB119D"/>
    <w:rsid w:val="00DB1B65"/>
    <w:rsid w:val="00DB1CDB"/>
    <w:rsid w:val="00DB2DF4"/>
    <w:rsid w:val="00DB4D7C"/>
    <w:rsid w:val="00DB5213"/>
    <w:rsid w:val="00DB5749"/>
    <w:rsid w:val="00DB5BB9"/>
    <w:rsid w:val="00DB6038"/>
    <w:rsid w:val="00DB60AF"/>
    <w:rsid w:val="00DB64AD"/>
    <w:rsid w:val="00DB6BD9"/>
    <w:rsid w:val="00DB6C95"/>
    <w:rsid w:val="00DB6C9F"/>
    <w:rsid w:val="00DB7AD6"/>
    <w:rsid w:val="00DB7B8B"/>
    <w:rsid w:val="00DC1367"/>
    <w:rsid w:val="00DC157B"/>
    <w:rsid w:val="00DC287C"/>
    <w:rsid w:val="00DC2B68"/>
    <w:rsid w:val="00DC34D4"/>
    <w:rsid w:val="00DC3674"/>
    <w:rsid w:val="00DC5581"/>
    <w:rsid w:val="00DC674C"/>
    <w:rsid w:val="00DC7452"/>
    <w:rsid w:val="00DD05FF"/>
    <w:rsid w:val="00DD06EF"/>
    <w:rsid w:val="00DD0B9D"/>
    <w:rsid w:val="00DD0D00"/>
    <w:rsid w:val="00DD0DCA"/>
    <w:rsid w:val="00DD1CCA"/>
    <w:rsid w:val="00DD25C8"/>
    <w:rsid w:val="00DD2CAD"/>
    <w:rsid w:val="00DD2CE7"/>
    <w:rsid w:val="00DD3370"/>
    <w:rsid w:val="00DD376D"/>
    <w:rsid w:val="00DD4286"/>
    <w:rsid w:val="00DD4383"/>
    <w:rsid w:val="00DD43B9"/>
    <w:rsid w:val="00DD4DD7"/>
    <w:rsid w:val="00DD4F6F"/>
    <w:rsid w:val="00DD7853"/>
    <w:rsid w:val="00DE1399"/>
    <w:rsid w:val="00DE172D"/>
    <w:rsid w:val="00DE1CDF"/>
    <w:rsid w:val="00DE1EBB"/>
    <w:rsid w:val="00DE268A"/>
    <w:rsid w:val="00DE2F78"/>
    <w:rsid w:val="00DE2FA9"/>
    <w:rsid w:val="00DE35EE"/>
    <w:rsid w:val="00DE39C4"/>
    <w:rsid w:val="00DE3C25"/>
    <w:rsid w:val="00DE3CF2"/>
    <w:rsid w:val="00DE419F"/>
    <w:rsid w:val="00DE44F7"/>
    <w:rsid w:val="00DE462E"/>
    <w:rsid w:val="00DE5347"/>
    <w:rsid w:val="00DE5652"/>
    <w:rsid w:val="00DE66F2"/>
    <w:rsid w:val="00DF0D48"/>
    <w:rsid w:val="00DF1FD2"/>
    <w:rsid w:val="00DF2C55"/>
    <w:rsid w:val="00DF3D68"/>
    <w:rsid w:val="00DF4C1E"/>
    <w:rsid w:val="00DF5151"/>
    <w:rsid w:val="00DF5373"/>
    <w:rsid w:val="00DF5BE1"/>
    <w:rsid w:val="00DF64FF"/>
    <w:rsid w:val="00DF65A4"/>
    <w:rsid w:val="00DF7AB9"/>
    <w:rsid w:val="00E006F7"/>
    <w:rsid w:val="00E00F29"/>
    <w:rsid w:val="00E01129"/>
    <w:rsid w:val="00E01201"/>
    <w:rsid w:val="00E01C52"/>
    <w:rsid w:val="00E024A7"/>
    <w:rsid w:val="00E02E63"/>
    <w:rsid w:val="00E0542A"/>
    <w:rsid w:val="00E05F28"/>
    <w:rsid w:val="00E06D35"/>
    <w:rsid w:val="00E07F5E"/>
    <w:rsid w:val="00E1018C"/>
    <w:rsid w:val="00E118CC"/>
    <w:rsid w:val="00E12149"/>
    <w:rsid w:val="00E132AD"/>
    <w:rsid w:val="00E13809"/>
    <w:rsid w:val="00E1431C"/>
    <w:rsid w:val="00E14521"/>
    <w:rsid w:val="00E14850"/>
    <w:rsid w:val="00E14E97"/>
    <w:rsid w:val="00E16D2E"/>
    <w:rsid w:val="00E16FC3"/>
    <w:rsid w:val="00E171E9"/>
    <w:rsid w:val="00E171F6"/>
    <w:rsid w:val="00E20BCE"/>
    <w:rsid w:val="00E20F38"/>
    <w:rsid w:val="00E2104A"/>
    <w:rsid w:val="00E22CE6"/>
    <w:rsid w:val="00E22F31"/>
    <w:rsid w:val="00E233DE"/>
    <w:rsid w:val="00E23A29"/>
    <w:rsid w:val="00E2443B"/>
    <w:rsid w:val="00E2487A"/>
    <w:rsid w:val="00E25255"/>
    <w:rsid w:val="00E252B2"/>
    <w:rsid w:val="00E25481"/>
    <w:rsid w:val="00E25483"/>
    <w:rsid w:val="00E256F5"/>
    <w:rsid w:val="00E259B8"/>
    <w:rsid w:val="00E261EE"/>
    <w:rsid w:val="00E27141"/>
    <w:rsid w:val="00E27929"/>
    <w:rsid w:val="00E27E5A"/>
    <w:rsid w:val="00E27F67"/>
    <w:rsid w:val="00E30348"/>
    <w:rsid w:val="00E30FB8"/>
    <w:rsid w:val="00E316DD"/>
    <w:rsid w:val="00E318EE"/>
    <w:rsid w:val="00E3316D"/>
    <w:rsid w:val="00E36A5F"/>
    <w:rsid w:val="00E374F8"/>
    <w:rsid w:val="00E404D3"/>
    <w:rsid w:val="00E410BA"/>
    <w:rsid w:val="00E4118B"/>
    <w:rsid w:val="00E41762"/>
    <w:rsid w:val="00E41A8B"/>
    <w:rsid w:val="00E42601"/>
    <w:rsid w:val="00E43A2A"/>
    <w:rsid w:val="00E43D1A"/>
    <w:rsid w:val="00E442FA"/>
    <w:rsid w:val="00E45359"/>
    <w:rsid w:val="00E45626"/>
    <w:rsid w:val="00E45EEA"/>
    <w:rsid w:val="00E4631A"/>
    <w:rsid w:val="00E46AEE"/>
    <w:rsid w:val="00E46C04"/>
    <w:rsid w:val="00E4769F"/>
    <w:rsid w:val="00E47A93"/>
    <w:rsid w:val="00E50C5D"/>
    <w:rsid w:val="00E50EBA"/>
    <w:rsid w:val="00E51114"/>
    <w:rsid w:val="00E512ED"/>
    <w:rsid w:val="00E51558"/>
    <w:rsid w:val="00E51595"/>
    <w:rsid w:val="00E534C8"/>
    <w:rsid w:val="00E541A0"/>
    <w:rsid w:val="00E56602"/>
    <w:rsid w:val="00E56D48"/>
    <w:rsid w:val="00E5799C"/>
    <w:rsid w:val="00E60F41"/>
    <w:rsid w:val="00E61F35"/>
    <w:rsid w:val="00E61FB6"/>
    <w:rsid w:val="00E62B88"/>
    <w:rsid w:val="00E6329E"/>
    <w:rsid w:val="00E63712"/>
    <w:rsid w:val="00E63861"/>
    <w:rsid w:val="00E63881"/>
    <w:rsid w:val="00E6464E"/>
    <w:rsid w:val="00E6512C"/>
    <w:rsid w:val="00E663B5"/>
    <w:rsid w:val="00E66EE1"/>
    <w:rsid w:val="00E675A2"/>
    <w:rsid w:val="00E67E41"/>
    <w:rsid w:val="00E70007"/>
    <w:rsid w:val="00E70552"/>
    <w:rsid w:val="00E70838"/>
    <w:rsid w:val="00E7161A"/>
    <w:rsid w:val="00E71681"/>
    <w:rsid w:val="00E71AE5"/>
    <w:rsid w:val="00E71B23"/>
    <w:rsid w:val="00E72586"/>
    <w:rsid w:val="00E72682"/>
    <w:rsid w:val="00E734C9"/>
    <w:rsid w:val="00E73D82"/>
    <w:rsid w:val="00E73FD9"/>
    <w:rsid w:val="00E75517"/>
    <w:rsid w:val="00E801B6"/>
    <w:rsid w:val="00E80CF8"/>
    <w:rsid w:val="00E816C9"/>
    <w:rsid w:val="00E817DA"/>
    <w:rsid w:val="00E81D4B"/>
    <w:rsid w:val="00E81DB9"/>
    <w:rsid w:val="00E83271"/>
    <w:rsid w:val="00E83AEE"/>
    <w:rsid w:val="00E84406"/>
    <w:rsid w:val="00E8473D"/>
    <w:rsid w:val="00E8484E"/>
    <w:rsid w:val="00E849E3"/>
    <w:rsid w:val="00E84A78"/>
    <w:rsid w:val="00E86053"/>
    <w:rsid w:val="00E86097"/>
    <w:rsid w:val="00E86566"/>
    <w:rsid w:val="00E867CC"/>
    <w:rsid w:val="00E86987"/>
    <w:rsid w:val="00E86E65"/>
    <w:rsid w:val="00E87129"/>
    <w:rsid w:val="00E87130"/>
    <w:rsid w:val="00E87CBB"/>
    <w:rsid w:val="00E91EBC"/>
    <w:rsid w:val="00E92D94"/>
    <w:rsid w:val="00E9398B"/>
    <w:rsid w:val="00E93AA4"/>
    <w:rsid w:val="00E942B7"/>
    <w:rsid w:val="00E94F81"/>
    <w:rsid w:val="00E952F3"/>
    <w:rsid w:val="00E95A72"/>
    <w:rsid w:val="00E95A93"/>
    <w:rsid w:val="00E965B8"/>
    <w:rsid w:val="00E96746"/>
    <w:rsid w:val="00E975FC"/>
    <w:rsid w:val="00EA02C5"/>
    <w:rsid w:val="00EA06C2"/>
    <w:rsid w:val="00EA0800"/>
    <w:rsid w:val="00EA0B57"/>
    <w:rsid w:val="00EA1072"/>
    <w:rsid w:val="00EA1629"/>
    <w:rsid w:val="00EA2AE8"/>
    <w:rsid w:val="00EA2D99"/>
    <w:rsid w:val="00EA396E"/>
    <w:rsid w:val="00EA415F"/>
    <w:rsid w:val="00EA46E3"/>
    <w:rsid w:val="00EA4999"/>
    <w:rsid w:val="00EA513C"/>
    <w:rsid w:val="00EA53D5"/>
    <w:rsid w:val="00EA576B"/>
    <w:rsid w:val="00EA5D05"/>
    <w:rsid w:val="00EA7670"/>
    <w:rsid w:val="00EB083C"/>
    <w:rsid w:val="00EB20D2"/>
    <w:rsid w:val="00EB2305"/>
    <w:rsid w:val="00EB3DE4"/>
    <w:rsid w:val="00EB4580"/>
    <w:rsid w:val="00EB4654"/>
    <w:rsid w:val="00EB4DDB"/>
    <w:rsid w:val="00EB53EB"/>
    <w:rsid w:val="00EB5CC5"/>
    <w:rsid w:val="00EB6C2E"/>
    <w:rsid w:val="00EB6F33"/>
    <w:rsid w:val="00EB79C7"/>
    <w:rsid w:val="00EB7E92"/>
    <w:rsid w:val="00EC09D7"/>
    <w:rsid w:val="00EC0A46"/>
    <w:rsid w:val="00EC1EEF"/>
    <w:rsid w:val="00EC220B"/>
    <w:rsid w:val="00EC27C1"/>
    <w:rsid w:val="00EC287D"/>
    <w:rsid w:val="00EC36C5"/>
    <w:rsid w:val="00EC3BF9"/>
    <w:rsid w:val="00EC433E"/>
    <w:rsid w:val="00EC4755"/>
    <w:rsid w:val="00EC5363"/>
    <w:rsid w:val="00EC5D20"/>
    <w:rsid w:val="00EC5DFE"/>
    <w:rsid w:val="00EC63A1"/>
    <w:rsid w:val="00EC66C4"/>
    <w:rsid w:val="00EC72AE"/>
    <w:rsid w:val="00EC7BA5"/>
    <w:rsid w:val="00EC7EB4"/>
    <w:rsid w:val="00ED0C88"/>
    <w:rsid w:val="00ED11CC"/>
    <w:rsid w:val="00ED1414"/>
    <w:rsid w:val="00ED19AB"/>
    <w:rsid w:val="00ED1EB8"/>
    <w:rsid w:val="00ED2D76"/>
    <w:rsid w:val="00ED3919"/>
    <w:rsid w:val="00ED4282"/>
    <w:rsid w:val="00ED438A"/>
    <w:rsid w:val="00ED43AC"/>
    <w:rsid w:val="00ED4DFA"/>
    <w:rsid w:val="00ED54F5"/>
    <w:rsid w:val="00ED5C9D"/>
    <w:rsid w:val="00ED6E45"/>
    <w:rsid w:val="00ED78C1"/>
    <w:rsid w:val="00ED796C"/>
    <w:rsid w:val="00ED7A70"/>
    <w:rsid w:val="00ED7DA5"/>
    <w:rsid w:val="00EE0A05"/>
    <w:rsid w:val="00EE0E28"/>
    <w:rsid w:val="00EE145D"/>
    <w:rsid w:val="00EE3438"/>
    <w:rsid w:val="00EE40AB"/>
    <w:rsid w:val="00EE524A"/>
    <w:rsid w:val="00EE5BEF"/>
    <w:rsid w:val="00EE60B1"/>
    <w:rsid w:val="00EE646B"/>
    <w:rsid w:val="00EE6962"/>
    <w:rsid w:val="00EE6D18"/>
    <w:rsid w:val="00EE7234"/>
    <w:rsid w:val="00EE78F6"/>
    <w:rsid w:val="00EE7A29"/>
    <w:rsid w:val="00EF0D9F"/>
    <w:rsid w:val="00EF1ECC"/>
    <w:rsid w:val="00EF2815"/>
    <w:rsid w:val="00EF2B3F"/>
    <w:rsid w:val="00EF30BD"/>
    <w:rsid w:val="00EF3330"/>
    <w:rsid w:val="00EF3E73"/>
    <w:rsid w:val="00EF4F08"/>
    <w:rsid w:val="00EF5801"/>
    <w:rsid w:val="00EF63A9"/>
    <w:rsid w:val="00EF657C"/>
    <w:rsid w:val="00EF6DB2"/>
    <w:rsid w:val="00EF6F37"/>
    <w:rsid w:val="00F003BF"/>
    <w:rsid w:val="00F02DBA"/>
    <w:rsid w:val="00F0315C"/>
    <w:rsid w:val="00F0389C"/>
    <w:rsid w:val="00F04313"/>
    <w:rsid w:val="00F051F8"/>
    <w:rsid w:val="00F06086"/>
    <w:rsid w:val="00F0726F"/>
    <w:rsid w:val="00F07B12"/>
    <w:rsid w:val="00F07D69"/>
    <w:rsid w:val="00F1034D"/>
    <w:rsid w:val="00F1079F"/>
    <w:rsid w:val="00F114A3"/>
    <w:rsid w:val="00F1158B"/>
    <w:rsid w:val="00F117ED"/>
    <w:rsid w:val="00F11876"/>
    <w:rsid w:val="00F1193D"/>
    <w:rsid w:val="00F123F5"/>
    <w:rsid w:val="00F12A31"/>
    <w:rsid w:val="00F132B1"/>
    <w:rsid w:val="00F148C3"/>
    <w:rsid w:val="00F14B27"/>
    <w:rsid w:val="00F15A83"/>
    <w:rsid w:val="00F15D66"/>
    <w:rsid w:val="00F15DEB"/>
    <w:rsid w:val="00F21D22"/>
    <w:rsid w:val="00F21EEF"/>
    <w:rsid w:val="00F223DB"/>
    <w:rsid w:val="00F229E1"/>
    <w:rsid w:val="00F23A4C"/>
    <w:rsid w:val="00F23AB2"/>
    <w:rsid w:val="00F24BC9"/>
    <w:rsid w:val="00F25885"/>
    <w:rsid w:val="00F25A5C"/>
    <w:rsid w:val="00F27375"/>
    <w:rsid w:val="00F27A86"/>
    <w:rsid w:val="00F27CDB"/>
    <w:rsid w:val="00F27FA9"/>
    <w:rsid w:val="00F30B77"/>
    <w:rsid w:val="00F31036"/>
    <w:rsid w:val="00F3114F"/>
    <w:rsid w:val="00F311E3"/>
    <w:rsid w:val="00F31DEF"/>
    <w:rsid w:val="00F33F9D"/>
    <w:rsid w:val="00F34B11"/>
    <w:rsid w:val="00F35399"/>
    <w:rsid w:val="00F35A52"/>
    <w:rsid w:val="00F37298"/>
    <w:rsid w:val="00F373EB"/>
    <w:rsid w:val="00F37BD3"/>
    <w:rsid w:val="00F4040B"/>
    <w:rsid w:val="00F420A1"/>
    <w:rsid w:val="00F42524"/>
    <w:rsid w:val="00F427D8"/>
    <w:rsid w:val="00F4354F"/>
    <w:rsid w:val="00F43732"/>
    <w:rsid w:val="00F4397B"/>
    <w:rsid w:val="00F439B0"/>
    <w:rsid w:val="00F43E2A"/>
    <w:rsid w:val="00F45152"/>
    <w:rsid w:val="00F45668"/>
    <w:rsid w:val="00F45BAE"/>
    <w:rsid w:val="00F460E0"/>
    <w:rsid w:val="00F46D85"/>
    <w:rsid w:val="00F46E79"/>
    <w:rsid w:val="00F47254"/>
    <w:rsid w:val="00F47378"/>
    <w:rsid w:val="00F47678"/>
    <w:rsid w:val="00F50C12"/>
    <w:rsid w:val="00F50CDA"/>
    <w:rsid w:val="00F50D4E"/>
    <w:rsid w:val="00F50E87"/>
    <w:rsid w:val="00F52610"/>
    <w:rsid w:val="00F52876"/>
    <w:rsid w:val="00F52B6A"/>
    <w:rsid w:val="00F52CA0"/>
    <w:rsid w:val="00F52FA7"/>
    <w:rsid w:val="00F5316C"/>
    <w:rsid w:val="00F53389"/>
    <w:rsid w:val="00F542C1"/>
    <w:rsid w:val="00F5457A"/>
    <w:rsid w:val="00F547D0"/>
    <w:rsid w:val="00F557D6"/>
    <w:rsid w:val="00F558AF"/>
    <w:rsid w:val="00F558F7"/>
    <w:rsid w:val="00F559D8"/>
    <w:rsid w:val="00F55A60"/>
    <w:rsid w:val="00F56354"/>
    <w:rsid w:val="00F56F14"/>
    <w:rsid w:val="00F56F1C"/>
    <w:rsid w:val="00F57267"/>
    <w:rsid w:val="00F57E43"/>
    <w:rsid w:val="00F61966"/>
    <w:rsid w:val="00F621E0"/>
    <w:rsid w:val="00F623EA"/>
    <w:rsid w:val="00F628A5"/>
    <w:rsid w:val="00F62992"/>
    <w:rsid w:val="00F63194"/>
    <w:rsid w:val="00F636F2"/>
    <w:rsid w:val="00F6382A"/>
    <w:rsid w:val="00F6395E"/>
    <w:rsid w:val="00F640AA"/>
    <w:rsid w:val="00F64BD2"/>
    <w:rsid w:val="00F64DCE"/>
    <w:rsid w:val="00F6516C"/>
    <w:rsid w:val="00F654ED"/>
    <w:rsid w:val="00F65F9E"/>
    <w:rsid w:val="00F6618C"/>
    <w:rsid w:val="00F66653"/>
    <w:rsid w:val="00F6725A"/>
    <w:rsid w:val="00F67A29"/>
    <w:rsid w:val="00F67DA6"/>
    <w:rsid w:val="00F702EB"/>
    <w:rsid w:val="00F70380"/>
    <w:rsid w:val="00F708ED"/>
    <w:rsid w:val="00F710D6"/>
    <w:rsid w:val="00F717E1"/>
    <w:rsid w:val="00F71D7D"/>
    <w:rsid w:val="00F72BDF"/>
    <w:rsid w:val="00F72EB3"/>
    <w:rsid w:val="00F73321"/>
    <w:rsid w:val="00F735A7"/>
    <w:rsid w:val="00F7378F"/>
    <w:rsid w:val="00F74441"/>
    <w:rsid w:val="00F745D9"/>
    <w:rsid w:val="00F74F29"/>
    <w:rsid w:val="00F75D17"/>
    <w:rsid w:val="00F76BB3"/>
    <w:rsid w:val="00F76D4E"/>
    <w:rsid w:val="00F772DA"/>
    <w:rsid w:val="00F7781E"/>
    <w:rsid w:val="00F80DBA"/>
    <w:rsid w:val="00F81708"/>
    <w:rsid w:val="00F81F1D"/>
    <w:rsid w:val="00F82D68"/>
    <w:rsid w:val="00F8304F"/>
    <w:rsid w:val="00F846F0"/>
    <w:rsid w:val="00F847B5"/>
    <w:rsid w:val="00F85DFD"/>
    <w:rsid w:val="00F864ED"/>
    <w:rsid w:val="00F868BC"/>
    <w:rsid w:val="00F871F5"/>
    <w:rsid w:val="00F875DE"/>
    <w:rsid w:val="00F879B1"/>
    <w:rsid w:val="00F9002A"/>
    <w:rsid w:val="00F90D95"/>
    <w:rsid w:val="00F90F9D"/>
    <w:rsid w:val="00F91054"/>
    <w:rsid w:val="00F91F1E"/>
    <w:rsid w:val="00F92653"/>
    <w:rsid w:val="00F92C69"/>
    <w:rsid w:val="00F9332E"/>
    <w:rsid w:val="00F94962"/>
    <w:rsid w:val="00F9521E"/>
    <w:rsid w:val="00F95E15"/>
    <w:rsid w:val="00F961DD"/>
    <w:rsid w:val="00F97015"/>
    <w:rsid w:val="00F9746E"/>
    <w:rsid w:val="00F974A9"/>
    <w:rsid w:val="00FA03B6"/>
    <w:rsid w:val="00FA1144"/>
    <w:rsid w:val="00FA12C8"/>
    <w:rsid w:val="00FA1629"/>
    <w:rsid w:val="00FA1F7C"/>
    <w:rsid w:val="00FA226B"/>
    <w:rsid w:val="00FA2685"/>
    <w:rsid w:val="00FA2DC5"/>
    <w:rsid w:val="00FA32C5"/>
    <w:rsid w:val="00FA33D9"/>
    <w:rsid w:val="00FA3486"/>
    <w:rsid w:val="00FA36DB"/>
    <w:rsid w:val="00FA429A"/>
    <w:rsid w:val="00FA4D82"/>
    <w:rsid w:val="00FA528E"/>
    <w:rsid w:val="00FA52E7"/>
    <w:rsid w:val="00FA5DD2"/>
    <w:rsid w:val="00FA63FC"/>
    <w:rsid w:val="00FA6DA2"/>
    <w:rsid w:val="00FA70D4"/>
    <w:rsid w:val="00FB092A"/>
    <w:rsid w:val="00FB0BC2"/>
    <w:rsid w:val="00FB2A87"/>
    <w:rsid w:val="00FB2F90"/>
    <w:rsid w:val="00FB308E"/>
    <w:rsid w:val="00FB30D3"/>
    <w:rsid w:val="00FB32D4"/>
    <w:rsid w:val="00FB3461"/>
    <w:rsid w:val="00FB48FD"/>
    <w:rsid w:val="00FB5CA3"/>
    <w:rsid w:val="00FB7E32"/>
    <w:rsid w:val="00FC006A"/>
    <w:rsid w:val="00FC12B5"/>
    <w:rsid w:val="00FC1707"/>
    <w:rsid w:val="00FC1882"/>
    <w:rsid w:val="00FC1AD6"/>
    <w:rsid w:val="00FC1C2D"/>
    <w:rsid w:val="00FC27E6"/>
    <w:rsid w:val="00FC2803"/>
    <w:rsid w:val="00FC2B2D"/>
    <w:rsid w:val="00FC2CDB"/>
    <w:rsid w:val="00FC3263"/>
    <w:rsid w:val="00FC3633"/>
    <w:rsid w:val="00FC3A48"/>
    <w:rsid w:val="00FC49C1"/>
    <w:rsid w:val="00FC5058"/>
    <w:rsid w:val="00FC5094"/>
    <w:rsid w:val="00FC54B8"/>
    <w:rsid w:val="00FC735E"/>
    <w:rsid w:val="00FC7F42"/>
    <w:rsid w:val="00FD0883"/>
    <w:rsid w:val="00FD092C"/>
    <w:rsid w:val="00FD0CEF"/>
    <w:rsid w:val="00FD1263"/>
    <w:rsid w:val="00FD1EA4"/>
    <w:rsid w:val="00FD273B"/>
    <w:rsid w:val="00FD2B18"/>
    <w:rsid w:val="00FD34B2"/>
    <w:rsid w:val="00FD350C"/>
    <w:rsid w:val="00FD4A4B"/>
    <w:rsid w:val="00FD4B1F"/>
    <w:rsid w:val="00FD4ED0"/>
    <w:rsid w:val="00FD5D94"/>
    <w:rsid w:val="00FD61D2"/>
    <w:rsid w:val="00FD65DE"/>
    <w:rsid w:val="00FD6DF2"/>
    <w:rsid w:val="00FD731F"/>
    <w:rsid w:val="00FE0D70"/>
    <w:rsid w:val="00FE0D8E"/>
    <w:rsid w:val="00FE1A06"/>
    <w:rsid w:val="00FE2E8D"/>
    <w:rsid w:val="00FE3738"/>
    <w:rsid w:val="00FE3ACE"/>
    <w:rsid w:val="00FE3DF9"/>
    <w:rsid w:val="00FE4F1F"/>
    <w:rsid w:val="00FE513E"/>
    <w:rsid w:val="00FE531F"/>
    <w:rsid w:val="00FE5F67"/>
    <w:rsid w:val="00FE65F9"/>
    <w:rsid w:val="00FE75C5"/>
    <w:rsid w:val="00FE7764"/>
    <w:rsid w:val="00FF047B"/>
    <w:rsid w:val="00FF0F14"/>
    <w:rsid w:val="00FF177B"/>
    <w:rsid w:val="00FF249C"/>
    <w:rsid w:val="00FF2551"/>
    <w:rsid w:val="00FF2EA1"/>
    <w:rsid w:val="00FF3129"/>
    <w:rsid w:val="00FF35F6"/>
    <w:rsid w:val="00FF570D"/>
    <w:rsid w:val="00FF5C39"/>
    <w:rsid w:val="00FF5D67"/>
    <w:rsid w:val="00FF6321"/>
    <w:rsid w:val="00FF6436"/>
    <w:rsid w:val="00FF6971"/>
    <w:rsid w:val="00FF7622"/>
    <w:rsid w:val="010D0EED"/>
    <w:rsid w:val="01706CE5"/>
    <w:rsid w:val="017D4E82"/>
    <w:rsid w:val="01952065"/>
    <w:rsid w:val="01EC763F"/>
    <w:rsid w:val="01F571E8"/>
    <w:rsid w:val="020A2568"/>
    <w:rsid w:val="02533604"/>
    <w:rsid w:val="02536DE0"/>
    <w:rsid w:val="027B4247"/>
    <w:rsid w:val="02AD726B"/>
    <w:rsid w:val="02E0504F"/>
    <w:rsid w:val="02E97045"/>
    <w:rsid w:val="02FB6E41"/>
    <w:rsid w:val="03293894"/>
    <w:rsid w:val="034F7B47"/>
    <w:rsid w:val="038B1B64"/>
    <w:rsid w:val="039C2178"/>
    <w:rsid w:val="03D16ADB"/>
    <w:rsid w:val="03FB06D5"/>
    <w:rsid w:val="040C25C7"/>
    <w:rsid w:val="041C0829"/>
    <w:rsid w:val="042B7D2B"/>
    <w:rsid w:val="046C3066"/>
    <w:rsid w:val="047247B8"/>
    <w:rsid w:val="047800DA"/>
    <w:rsid w:val="047A1299"/>
    <w:rsid w:val="048B07CE"/>
    <w:rsid w:val="048C647E"/>
    <w:rsid w:val="04900698"/>
    <w:rsid w:val="04B3383C"/>
    <w:rsid w:val="051E3797"/>
    <w:rsid w:val="052A0A6C"/>
    <w:rsid w:val="05543300"/>
    <w:rsid w:val="0588583D"/>
    <w:rsid w:val="058F6665"/>
    <w:rsid w:val="05912190"/>
    <w:rsid w:val="05A84572"/>
    <w:rsid w:val="05C3373A"/>
    <w:rsid w:val="05E02373"/>
    <w:rsid w:val="06025F42"/>
    <w:rsid w:val="06672AB4"/>
    <w:rsid w:val="066E73F7"/>
    <w:rsid w:val="0671124A"/>
    <w:rsid w:val="067A0F56"/>
    <w:rsid w:val="06956744"/>
    <w:rsid w:val="06C0785B"/>
    <w:rsid w:val="06C73684"/>
    <w:rsid w:val="072F05A2"/>
    <w:rsid w:val="0739742B"/>
    <w:rsid w:val="073A04FC"/>
    <w:rsid w:val="07630A17"/>
    <w:rsid w:val="0772543B"/>
    <w:rsid w:val="077305E3"/>
    <w:rsid w:val="07742356"/>
    <w:rsid w:val="077B74C8"/>
    <w:rsid w:val="07946224"/>
    <w:rsid w:val="079F4F94"/>
    <w:rsid w:val="07CD0531"/>
    <w:rsid w:val="07ED1622"/>
    <w:rsid w:val="07EE29EB"/>
    <w:rsid w:val="0830576A"/>
    <w:rsid w:val="08333484"/>
    <w:rsid w:val="087644C0"/>
    <w:rsid w:val="08A22C72"/>
    <w:rsid w:val="08BD45F0"/>
    <w:rsid w:val="08BF75D4"/>
    <w:rsid w:val="08DB13C8"/>
    <w:rsid w:val="08F34712"/>
    <w:rsid w:val="09142F77"/>
    <w:rsid w:val="09242161"/>
    <w:rsid w:val="094817DD"/>
    <w:rsid w:val="095F13EB"/>
    <w:rsid w:val="09D355F1"/>
    <w:rsid w:val="09F81BD4"/>
    <w:rsid w:val="0A2F345D"/>
    <w:rsid w:val="0A4E3955"/>
    <w:rsid w:val="0A6B58FF"/>
    <w:rsid w:val="0A6C7F72"/>
    <w:rsid w:val="0A955578"/>
    <w:rsid w:val="0AC851C3"/>
    <w:rsid w:val="0AE63257"/>
    <w:rsid w:val="0AE85B40"/>
    <w:rsid w:val="0B003A80"/>
    <w:rsid w:val="0B046856"/>
    <w:rsid w:val="0B0B0614"/>
    <w:rsid w:val="0B242CDB"/>
    <w:rsid w:val="0B2D534F"/>
    <w:rsid w:val="0B7F0A24"/>
    <w:rsid w:val="0B956D65"/>
    <w:rsid w:val="0BA12A18"/>
    <w:rsid w:val="0BC32105"/>
    <w:rsid w:val="0BF12592"/>
    <w:rsid w:val="0BF64B87"/>
    <w:rsid w:val="0C0F1A09"/>
    <w:rsid w:val="0C1064F1"/>
    <w:rsid w:val="0C342AEB"/>
    <w:rsid w:val="0C7809C1"/>
    <w:rsid w:val="0C802078"/>
    <w:rsid w:val="0C8D2CB0"/>
    <w:rsid w:val="0D4B70A1"/>
    <w:rsid w:val="0DB02C02"/>
    <w:rsid w:val="0DCB34F3"/>
    <w:rsid w:val="0E2415A7"/>
    <w:rsid w:val="0E2A1B2E"/>
    <w:rsid w:val="0E5232CD"/>
    <w:rsid w:val="0E96024B"/>
    <w:rsid w:val="0EC2214E"/>
    <w:rsid w:val="0EFA7FD6"/>
    <w:rsid w:val="0EFF0EF9"/>
    <w:rsid w:val="0F2173AF"/>
    <w:rsid w:val="0F2F0704"/>
    <w:rsid w:val="0F4F5385"/>
    <w:rsid w:val="0F8524AA"/>
    <w:rsid w:val="0FB00A02"/>
    <w:rsid w:val="0FD816D7"/>
    <w:rsid w:val="0FDE57BE"/>
    <w:rsid w:val="10087A14"/>
    <w:rsid w:val="100F2699"/>
    <w:rsid w:val="105A4CC5"/>
    <w:rsid w:val="106459F2"/>
    <w:rsid w:val="10822308"/>
    <w:rsid w:val="10885528"/>
    <w:rsid w:val="10D4508F"/>
    <w:rsid w:val="10F9224F"/>
    <w:rsid w:val="110D7D00"/>
    <w:rsid w:val="11402131"/>
    <w:rsid w:val="11582633"/>
    <w:rsid w:val="115F4907"/>
    <w:rsid w:val="11892B2A"/>
    <w:rsid w:val="11925EE2"/>
    <w:rsid w:val="11D27507"/>
    <w:rsid w:val="11DB27C0"/>
    <w:rsid w:val="12424ABC"/>
    <w:rsid w:val="126D6927"/>
    <w:rsid w:val="12884A97"/>
    <w:rsid w:val="12EF0175"/>
    <w:rsid w:val="13203999"/>
    <w:rsid w:val="133C77EF"/>
    <w:rsid w:val="1355169E"/>
    <w:rsid w:val="136F29FD"/>
    <w:rsid w:val="13806529"/>
    <w:rsid w:val="13C76CBC"/>
    <w:rsid w:val="13F00BCF"/>
    <w:rsid w:val="149D597E"/>
    <w:rsid w:val="14B15C09"/>
    <w:rsid w:val="14CA62B8"/>
    <w:rsid w:val="15400233"/>
    <w:rsid w:val="159254CD"/>
    <w:rsid w:val="15A649C0"/>
    <w:rsid w:val="1625569B"/>
    <w:rsid w:val="16891017"/>
    <w:rsid w:val="174940E7"/>
    <w:rsid w:val="176F3776"/>
    <w:rsid w:val="1779617B"/>
    <w:rsid w:val="17A66650"/>
    <w:rsid w:val="17AF7748"/>
    <w:rsid w:val="17EA48C1"/>
    <w:rsid w:val="18125262"/>
    <w:rsid w:val="181D660E"/>
    <w:rsid w:val="18260A5D"/>
    <w:rsid w:val="183126A1"/>
    <w:rsid w:val="186236F6"/>
    <w:rsid w:val="188F2709"/>
    <w:rsid w:val="18A0023E"/>
    <w:rsid w:val="18E4377B"/>
    <w:rsid w:val="18E84F59"/>
    <w:rsid w:val="19262DDE"/>
    <w:rsid w:val="19926BDB"/>
    <w:rsid w:val="19A53651"/>
    <w:rsid w:val="19D67B1E"/>
    <w:rsid w:val="1A0262D4"/>
    <w:rsid w:val="1A0A32B6"/>
    <w:rsid w:val="1A2C2DF6"/>
    <w:rsid w:val="1A3E70E5"/>
    <w:rsid w:val="1A3F6ABB"/>
    <w:rsid w:val="1A8E429F"/>
    <w:rsid w:val="1A992762"/>
    <w:rsid w:val="1AAE2171"/>
    <w:rsid w:val="1ACC14B7"/>
    <w:rsid w:val="1AE46896"/>
    <w:rsid w:val="1B180960"/>
    <w:rsid w:val="1B2B372B"/>
    <w:rsid w:val="1B521662"/>
    <w:rsid w:val="1B5468D6"/>
    <w:rsid w:val="1B5E06D3"/>
    <w:rsid w:val="1B5E62E3"/>
    <w:rsid w:val="1B8A18C6"/>
    <w:rsid w:val="1B8F3DB2"/>
    <w:rsid w:val="1C07796A"/>
    <w:rsid w:val="1C077DEC"/>
    <w:rsid w:val="1C2C0A88"/>
    <w:rsid w:val="1C620459"/>
    <w:rsid w:val="1C7C688E"/>
    <w:rsid w:val="1C89118E"/>
    <w:rsid w:val="1C9B1BC8"/>
    <w:rsid w:val="1CC655B2"/>
    <w:rsid w:val="1D031EEC"/>
    <w:rsid w:val="1D592E17"/>
    <w:rsid w:val="1D7F7F33"/>
    <w:rsid w:val="1D8252B3"/>
    <w:rsid w:val="1D9A25F0"/>
    <w:rsid w:val="1DC00253"/>
    <w:rsid w:val="1DC04018"/>
    <w:rsid w:val="1DC331F4"/>
    <w:rsid w:val="1DC342D1"/>
    <w:rsid w:val="1DC81231"/>
    <w:rsid w:val="1E370641"/>
    <w:rsid w:val="1E6B2A02"/>
    <w:rsid w:val="1E8E78CB"/>
    <w:rsid w:val="1E9B53A3"/>
    <w:rsid w:val="1EBB7133"/>
    <w:rsid w:val="1EE41783"/>
    <w:rsid w:val="1EE6705F"/>
    <w:rsid w:val="1EF95F2E"/>
    <w:rsid w:val="1F0C2297"/>
    <w:rsid w:val="1FC258F7"/>
    <w:rsid w:val="1FD004F5"/>
    <w:rsid w:val="1FFB655A"/>
    <w:rsid w:val="20A36B2B"/>
    <w:rsid w:val="20C20786"/>
    <w:rsid w:val="20C5550D"/>
    <w:rsid w:val="21035785"/>
    <w:rsid w:val="211706DE"/>
    <w:rsid w:val="211A2E14"/>
    <w:rsid w:val="212759A4"/>
    <w:rsid w:val="213211E0"/>
    <w:rsid w:val="217D6A49"/>
    <w:rsid w:val="21B00F41"/>
    <w:rsid w:val="21B24356"/>
    <w:rsid w:val="21D05464"/>
    <w:rsid w:val="21E22350"/>
    <w:rsid w:val="225B4DD7"/>
    <w:rsid w:val="225D0E75"/>
    <w:rsid w:val="22CB7612"/>
    <w:rsid w:val="22E9024C"/>
    <w:rsid w:val="22F7694C"/>
    <w:rsid w:val="23007C77"/>
    <w:rsid w:val="231F71F0"/>
    <w:rsid w:val="23A93C6E"/>
    <w:rsid w:val="23AB72AF"/>
    <w:rsid w:val="23B774C0"/>
    <w:rsid w:val="23B95E70"/>
    <w:rsid w:val="23C72634"/>
    <w:rsid w:val="23DD4A4D"/>
    <w:rsid w:val="243472A5"/>
    <w:rsid w:val="2471543A"/>
    <w:rsid w:val="24820578"/>
    <w:rsid w:val="24D5546C"/>
    <w:rsid w:val="250E7893"/>
    <w:rsid w:val="25315652"/>
    <w:rsid w:val="2562595B"/>
    <w:rsid w:val="259014BB"/>
    <w:rsid w:val="259D692C"/>
    <w:rsid w:val="259E4E53"/>
    <w:rsid w:val="25A14E0E"/>
    <w:rsid w:val="25F00525"/>
    <w:rsid w:val="260236E8"/>
    <w:rsid w:val="26092131"/>
    <w:rsid w:val="260C7B08"/>
    <w:rsid w:val="2620295D"/>
    <w:rsid w:val="26451C3D"/>
    <w:rsid w:val="26606A77"/>
    <w:rsid w:val="266101D1"/>
    <w:rsid w:val="26A2327A"/>
    <w:rsid w:val="26B93F81"/>
    <w:rsid w:val="26D24959"/>
    <w:rsid w:val="270B153F"/>
    <w:rsid w:val="271F620B"/>
    <w:rsid w:val="272B2C33"/>
    <w:rsid w:val="27333959"/>
    <w:rsid w:val="276C60B6"/>
    <w:rsid w:val="278E1A78"/>
    <w:rsid w:val="27B309A7"/>
    <w:rsid w:val="27F77073"/>
    <w:rsid w:val="27FC62C5"/>
    <w:rsid w:val="280F2F83"/>
    <w:rsid w:val="281229C6"/>
    <w:rsid w:val="28BF5303"/>
    <w:rsid w:val="28FC2CEB"/>
    <w:rsid w:val="291E1CBB"/>
    <w:rsid w:val="29237C3D"/>
    <w:rsid w:val="296E0E1B"/>
    <w:rsid w:val="29915D4B"/>
    <w:rsid w:val="29A06768"/>
    <w:rsid w:val="29AC3D11"/>
    <w:rsid w:val="29ED763E"/>
    <w:rsid w:val="2A092AB2"/>
    <w:rsid w:val="2A13795C"/>
    <w:rsid w:val="2A1B7F2E"/>
    <w:rsid w:val="2A230FC8"/>
    <w:rsid w:val="2A7E2845"/>
    <w:rsid w:val="2AB82C0C"/>
    <w:rsid w:val="2AEA2DB3"/>
    <w:rsid w:val="2B434959"/>
    <w:rsid w:val="2B4F0916"/>
    <w:rsid w:val="2B610965"/>
    <w:rsid w:val="2BA34846"/>
    <w:rsid w:val="2BAA7BDB"/>
    <w:rsid w:val="2BBD0804"/>
    <w:rsid w:val="2BDA5864"/>
    <w:rsid w:val="2BEA4FF3"/>
    <w:rsid w:val="2BF043F9"/>
    <w:rsid w:val="2C37731C"/>
    <w:rsid w:val="2C982A9C"/>
    <w:rsid w:val="2CC17B44"/>
    <w:rsid w:val="2CC82C3F"/>
    <w:rsid w:val="2CD350C5"/>
    <w:rsid w:val="2CE24ED2"/>
    <w:rsid w:val="2CEB696E"/>
    <w:rsid w:val="2D154FFC"/>
    <w:rsid w:val="2D561047"/>
    <w:rsid w:val="2D844A9C"/>
    <w:rsid w:val="2E042405"/>
    <w:rsid w:val="2E1840AC"/>
    <w:rsid w:val="2E2547BF"/>
    <w:rsid w:val="2E2B3B08"/>
    <w:rsid w:val="2E476DAA"/>
    <w:rsid w:val="2EEF27BB"/>
    <w:rsid w:val="2F025943"/>
    <w:rsid w:val="2F164BAE"/>
    <w:rsid w:val="2F2274D7"/>
    <w:rsid w:val="2F2B399A"/>
    <w:rsid w:val="2F307202"/>
    <w:rsid w:val="2F31763B"/>
    <w:rsid w:val="2F37683A"/>
    <w:rsid w:val="2F4179D4"/>
    <w:rsid w:val="2F5B26D1"/>
    <w:rsid w:val="2F7E4342"/>
    <w:rsid w:val="2F840842"/>
    <w:rsid w:val="2F8B6B73"/>
    <w:rsid w:val="2FCF4325"/>
    <w:rsid w:val="2FE37946"/>
    <w:rsid w:val="2FF56379"/>
    <w:rsid w:val="30471983"/>
    <w:rsid w:val="30B35000"/>
    <w:rsid w:val="30B73737"/>
    <w:rsid w:val="31586592"/>
    <w:rsid w:val="31682E2F"/>
    <w:rsid w:val="31717DAC"/>
    <w:rsid w:val="317B5184"/>
    <w:rsid w:val="31902BB3"/>
    <w:rsid w:val="319E7EA7"/>
    <w:rsid w:val="31D125D7"/>
    <w:rsid w:val="31EC6F34"/>
    <w:rsid w:val="31EE26C8"/>
    <w:rsid w:val="324E52CD"/>
    <w:rsid w:val="32711EA5"/>
    <w:rsid w:val="32947823"/>
    <w:rsid w:val="32C12352"/>
    <w:rsid w:val="32C27831"/>
    <w:rsid w:val="32C7765E"/>
    <w:rsid w:val="32CA2532"/>
    <w:rsid w:val="33061D29"/>
    <w:rsid w:val="33395DB4"/>
    <w:rsid w:val="33595FB4"/>
    <w:rsid w:val="335E7A74"/>
    <w:rsid w:val="33944B12"/>
    <w:rsid w:val="33B96C4E"/>
    <w:rsid w:val="33EB3CEE"/>
    <w:rsid w:val="34790D04"/>
    <w:rsid w:val="349956FA"/>
    <w:rsid w:val="34A264AC"/>
    <w:rsid w:val="34C9605D"/>
    <w:rsid w:val="34E62B84"/>
    <w:rsid w:val="34F767F8"/>
    <w:rsid w:val="34F97748"/>
    <w:rsid w:val="350902DA"/>
    <w:rsid w:val="351A2CD1"/>
    <w:rsid w:val="3525006A"/>
    <w:rsid w:val="35340579"/>
    <w:rsid w:val="358D1A28"/>
    <w:rsid w:val="35CA7CE2"/>
    <w:rsid w:val="35E55A2D"/>
    <w:rsid w:val="35E5753E"/>
    <w:rsid w:val="360D66E0"/>
    <w:rsid w:val="361E4FF8"/>
    <w:rsid w:val="36832CEE"/>
    <w:rsid w:val="369909E6"/>
    <w:rsid w:val="369B6B2C"/>
    <w:rsid w:val="36B42DB5"/>
    <w:rsid w:val="36CF5EDD"/>
    <w:rsid w:val="36D017E6"/>
    <w:rsid w:val="36D74020"/>
    <w:rsid w:val="36F16679"/>
    <w:rsid w:val="36F529A6"/>
    <w:rsid w:val="372D1965"/>
    <w:rsid w:val="373F00B9"/>
    <w:rsid w:val="373F1D5C"/>
    <w:rsid w:val="379A1D0E"/>
    <w:rsid w:val="37C311D4"/>
    <w:rsid w:val="386634BA"/>
    <w:rsid w:val="38E32BC3"/>
    <w:rsid w:val="38E47FBA"/>
    <w:rsid w:val="394A2C6F"/>
    <w:rsid w:val="39614A02"/>
    <w:rsid w:val="398868F2"/>
    <w:rsid w:val="39902A70"/>
    <w:rsid w:val="39B21B41"/>
    <w:rsid w:val="3A103670"/>
    <w:rsid w:val="3A2D4D5A"/>
    <w:rsid w:val="3A355E0A"/>
    <w:rsid w:val="3AB73588"/>
    <w:rsid w:val="3ABF338F"/>
    <w:rsid w:val="3AC2604B"/>
    <w:rsid w:val="3B11419E"/>
    <w:rsid w:val="3B4170E9"/>
    <w:rsid w:val="3B63495E"/>
    <w:rsid w:val="3B810333"/>
    <w:rsid w:val="3BA3633E"/>
    <w:rsid w:val="3BBE1F89"/>
    <w:rsid w:val="3BDC09BD"/>
    <w:rsid w:val="3BEA2D70"/>
    <w:rsid w:val="3C3252F1"/>
    <w:rsid w:val="3CB21F64"/>
    <w:rsid w:val="3CF70F8C"/>
    <w:rsid w:val="3CFA5B48"/>
    <w:rsid w:val="3D0918C3"/>
    <w:rsid w:val="3D106DE6"/>
    <w:rsid w:val="3D28290D"/>
    <w:rsid w:val="3D2A55CE"/>
    <w:rsid w:val="3D341ED3"/>
    <w:rsid w:val="3D641EA4"/>
    <w:rsid w:val="3D864947"/>
    <w:rsid w:val="3DE60FB3"/>
    <w:rsid w:val="3DF003BF"/>
    <w:rsid w:val="3E151A8D"/>
    <w:rsid w:val="3E4774C5"/>
    <w:rsid w:val="3E4C73DB"/>
    <w:rsid w:val="3E8657AB"/>
    <w:rsid w:val="3EB20DE5"/>
    <w:rsid w:val="3ECB6600"/>
    <w:rsid w:val="3EDD37D0"/>
    <w:rsid w:val="3EF6717C"/>
    <w:rsid w:val="3EF83AA8"/>
    <w:rsid w:val="3F1528DD"/>
    <w:rsid w:val="3F666F4D"/>
    <w:rsid w:val="3F770F61"/>
    <w:rsid w:val="3F805B03"/>
    <w:rsid w:val="3F86311C"/>
    <w:rsid w:val="3F9601F7"/>
    <w:rsid w:val="3FFB0933"/>
    <w:rsid w:val="400B13AA"/>
    <w:rsid w:val="40521072"/>
    <w:rsid w:val="4068152D"/>
    <w:rsid w:val="40A94A6E"/>
    <w:rsid w:val="40AB536A"/>
    <w:rsid w:val="40B24981"/>
    <w:rsid w:val="40B359E2"/>
    <w:rsid w:val="40E2756E"/>
    <w:rsid w:val="41053676"/>
    <w:rsid w:val="41071350"/>
    <w:rsid w:val="41147851"/>
    <w:rsid w:val="41650F9C"/>
    <w:rsid w:val="41BE1E48"/>
    <w:rsid w:val="41C924A4"/>
    <w:rsid w:val="42285BF9"/>
    <w:rsid w:val="424741EF"/>
    <w:rsid w:val="426C0506"/>
    <w:rsid w:val="42864D18"/>
    <w:rsid w:val="42A23AF3"/>
    <w:rsid w:val="42DA32B5"/>
    <w:rsid w:val="42E3660E"/>
    <w:rsid w:val="43034564"/>
    <w:rsid w:val="431A3B1E"/>
    <w:rsid w:val="43232629"/>
    <w:rsid w:val="432622C2"/>
    <w:rsid w:val="433E1A75"/>
    <w:rsid w:val="43644634"/>
    <w:rsid w:val="43B74E0A"/>
    <w:rsid w:val="43BF2E32"/>
    <w:rsid w:val="44107CA2"/>
    <w:rsid w:val="445F5853"/>
    <w:rsid w:val="446A6915"/>
    <w:rsid w:val="44B81D02"/>
    <w:rsid w:val="44BB0F84"/>
    <w:rsid w:val="44CB77F9"/>
    <w:rsid w:val="44E1643E"/>
    <w:rsid w:val="456D3FD7"/>
    <w:rsid w:val="45927D96"/>
    <w:rsid w:val="462F300C"/>
    <w:rsid w:val="464E518F"/>
    <w:rsid w:val="46546D0C"/>
    <w:rsid w:val="46A00063"/>
    <w:rsid w:val="46E36DD6"/>
    <w:rsid w:val="46F36FE5"/>
    <w:rsid w:val="46F71BE3"/>
    <w:rsid w:val="473633E5"/>
    <w:rsid w:val="473F25AD"/>
    <w:rsid w:val="476405ED"/>
    <w:rsid w:val="47D046A0"/>
    <w:rsid w:val="47FE2C92"/>
    <w:rsid w:val="480C5B3E"/>
    <w:rsid w:val="4843064A"/>
    <w:rsid w:val="487E46E3"/>
    <w:rsid w:val="48931F3C"/>
    <w:rsid w:val="48A1683F"/>
    <w:rsid w:val="48AE30B0"/>
    <w:rsid w:val="48BA6304"/>
    <w:rsid w:val="48D0084D"/>
    <w:rsid w:val="48DB1300"/>
    <w:rsid w:val="48E7655B"/>
    <w:rsid w:val="48F86243"/>
    <w:rsid w:val="490042BB"/>
    <w:rsid w:val="493672C5"/>
    <w:rsid w:val="49575649"/>
    <w:rsid w:val="496164DE"/>
    <w:rsid w:val="497A36FB"/>
    <w:rsid w:val="49E22908"/>
    <w:rsid w:val="49E97627"/>
    <w:rsid w:val="49FA594B"/>
    <w:rsid w:val="4A123335"/>
    <w:rsid w:val="4A2D02AF"/>
    <w:rsid w:val="4A4C5C23"/>
    <w:rsid w:val="4A5766B7"/>
    <w:rsid w:val="4A650B6C"/>
    <w:rsid w:val="4A9C0119"/>
    <w:rsid w:val="4AA46DC9"/>
    <w:rsid w:val="4AC5391D"/>
    <w:rsid w:val="4B0A4964"/>
    <w:rsid w:val="4B8D5369"/>
    <w:rsid w:val="4BA50FDD"/>
    <w:rsid w:val="4BBC5949"/>
    <w:rsid w:val="4BC304BF"/>
    <w:rsid w:val="4BD31F09"/>
    <w:rsid w:val="4BF61B64"/>
    <w:rsid w:val="4C17320C"/>
    <w:rsid w:val="4C4F7585"/>
    <w:rsid w:val="4C7D7030"/>
    <w:rsid w:val="4CA16AF0"/>
    <w:rsid w:val="4D02238D"/>
    <w:rsid w:val="4D186CB8"/>
    <w:rsid w:val="4D615F5E"/>
    <w:rsid w:val="4D723AD2"/>
    <w:rsid w:val="4DAC3B80"/>
    <w:rsid w:val="4DB92B07"/>
    <w:rsid w:val="4E67358A"/>
    <w:rsid w:val="4E673E80"/>
    <w:rsid w:val="4E794A60"/>
    <w:rsid w:val="4EA53D98"/>
    <w:rsid w:val="4EAC070E"/>
    <w:rsid w:val="4EBE7F2F"/>
    <w:rsid w:val="4EC54E1A"/>
    <w:rsid w:val="4EDB7CCA"/>
    <w:rsid w:val="4EF311A0"/>
    <w:rsid w:val="4EF55292"/>
    <w:rsid w:val="4F7964B4"/>
    <w:rsid w:val="4F837F80"/>
    <w:rsid w:val="4F8C3119"/>
    <w:rsid w:val="4FA82B01"/>
    <w:rsid w:val="4FCE3F01"/>
    <w:rsid w:val="5063719B"/>
    <w:rsid w:val="51185ECD"/>
    <w:rsid w:val="51363D34"/>
    <w:rsid w:val="518E5997"/>
    <w:rsid w:val="51AE5717"/>
    <w:rsid w:val="51DE3A51"/>
    <w:rsid w:val="51E37EDE"/>
    <w:rsid w:val="52053883"/>
    <w:rsid w:val="52067D47"/>
    <w:rsid w:val="52245B52"/>
    <w:rsid w:val="52627DAB"/>
    <w:rsid w:val="52AB5A6C"/>
    <w:rsid w:val="52AF3FDC"/>
    <w:rsid w:val="52B22800"/>
    <w:rsid w:val="53287732"/>
    <w:rsid w:val="532D6FDE"/>
    <w:rsid w:val="53530C46"/>
    <w:rsid w:val="535E58BA"/>
    <w:rsid w:val="53796D11"/>
    <w:rsid w:val="5404426B"/>
    <w:rsid w:val="54314B77"/>
    <w:rsid w:val="54606774"/>
    <w:rsid w:val="547406A5"/>
    <w:rsid w:val="549A0A01"/>
    <w:rsid w:val="54A23E3E"/>
    <w:rsid w:val="54C04B5C"/>
    <w:rsid w:val="54CA0AEC"/>
    <w:rsid w:val="54CB1B54"/>
    <w:rsid w:val="54DA1928"/>
    <w:rsid w:val="54E34211"/>
    <w:rsid w:val="54E43721"/>
    <w:rsid w:val="550056D5"/>
    <w:rsid w:val="55085EBF"/>
    <w:rsid w:val="550E5AAF"/>
    <w:rsid w:val="55546059"/>
    <w:rsid w:val="556A437B"/>
    <w:rsid w:val="55860D1D"/>
    <w:rsid w:val="55B44621"/>
    <w:rsid w:val="55C961F3"/>
    <w:rsid w:val="55D930C2"/>
    <w:rsid w:val="55EB5059"/>
    <w:rsid w:val="5604091D"/>
    <w:rsid w:val="562E70CC"/>
    <w:rsid w:val="5642104F"/>
    <w:rsid w:val="565808BB"/>
    <w:rsid w:val="56863DD8"/>
    <w:rsid w:val="569C35C6"/>
    <w:rsid w:val="56B2378D"/>
    <w:rsid w:val="56D17DA5"/>
    <w:rsid w:val="56D74F31"/>
    <w:rsid w:val="56F269C8"/>
    <w:rsid w:val="56F527C6"/>
    <w:rsid w:val="56FC54E3"/>
    <w:rsid w:val="57004F6A"/>
    <w:rsid w:val="572E685B"/>
    <w:rsid w:val="57462B47"/>
    <w:rsid w:val="575107C2"/>
    <w:rsid w:val="577473DD"/>
    <w:rsid w:val="57CE0279"/>
    <w:rsid w:val="580746F5"/>
    <w:rsid w:val="5823743A"/>
    <w:rsid w:val="587D13BE"/>
    <w:rsid w:val="589658F5"/>
    <w:rsid w:val="58AA653C"/>
    <w:rsid w:val="590C471C"/>
    <w:rsid w:val="591704A7"/>
    <w:rsid w:val="59267C9B"/>
    <w:rsid w:val="59403FDE"/>
    <w:rsid w:val="59527BF2"/>
    <w:rsid w:val="5982357C"/>
    <w:rsid w:val="59CD36FE"/>
    <w:rsid w:val="5A2173F8"/>
    <w:rsid w:val="5A287F81"/>
    <w:rsid w:val="5A403EEE"/>
    <w:rsid w:val="5A661AA0"/>
    <w:rsid w:val="5A7D1893"/>
    <w:rsid w:val="5A891AA2"/>
    <w:rsid w:val="5A8B3C1A"/>
    <w:rsid w:val="5A9009D2"/>
    <w:rsid w:val="5ABC4B43"/>
    <w:rsid w:val="5AD9194A"/>
    <w:rsid w:val="5AF65560"/>
    <w:rsid w:val="5B0220F0"/>
    <w:rsid w:val="5B0F0899"/>
    <w:rsid w:val="5B3F5D2B"/>
    <w:rsid w:val="5B42534C"/>
    <w:rsid w:val="5B5E473B"/>
    <w:rsid w:val="5B6017F8"/>
    <w:rsid w:val="5B827E4D"/>
    <w:rsid w:val="5BAC34CB"/>
    <w:rsid w:val="5BDD3772"/>
    <w:rsid w:val="5C0A0D18"/>
    <w:rsid w:val="5C0B05D4"/>
    <w:rsid w:val="5C4315F4"/>
    <w:rsid w:val="5C5306E7"/>
    <w:rsid w:val="5C8E2CEF"/>
    <w:rsid w:val="5CC04E72"/>
    <w:rsid w:val="5D0D4F53"/>
    <w:rsid w:val="5D125145"/>
    <w:rsid w:val="5D407711"/>
    <w:rsid w:val="5D431218"/>
    <w:rsid w:val="5D4361AE"/>
    <w:rsid w:val="5D5D7BF4"/>
    <w:rsid w:val="5D7B1BDE"/>
    <w:rsid w:val="5DC668BA"/>
    <w:rsid w:val="5DE022C2"/>
    <w:rsid w:val="5DFA4633"/>
    <w:rsid w:val="5E0970D0"/>
    <w:rsid w:val="5E310C65"/>
    <w:rsid w:val="5E417AF5"/>
    <w:rsid w:val="5E97115D"/>
    <w:rsid w:val="5EAC3CD0"/>
    <w:rsid w:val="5EAD1237"/>
    <w:rsid w:val="5EAE2BF3"/>
    <w:rsid w:val="5F025EF8"/>
    <w:rsid w:val="5F272A1F"/>
    <w:rsid w:val="5F285AE4"/>
    <w:rsid w:val="5F4000B7"/>
    <w:rsid w:val="5F540D28"/>
    <w:rsid w:val="5F64400A"/>
    <w:rsid w:val="5F863DB2"/>
    <w:rsid w:val="5FCF64D2"/>
    <w:rsid w:val="5FF655F4"/>
    <w:rsid w:val="60151FA0"/>
    <w:rsid w:val="60271383"/>
    <w:rsid w:val="60356190"/>
    <w:rsid w:val="609A348E"/>
    <w:rsid w:val="60A34BEF"/>
    <w:rsid w:val="60E6759D"/>
    <w:rsid w:val="60E756A4"/>
    <w:rsid w:val="611E6231"/>
    <w:rsid w:val="61504A17"/>
    <w:rsid w:val="618F72C8"/>
    <w:rsid w:val="61B8623F"/>
    <w:rsid w:val="61C53B34"/>
    <w:rsid w:val="61C84CE1"/>
    <w:rsid w:val="61CA3672"/>
    <w:rsid w:val="61DA71B8"/>
    <w:rsid w:val="61F01F68"/>
    <w:rsid w:val="620351F4"/>
    <w:rsid w:val="62251304"/>
    <w:rsid w:val="62571703"/>
    <w:rsid w:val="625C3410"/>
    <w:rsid w:val="625E3163"/>
    <w:rsid w:val="62730DB2"/>
    <w:rsid w:val="6282096A"/>
    <w:rsid w:val="629934BE"/>
    <w:rsid w:val="62B20F47"/>
    <w:rsid w:val="62E02B96"/>
    <w:rsid w:val="631101D6"/>
    <w:rsid w:val="63154F43"/>
    <w:rsid w:val="631B3A5C"/>
    <w:rsid w:val="633324B2"/>
    <w:rsid w:val="63412E48"/>
    <w:rsid w:val="63446B35"/>
    <w:rsid w:val="63485CA1"/>
    <w:rsid w:val="63EC593F"/>
    <w:rsid w:val="63F57B4F"/>
    <w:rsid w:val="641964BA"/>
    <w:rsid w:val="644E1EF3"/>
    <w:rsid w:val="6460515C"/>
    <w:rsid w:val="646D4A3B"/>
    <w:rsid w:val="646D5A4C"/>
    <w:rsid w:val="64982FEE"/>
    <w:rsid w:val="64AA535B"/>
    <w:rsid w:val="64CC36B8"/>
    <w:rsid w:val="64CD0F1E"/>
    <w:rsid w:val="64DF0709"/>
    <w:rsid w:val="64F14C5C"/>
    <w:rsid w:val="65393A14"/>
    <w:rsid w:val="654939E3"/>
    <w:rsid w:val="65A10193"/>
    <w:rsid w:val="65A51182"/>
    <w:rsid w:val="65A71329"/>
    <w:rsid w:val="65A82464"/>
    <w:rsid w:val="65CC201A"/>
    <w:rsid w:val="65CE15A3"/>
    <w:rsid w:val="65E15EAB"/>
    <w:rsid w:val="667F6485"/>
    <w:rsid w:val="66925F37"/>
    <w:rsid w:val="669E7FD2"/>
    <w:rsid w:val="66A41DB2"/>
    <w:rsid w:val="66C13E17"/>
    <w:rsid w:val="671D183F"/>
    <w:rsid w:val="673A6C84"/>
    <w:rsid w:val="675039C2"/>
    <w:rsid w:val="675C748D"/>
    <w:rsid w:val="677D63AA"/>
    <w:rsid w:val="67A221E2"/>
    <w:rsid w:val="67C613F8"/>
    <w:rsid w:val="67E07A2E"/>
    <w:rsid w:val="67E53A0B"/>
    <w:rsid w:val="67E53CC9"/>
    <w:rsid w:val="68343C19"/>
    <w:rsid w:val="683E3EC0"/>
    <w:rsid w:val="68984716"/>
    <w:rsid w:val="68A77392"/>
    <w:rsid w:val="68C8106D"/>
    <w:rsid w:val="68CD2463"/>
    <w:rsid w:val="69181E0E"/>
    <w:rsid w:val="692A0788"/>
    <w:rsid w:val="69A611D1"/>
    <w:rsid w:val="69AA7906"/>
    <w:rsid w:val="69C13FB1"/>
    <w:rsid w:val="69D32689"/>
    <w:rsid w:val="6A02723D"/>
    <w:rsid w:val="6A1A2C07"/>
    <w:rsid w:val="6A550ADB"/>
    <w:rsid w:val="6A6A6FEF"/>
    <w:rsid w:val="6A721EA2"/>
    <w:rsid w:val="6A72582C"/>
    <w:rsid w:val="6A971374"/>
    <w:rsid w:val="6A986B6B"/>
    <w:rsid w:val="6A9C1474"/>
    <w:rsid w:val="6AF61996"/>
    <w:rsid w:val="6AFA63AB"/>
    <w:rsid w:val="6B09556F"/>
    <w:rsid w:val="6B133719"/>
    <w:rsid w:val="6B480A05"/>
    <w:rsid w:val="6B787791"/>
    <w:rsid w:val="6B931CFA"/>
    <w:rsid w:val="6BCF68CE"/>
    <w:rsid w:val="6BD57B47"/>
    <w:rsid w:val="6C036E1B"/>
    <w:rsid w:val="6C1D3C14"/>
    <w:rsid w:val="6C26693C"/>
    <w:rsid w:val="6C2947E2"/>
    <w:rsid w:val="6C41372C"/>
    <w:rsid w:val="6C717175"/>
    <w:rsid w:val="6C731F01"/>
    <w:rsid w:val="6C74507C"/>
    <w:rsid w:val="6C965A8B"/>
    <w:rsid w:val="6CA64EF2"/>
    <w:rsid w:val="6CB966BB"/>
    <w:rsid w:val="6D255402"/>
    <w:rsid w:val="6D327BD5"/>
    <w:rsid w:val="6D330FD2"/>
    <w:rsid w:val="6D3B76F8"/>
    <w:rsid w:val="6D8E64E2"/>
    <w:rsid w:val="6D96759C"/>
    <w:rsid w:val="6DB67CFA"/>
    <w:rsid w:val="6DE634FC"/>
    <w:rsid w:val="6E047F7C"/>
    <w:rsid w:val="6E3D6C19"/>
    <w:rsid w:val="6E5F44EB"/>
    <w:rsid w:val="6EA02F2B"/>
    <w:rsid w:val="6EB428FB"/>
    <w:rsid w:val="6EC10D02"/>
    <w:rsid w:val="6EC60781"/>
    <w:rsid w:val="6EF00978"/>
    <w:rsid w:val="6EFB2530"/>
    <w:rsid w:val="6EFC09F4"/>
    <w:rsid w:val="6F345B1E"/>
    <w:rsid w:val="6FA678F9"/>
    <w:rsid w:val="6FB13AD0"/>
    <w:rsid w:val="6FB365D0"/>
    <w:rsid w:val="707346C3"/>
    <w:rsid w:val="709335B7"/>
    <w:rsid w:val="70A121C8"/>
    <w:rsid w:val="70B51CAF"/>
    <w:rsid w:val="71265794"/>
    <w:rsid w:val="713B0A7D"/>
    <w:rsid w:val="71473879"/>
    <w:rsid w:val="717626FF"/>
    <w:rsid w:val="717833F1"/>
    <w:rsid w:val="71BA1B0D"/>
    <w:rsid w:val="72517DDA"/>
    <w:rsid w:val="726273B2"/>
    <w:rsid w:val="726B5B54"/>
    <w:rsid w:val="72D86147"/>
    <w:rsid w:val="72DB02EA"/>
    <w:rsid w:val="72F515C7"/>
    <w:rsid w:val="72F83160"/>
    <w:rsid w:val="73375360"/>
    <w:rsid w:val="737950C7"/>
    <w:rsid w:val="73B8718A"/>
    <w:rsid w:val="73F723A6"/>
    <w:rsid w:val="74391C11"/>
    <w:rsid w:val="746D597A"/>
    <w:rsid w:val="74910C51"/>
    <w:rsid w:val="74B52B96"/>
    <w:rsid w:val="74BC4422"/>
    <w:rsid w:val="74C4154C"/>
    <w:rsid w:val="74FB012B"/>
    <w:rsid w:val="74FE30DA"/>
    <w:rsid w:val="75114C7B"/>
    <w:rsid w:val="751A2889"/>
    <w:rsid w:val="75392C21"/>
    <w:rsid w:val="754E0796"/>
    <w:rsid w:val="75C55928"/>
    <w:rsid w:val="76234F98"/>
    <w:rsid w:val="762A2BC3"/>
    <w:rsid w:val="766B7241"/>
    <w:rsid w:val="76D63599"/>
    <w:rsid w:val="76D73067"/>
    <w:rsid w:val="76F10854"/>
    <w:rsid w:val="7765512C"/>
    <w:rsid w:val="77D62127"/>
    <w:rsid w:val="780E2FC3"/>
    <w:rsid w:val="78242B02"/>
    <w:rsid w:val="78703D72"/>
    <w:rsid w:val="7891383F"/>
    <w:rsid w:val="790D6F0A"/>
    <w:rsid w:val="791671EF"/>
    <w:rsid w:val="793F73F3"/>
    <w:rsid w:val="79470A35"/>
    <w:rsid w:val="797057FE"/>
    <w:rsid w:val="79811B4C"/>
    <w:rsid w:val="79823D05"/>
    <w:rsid w:val="79C74202"/>
    <w:rsid w:val="79CB3376"/>
    <w:rsid w:val="79DA5CCE"/>
    <w:rsid w:val="79E5174F"/>
    <w:rsid w:val="79F47EB3"/>
    <w:rsid w:val="7A33417F"/>
    <w:rsid w:val="7A5E557F"/>
    <w:rsid w:val="7A6450FA"/>
    <w:rsid w:val="7A9244DF"/>
    <w:rsid w:val="7ABA5ECD"/>
    <w:rsid w:val="7B1A66B6"/>
    <w:rsid w:val="7B1D424B"/>
    <w:rsid w:val="7B42141C"/>
    <w:rsid w:val="7B464730"/>
    <w:rsid w:val="7B5E639C"/>
    <w:rsid w:val="7B6142DE"/>
    <w:rsid w:val="7B713AB0"/>
    <w:rsid w:val="7B7D695C"/>
    <w:rsid w:val="7B95154C"/>
    <w:rsid w:val="7BAC04D1"/>
    <w:rsid w:val="7BCC0FFC"/>
    <w:rsid w:val="7C2F7BF3"/>
    <w:rsid w:val="7C4B60AF"/>
    <w:rsid w:val="7C6D6A29"/>
    <w:rsid w:val="7CBE3A5A"/>
    <w:rsid w:val="7CC807F9"/>
    <w:rsid w:val="7D124E1E"/>
    <w:rsid w:val="7D3D5993"/>
    <w:rsid w:val="7DB80F80"/>
    <w:rsid w:val="7DF91C5C"/>
    <w:rsid w:val="7E5518FC"/>
    <w:rsid w:val="7EDC15C3"/>
    <w:rsid w:val="7F103931"/>
    <w:rsid w:val="7F217085"/>
    <w:rsid w:val="7F3120BC"/>
    <w:rsid w:val="7F7413D3"/>
    <w:rsid w:val="7FB35B3E"/>
    <w:rsid w:val="7FBF5C13"/>
    <w:rsid w:val="7FCD7345"/>
    <w:rsid w:val="7FFF6A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86"/>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91"/>
    <w:qFormat/>
    <w:uiPriority w:val="0"/>
    <w:pPr>
      <w:keepNext/>
      <w:keepLines/>
      <w:spacing w:before="260" w:after="260" w:line="416" w:lineRule="auto"/>
      <w:outlineLvl w:val="1"/>
    </w:pPr>
    <w:rPr>
      <w:rFonts w:ascii="Cambria" w:hAnsi="Cambria"/>
      <w:b/>
      <w:bCs/>
      <w:sz w:val="32"/>
      <w:szCs w:val="32"/>
    </w:rPr>
  </w:style>
  <w:style w:type="paragraph" w:styleId="5">
    <w:name w:val="heading 3"/>
    <w:basedOn w:val="1"/>
    <w:next w:val="1"/>
    <w:link w:val="300"/>
    <w:qFormat/>
    <w:uiPriority w:val="0"/>
    <w:pPr>
      <w:keepNext/>
      <w:keepLines/>
      <w:spacing w:before="260" w:after="260" w:line="416" w:lineRule="auto"/>
      <w:outlineLvl w:val="2"/>
    </w:pPr>
    <w:rPr>
      <w:b/>
      <w:bCs/>
      <w:sz w:val="32"/>
      <w:szCs w:val="32"/>
    </w:rPr>
  </w:style>
  <w:style w:type="paragraph" w:styleId="6">
    <w:name w:val="heading 4"/>
    <w:basedOn w:val="1"/>
    <w:next w:val="1"/>
    <w:link w:val="159"/>
    <w:qFormat/>
    <w:uiPriority w:val="0"/>
    <w:pPr>
      <w:widowControl/>
      <w:spacing w:before="100" w:beforeAutospacing="1" w:after="100" w:afterAutospacing="1"/>
      <w:jc w:val="left"/>
      <w:outlineLvl w:val="3"/>
    </w:pPr>
    <w:rPr>
      <w:rFonts w:ascii="宋体" w:hAnsi="宋体" w:cs="宋体"/>
      <w:b/>
      <w:bCs/>
      <w:kern w:val="0"/>
      <w:sz w:val="24"/>
    </w:rPr>
  </w:style>
  <w:style w:type="paragraph" w:styleId="7">
    <w:name w:val="heading 5"/>
    <w:basedOn w:val="1"/>
    <w:next w:val="1"/>
    <w:link w:val="273"/>
    <w:qFormat/>
    <w:uiPriority w:val="9"/>
    <w:pPr>
      <w:widowControl/>
      <w:spacing w:before="100" w:beforeAutospacing="1" w:after="100" w:afterAutospacing="1"/>
      <w:jc w:val="left"/>
      <w:outlineLvl w:val="4"/>
    </w:pPr>
    <w:rPr>
      <w:rFonts w:ascii="宋体" w:hAnsi="宋体" w:cs="宋体"/>
      <w:b/>
      <w:bCs/>
      <w:kern w:val="0"/>
      <w:sz w:val="20"/>
      <w:szCs w:val="20"/>
    </w:rPr>
  </w:style>
  <w:style w:type="paragraph" w:styleId="8">
    <w:name w:val="heading 6"/>
    <w:basedOn w:val="9"/>
    <w:next w:val="1"/>
    <w:link w:val="229"/>
    <w:qFormat/>
    <w:uiPriority w:val="0"/>
    <w:pPr>
      <w:keepNext/>
      <w:keepLines/>
      <w:ind w:firstLine="200" w:firstLineChars="200"/>
      <w:outlineLvl w:val="5"/>
    </w:pPr>
    <w:rPr>
      <w:rFonts w:hAnsi="Arial"/>
    </w:rPr>
  </w:style>
  <w:style w:type="paragraph" w:styleId="10">
    <w:name w:val="heading 7"/>
    <w:basedOn w:val="1"/>
    <w:next w:val="1"/>
    <w:link w:val="284"/>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1">
    <w:name w:val="heading 8"/>
    <w:basedOn w:val="1"/>
    <w:next w:val="1"/>
    <w:link w:val="243"/>
    <w:qFormat/>
    <w:uiPriority w:val="0"/>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2">
    <w:name w:val="heading 9"/>
    <w:basedOn w:val="1"/>
    <w:next w:val="1"/>
    <w:link w:val="242"/>
    <w:qFormat/>
    <w:uiPriority w:val="0"/>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46">
    <w:name w:val="Default Paragraph Font"/>
    <w:unhideWhenUsed/>
    <w:qFormat/>
    <w:uiPriority w:val="1"/>
  </w:style>
  <w:style w:type="table" w:default="1" w:styleId="55">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226"/>
    <w:qFormat/>
    <w:uiPriority w:val="0"/>
    <w:pPr>
      <w:spacing w:after="120"/>
    </w:pPr>
  </w:style>
  <w:style w:type="paragraph" w:styleId="9">
    <w:name w:val="Normal Indent"/>
    <w:basedOn w:val="1"/>
    <w:qFormat/>
    <w:uiPriority w:val="0"/>
    <w:pPr>
      <w:adjustRightInd w:val="0"/>
      <w:spacing w:line="480" w:lineRule="atLeast"/>
      <w:ind w:firstLine="600"/>
      <w:textAlignment w:val="baseline"/>
    </w:pPr>
    <w:rPr>
      <w:rFonts w:eastAsia="仿宋_GB2312"/>
      <w:kern w:val="0"/>
      <w:sz w:val="30"/>
      <w:szCs w:val="20"/>
    </w:rPr>
  </w:style>
  <w:style w:type="paragraph" w:styleId="13">
    <w:name w:val="annotation subject"/>
    <w:basedOn w:val="14"/>
    <w:next w:val="14"/>
    <w:link w:val="281"/>
    <w:qFormat/>
    <w:uiPriority w:val="0"/>
    <w:rPr>
      <w:b/>
      <w:bCs/>
    </w:rPr>
  </w:style>
  <w:style w:type="paragraph" w:styleId="14">
    <w:name w:val="annotation text"/>
    <w:basedOn w:val="1"/>
    <w:link w:val="306"/>
    <w:qFormat/>
    <w:uiPriority w:val="0"/>
    <w:pPr>
      <w:jc w:val="left"/>
    </w:pPr>
  </w:style>
  <w:style w:type="paragraph" w:styleId="15">
    <w:name w:val="toc 7"/>
    <w:basedOn w:val="1"/>
    <w:next w:val="1"/>
    <w:qFormat/>
    <w:uiPriority w:val="39"/>
    <w:pPr>
      <w:ind w:left="1260"/>
      <w:jc w:val="left"/>
    </w:pPr>
    <w:rPr>
      <w:sz w:val="18"/>
      <w:szCs w:val="18"/>
    </w:rPr>
  </w:style>
  <w:style w:type="paragraph" w:styleId="16">
    <w:name w:val="Body Text First Indent"/>
    <w:basedOn w:val="1"/>
    <w:link w:val="320"/>
    <w:qFormat/>
    <w:uiPriority w:val="0"/>
    <w:pPr>
      <w:spacing w:line="312" w:lineRule="auto"/>
      <w:ind w:firstLine="420"/>
    </w:pPr>
  </w:style>
  <w:style w:type="paragraph" w:styleId="17">
    <w:name w:val="caption"/>
    <w:basedOn w:val="1"/>
    <w:next w:val="1"/>
    <w:qFormat/>
    <w:uiPriority w:val="0"/>
    <w:rPr>
      <w:rFonts w:ascii="Cambria" w:hAnsi="Cambria" w:eastAsia="黑体"/>
      <w:sz w:val="20"/>
      <w:szCs w:val="20"/>
    </w:rPr>
  </w:style>
  <w:style w:type="paragraph" w:styleId="18">
    <w:name w:val="Document Map"/>
    <w:basedOn w:val="1"/>
    <w:link w:val="163"/>
    <w:qFormat/>
    <w:uiPriority w:val="0"/>
    <w:pPr>
      <w:shd w:val="clear" w:color="auto" w:fill="000080"/>
    </w:pPr>
  </w:style>
  <w:style w:type="paragraph" w:styleId="19">
    <w:name w:val="Body Text 3"/>
    <w:basedOn w:val="1"/>
    <w:link w:val="258"/>
    <w:qFormat/>
    <w:uiPriority w:val="0"/>
    <w:pPr>
      <w:spacing w:after="120"/>
    </w:pPr>
    <w:rPr>
      <w:sz w:val="16"/>
      <w:szCs w:val="16"/>
    </w:rPr>
  </w:style>
  <w:style w:type="paragraph" w:styleId="20">
    <w:name w:val="Body Text Indent"/>
    <w:basedOn w:val="1"/>
    <w:link w:val="241"/>
    <w:qFormat/>
    <w:uiPriority w:val="0"/>
    <w:pPr>
      <w:ind w:firstLine="407" w:firstLineChars="200"/>
    </w:pPr>
  </w:style>
  <w:style w:type="paragraph" w:styleId="21">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2">
    <w:name w:val="index 4"/>
    <w:basedOn w:val="1"/>
    <w:next w:val="1"/>
    <w:qFormat/>
    <w:uiPriority w:val="0"/>
    <w:pPr>
      <w:ind w:left="600" w:leftChars="600"/>
    </w:pPr>
  </w:style>
  <w:style w:type="paragraph" w:styleId="23">
    <w:name w:val="toc 5"/>
    <w:basedOn w:val="1"/>
    <w:next w:val="1"/>
    <w:qFormat/>
    <w:uiPriority w:val="39"/>
    <w:pPr>
      <w:ind w:left="840"/>
      <w:jc w:val="left"/>
    </w:pPr>
    <w:rPr>
      <w:sz w:val="18"/>
      <w:szCs w:val="18"/>
    </w:rPr>
  </w:style>
  <w:style w:type="paragraph" w:styleId="24">
    <w:name w:val="toc 3"/>
    <w:basedOn w:val="5"/>
    <w:next w:val="1"/>
    <w:qFormat/>
    <w:uiPriority w:val="39"/>
    <w:pPr>
      <w:keepNext w:val="0"/>
      <w:keepLines w:val="0"/>
      <w:spacing w:before="0" w:after="0" w:line="240" w:lineRule="auto"/>
      <w:ind w:left="420"/>
      <w:jc w:val="left"/>
      <w:outlineLvl w:val="9"/>
    </w:pPr>
    <w:rPr>
      <w:b w:val="0"/>
      <w:bCs w:val="0"/>
      <w:i/>
      <w:iCs/>
      <w:sz w:val="20"/>
      <w:szCs w:val="20"/>
    </w:rPr>
  </w:style>
  <w:style w:type="paragraph" w:styleId="25">
    <w:name w:val="Plain Text"/>
    <w:basedOn w:val="1"/>
    <w:link w:val="203"/>
    <w:qFormat/>
    <w:uiPriority w:val="0"/>
    <w:rPr>
      <w:rFonts w:ascii="宋体" w:hAnsi="Courier New" w:cs="Courier New"/>
      <w:szCs w:val="21"/>
    </w:rPr>
  </w:style>
  <w:style w:type="paragraph" w:styleId="26">
    <w:name w:val="toc 8"/>
    <w:basedOn w:val="1"/>
    <w:next w:val="1"/>
    <w:qFormat/>
    <w:uiPriority w:val="39"/>
    <w:pPr>
      <w:ind w:left="1470"/>
      <w:jc w:val="left"/>
    </w:pPr>
    <w:rPr>
      <w:sz w:val="18"/>
      <w:szCs w:val="18"/>
    </w:rPr>
  </w:style>
  <w:style w:type="paragraph" w:styleId="27">
    <w:name w:val="Date"/>
    <w:basedOn w:val="1"/>
    <w:next w:val="1"/>
    <w:link w:val="167"/>
    <w:qFormat/>
    <w:uiPriority w:val="0"/>
    <w:pPr>
      <w:ind w:left="100" w:leftChars="2500"/>
    </w:pPr>
  </w:style>
  <w:style w:type="paragraph" w:styleId="28">
    <w:name w:val="Body Text Indent 2"/>
    <w:basedOn w:val="1"/>
    <w:link w:val="238"/>
    <w:qFormat/>
    <w:uiPriority w:val="0"/>
    <w:pPr>
      <w:widowControl/>
      <w:spacing w:line="480" w:lineRule="auto"/>
      <w:ind w:firstLine="560"/>
      <w:jc w:val="left"/>
    </w:pPr>
    <w:rPr>
      <w:kern w:val="0"/>
      <w:sz w:val="28"/>
    </w:rPr>
  </w:style>
  <w:style w:type="paragraph" w:styleId="29">
    <w:name w:val="endnote text"/>
    <w:basedOn w:val="1"/>
    <w:link w:val="211"/>
    <w:qFormat/>
    <w:uiPriority w:val="0"/>
    <w:pPr>
      <w:widowControl/>
      <w:snapToGrid w:val="0"/>
      <w:jc w:val="left"/>
    </w:pPr>
    <w:rPr>
      <w:rFonts w:ascii="Arial" w:hAnsi="Arial" w:cs="Arial"/>
      <w:kern w:val="0"/>
      <w:sz w:val="20"/>
      <w:lang w:eastAsia="en-US"/>
    </w:rPr>
  </w:style>
  <w:style w:type="paragraph" w:styleId="30">
    <w:name w:val="Balloon Text"/>
    <w:basedOn w:val="1"/>
    <w:link w:val="206"/>
    <w:qFormat/>
    <w:uiPriority w:val="0"/>
    <w:rPr>
      <w:sz w:val="18"/>
      <w:szCs w:val="18"/>
    </w:rPr>
  </w:style>
  <w:style w:type="paragraph" w:styleId="31">
    <w:name w:val="footer"/>
    <w:basedOn w:val="1"/>
    <w:link w:val="198"/>
    <w:qFormat/>
    <w:uiPriority w:val="0"/>
    <w:pPr>
      <w:tabs>
        <w:tab w:val="center" w:pos="4153"/>
        <w:tab w:val="right" w:pos="8306"/>
      </w:tabs>
      <w:snapToGrid w:val="0"/>
      <w:jc w:val="left"/>
    </w:pPr>
    <w:rPr>
      <w:sz w:val="18"/>
      <w:szCs w:val="18"/>
    </w:rPr>
  </w:style>
  <w:style w:type="paragraph" w:styleId="32">
    <w:name w:val="header"/>
    <w:basedOn w:val="1"/>
    <w:link w:val="29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3"/>
    <w:next w:val="1"/>
    <w:qFormat/>
    <w:uiPriority w:val="39"/>
    <w:pPr>
      <w:keepNext w:val="0"/>
      <w:keepLines w:val="0"/>
      <w:spacing w:before="120" w:after="120" w:line="240" w:lineRule="auto"/>
      <w:jc w:val="left"/>
      <w:outlineLvl w:val="9"/>
    </w:pPr>
    <w:rPr>
      <w:caps/>
      <w:kern w:val="2"/>
      <w:sz w:val="20"/>
      <w:szCs w:val="20"/>
    </w:rPr>
  </w:style>
  <w:style w:type="paragraph" w:styleId="34">
    <w:name w:val="toc 4"/>
    <w:basedOn w:val="6"/>
    <w:next w:val="1"/>
    <w:qFormat/>
    <w:uiPriority w:val="39"/>
    <w:pPr>
      <w:widowControl w:val="0"/>
      <w:spacing w:before="0" w:beforeAutospacing="0" w:after="0" w:afterAutospacing="0"/>
      <w:ind w:left="630"/>
      <w:outlineLvl w:val="9"/>
    </w:pPr>
    <w:rPr>
      <w:rFonts w:ascii="Times New Roman" w:hAnsi="Times New Roman" w:cs="Times New Roman"/>
      <w:b w:val="0"/>
      <w:bCs w:val="0"/>
      <w:kern w:val="2"/>
      <w:sz w:val="18"/>
      <w:szCs w:val="18"/>
    </w:rPr>
  </w:style>
  <w:style w:type="paragraph" w:styleId="35">
    <w:name w:val="Subtitle"/>
    <w:basedOn w:val="1"/>
    <w:link w:val="308"/>
    <w:qFormat/>
    <w:uiPriority w:val="0"/>
    <w:pPr>
      <w:widowControl/>
      <w:jc w:val="center"/>
    </w:pPr>
    <w:rPr>
      <w:kern w:val="0"/>
      <w:sz w:val="20"/>
      <w:u w:val="single"/>
      <w:lang w:eastAsia="en-US"/>
    </w:rPr>
  </w:style>
  <w:style w:type="paragraph" w:styleId="36">
    <w:name w:val="footnote text"/>
    <w:basedOn w:val="1"/>
    <w:link w:val="286"/>
    <w:qFormat/>
    <w:uiPriority w:val="0"/>
    <w:pPr>
      <w:widowControl/>
      <w:snapToGrid w:val="0"/>
      <w:jc w:val="left"/>
    </w:pPr>
    <w:rPr>
      <w:rFonts w:ascii="Arial" w:hAnsi="Arial" w:cs="Arial"/>
      <w:kern w:val="0"/>
      <w:sz w:val="18"/>
      <w:szCs w:val="18"/>
      <w:lang w:eastAsia="en-US"/>
    </w:rPr>
  </w:style>
  <w:style w:type="paragraph" w:styleId="37">
    <w:name w:val="toc 6"/>
    <w:basedOn w:val="1"/>
    <w:next w:val="1"/>
    <w:qFormat/>
    <w:uiPriority w:val="39"/>
    <w:pPr>
      <w:ind w:left="1050"/>
      <w:jc w:val="left"/>
    </w:pPr>
    <w:rPr>
      <w:sz w:val="18"/>
      <w:szCs w:val="18"/>
    </w:rPr>
  </w:style>
  <w:style w:type="paragraph" w:styleId="38">
    <w:name w:val="Body Text Indent 3"/>
    <w:basedOn w:val="1"/>
    <w:link w:val="245"/>
    <w:qFormat/>
    <w:uiPriority w:val="0"/>
    <w:pPr>
      <w:spacing w:line="360" w:lineRule="auto"/>
      <w:ind w:firstLine="280" w:firstLineChars="100"/>
    </w:pPr>
    <w:rPr>
      <w:rFonts w:ascii="宋体" w:hAnsi="宋体"/>
      <w:sz w:val="28"/>
      <w:szCs w:val="28"/>
    </w:rPr>
  </w:style>
  <w:style w:type="paragraph" w:styleId="39">
    <w:name w:val="toc 2"/>
    <w:basedOn w:val="4"/>
    <w:next w:val="1"/>
    <w:qFormat/>
    <w:uiPriority w:val="39"/>
    <w:pPr>
      <w:keepNext w:val="0"/>
      <w:keepLines w:val="0"/>
      <w:spacing w:before="0" w:after="0" w:line="240" w:lineRule="auto"/>
      <w:ind w:left="210"/>
      <w:jc w:val="left"/>
      <w:outlineLvl w:val="9"/>
    </w:pPr>
    <w:rPr>
      <w:rFonts w:ascii="Times New Roman" w:hAnsi="Times New Roman"/>
      <w:b w:val="0"/>
      <w:bCs w:val="0"/>
      <w:smallCaps/>
      <w:sz w:val="20"/>
      <w:szCs w:val="20"/>
    </w:rPr>
  </w:style>
  <w:style w:type="paragraph" w:styleId="40">
    <w:name w:val="toc 9"/>
    <w:basedOn w:val="1"/>
    <w:next w:val="1"/>
    <w:qFormat/>
    <w:uiPriority w:val="39"/>
    <w:pPr>
      <w:ind w:left="1680"/>
      <w:jc w:val="left"/>
    </w:pPr>
    <w:rPr>
      <w:sz w:val="18"/>
      <w:szCs w:val="18"/>
    </w:rPr>
  </w:style>
  <w:style w:type="paragraph" w:styleId="41">
    <w:name w:val="Body Text 2"/>
    <w:basedOn w:val="1"/>
    <w:link w:val="232"/>
    <w:qFormat/>
    <w:uiPriority w:val="0"/>
    <w:rPr>
      <w:i/>
      <w:iCs/>
      <w:sz w:val="26"/>
    </w:rPr>
  </w:style>
  <w:style w:type="paragraph" w:styleId="42">
    <w:name w:val="HTML Preformatted"/>
    <w:basedOn w:val="1"/>
    <w:link w:val="16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color w:val="000000"/>
      <w:kern w:val="0"/>
      <w:sz w:val="24"/>
    </w:rPr>
  </w:style>
  <w:style w:type="paragraph" w:styleId="4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pPr>
      <w:spacing w:line="220" w:lineRule="exact"/>
      <w:jc w:val="center"/>
    </w:pPr>
    <w:rPr>
      <w:rFonts w:ascii="仿宋_GB2312" w:eastAsia="仿宋_GB2312"/>
      <w:szCs w:val="21"/>
    </w:rPr>
  </w:style>
  <w:style w:type="paragraph" w:styleId="45">
    <w:name w:val="Title"/>
    <w:basedOn w:val="1"/>
    <w:link w:val="237"/>
    <w:qFormat/>
    <w:uiPriority w:val="0"/>
    <w:pPr>
      <w:widowControl/>
      <w:jc w:val="center"/>
    </w:pPr>
    <w:rPr>
      <w:kern w:val="0"/>
      <w:sz w:val="20"/>
      <w:u w:val="single"/>
      <w:lang w:eastAsia="en-US"/>
    </w:rPr>
  </w:style>
  <w:style w:type="character" w:styleId="47">
    <w:name w:val="Strong"/>
    <w:qFormat/>
    <w:uiPriority w:val="0"/>
    <w:rPr>
      <w:b/>
      <w:bCs/>
    </w:rPr>
  </w:style>
  <w:style w:type="character" w:styleId="48">
    <w:name w:val="endnote reference"/>
    <w:qFormat/>
    <w:uiPriority w:val="0"/>
    <w:rPr>
      <w:vertAlign w:val="superscript"/>
    </w:rPr>
  </w:style>
  <w:style w:type="character" w:styleId="49">
    <w:name w:val="page number"/>
    <w:basedOn w:val="46"/>
    <w:qFormat/>
    <w:uiPriority w:val="0"/>
  </w:style>
  <w:style w:type="character" w:styleId="50">
    <w:name w:val="FollowedHyperlink"/>
    <w:qFormat/>
    <w:uiPriority w:val="0"/>
    <w:rPr>
      <w:color w:val="800080"/>
      <w:u w:val="single"/>
    </w:rPr>
  </w:style>
  <w:style w:type="character" w:styleId="51">
    <w:name w:val="Emphasis"/>
    <w:qFormat/>
    <w:uiPriority w:val="0"/>
    <w:rPr>
      <w:i/>
      <w:iCs/>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footnote reference"/>
    <w:qFormat/>
    <w:uiPriority w:val="0"/>
    <w:rPr>
      <w:vertAlign w:val="superscript"/>
    </w:rPr>
  </w:style>
  <w:style w:type="table" w:styleId="56">
    <w:name w:val="Table Grid"/>
    <w:basedOn w:val="55"/>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57">
    <w:name w:val="List Paragraph"/>
    <w:basedOn w:val="1"/>
    <w:qFormat/>
    <w:uiPriority w:val="0"/>
    <w:pPr>
      <w:ind w:firstLine="420" w:firstLineChars="200"/>
    </w:pPr>
    <w:rPr>
      <w:sz w:val="28"/>
      <w:szCs w:val="28"/>
    </w:rPr>
  </w:style>
  <w:style w:type="paragraph" w:customStyle="1" w:styleId="58">
    <w:name w:val="_Style 56"/>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59">
    <w:name w:val="zz"/>
    <w:basedOn w:val="1"/>
    <w:qFormat/>
    <w:uiPriority w:val="0"/>
    <w:pPr>
      <w:widowControl/>
      <w:spacing w:before="30"/>
      <w:jc w:val="right"/>
    </w:pPr>
    <w:rPr>
      <w:rFonts w:ascii="方正书宋简体" w:hAnsi="宋体" w:eastAsia="方正书宋简体"/>
      <w:color w:val="000000"/>
      <w:kern w:val="0"/>
      <w:szCs w:val="21"/>
    </w:rPr>
  </w:style>
  <w:style w:type="paragraph" w:customStyle="1" w:styleId="60">
    <w:name w:val="Char Char Char Char Char Char Char Char Char Char Char Char Char Char Char Char"/>
    <w:basedOn w:val="18"/>
    <w:qFormat/>
    <w:uiPriority w:val="0"/>
    <w:pPr>
      <w:spacing w:line="360" w:lineRule="auto"/>
      <w:ind w:firstLine="200" w:firstLineChars="200"/>
    </w:pPr>
    <w:rPr>
      <w:rFonts w:ascii="Tahoma" w:hAnsi="Tahoma"/>
      <w:sz w:val="24"/>
    </w:rPr>
  </w:style>
  <w:style w:type="paragraph" w:customStyle="1" w:styleId="61">
    <w:name w:val="mtitle"/>
    <w:basedOn w:val="1"/>
    <w:qFormat/>
    <w:uiPriority w:val="0"/>
    <w:pPr>
      <w:widowControl/>
      <w:spacing w:before="30"/>
      <w:jc w:val="center"/>
    </w:pPr>
    <w:rPr>
      <w:rFonts w:ascii="方正小标宋简体" w:hAnsi="宋体" w:eastAsia="方正小标宋简体"/>
      <w:color w:val="000000"/>
      <w:kern w:val="0"/>
      <w:sz w:val="44"/>
      <w:szCs w:val="44"/>
    </w:rPr>
  </w:style>
  <w:style w:type="paragraph" w:customStyle="1" w:styleId="62">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63">
    <w:name w:val="1 Char"/>
    <w:basedOn w:val="1"/>
    <w:qFormat/>
    <w:uiPriority w:val="0"/>
    <w:pPr>
      <w:widowControl/>
      <w:spacing w:after="160" w:line="240" w:lineRule="exact"/>
      <w:jc w:val="left"/>
    </w:pPr>
    <w:rPr>
      <w:rFonts w:ascii="Calibri" w:hAnsi="Calibri"/>
      <w:szCs w:val="20"/>
    </w:rPr>
  </w:style>
  <w:style w:type="paragraph" w:customStyle="1" w:styleId="64">
    <w:name w:val="列表段落1"/>
    <w:basedOn w:val="1"/>
    <w:qFormat/>
    <w:uiPriority w:val="34"/>
    <w:pPr>
      <w:ind w:firstLine="420" w:firstLineChars="200"/>
    </w:pPr>
    <w:rPr>
      <w:rFonts w:ascii="Calibri" w:hAnsi="Calibri"/>
    </w:rPr>
  </w:style>
  <w:style w:type="paragraph" w:customStyle="1" w:styleId="65">
    <w:name w:val="Char Char Char Char Char Char Char Char Char Char"/>
    <w:basedOn w:val="18"/>
    <w:qFormat/>
    <w:uiPriority w:val="0"/>
    <w:pPr>
      <w:spacing w:line="360" w:lineRule="auto"/>
      <w:ind w:firstLine="200" w:firstLineChars="200"/>
    </w:pPr>
    <w:rPr>
      <w:rFonts w:ascii="Tahoma" w:hAnsi="Tahoma"/>
      <w:sz w:val="24"/>
    </w:rPr>
  </w:style>
  <w:style w:type="paragraph" w:customStyle="1" w:styleId="66">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67">
    <w:name w:val="正文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68">
    <w:name w:val="TOC 标题2"/>
    <w:basedOn w:val="3"/>
    <w:next w:val="1"/>
    <w:unhideWhenUsed/>
    <w:qFormat/>
    <w:uiPriority w:val="0"/>
    <w:pPr>
      <w:outlineLvl w:val="9"/>
    </w:pPr>
    <w:rPr>
      <w:rFonts w:ascii="Calibri" w:hAnsi="Calibri"/>
    </w:rPr>
  </w:style>
  <w:style w:type="paragraph" w:customStyle="1" w:styleId="69">
    <w:name w:val="样式1"/>
    <w:basedOn w:val="1"/>
    <w:next w:val="6"/>
    <w:qFormat/>
    <w:uiPriority w:val="0"/>
    <w:pPr>
      <w:spacing w:line="360" w:lineRule="auto"/>
      <w:ind w:firstLine="420" w:firstLineChars="200"/>
    </w:pPr>
    <w:rPr>
      <w:rFonts w:ascii="宋体" w:hAnsi="宋体"/>
      <w:szCs w:val="21"/>
    </w:rPr>
  </w:style>
  <w:style w:type="paragraph" w:customStyle="1" w:styleId="70">
    <w:name w:val="列出段落1"/>
    <w:basedOn w:val="1"/>
    <w:qFormat/>
    <w:uiPriority w:val="0"/>
    <w:pPr>
      <w:ind w:firstLine="420" w:firstLineChars="200"/>
    </w:pPr>
    <w:rPr>
      <w:sz w:val="28"/>
      <w:szCs w:val="28"/>
    </w:rPr>
  </w:style>
  <w:style w:type="paragraph" w:customStyle="1" w:styleId="71">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72">
    <w:name w:val="pa-27"/>
    <w:basedOn w:val="1"/>
    <w:qFormat/>
    <w:uiPriority w:val="0"/>
    <w:pPr>
      <w:widowControl/>
      <w:spacing w:line="360" w:lineRule="atLeast"/>
      <w:ind w:firstLine="420"/>
    </w:pPr>
    <w:rPr>
      <w:rFonts w:ascii="宋体" w:hAnsi="宋体" w:cs="宋体"/>
      <w:kern w:val="0"/>
      <w:sz w:val="24"/>
    </w:rPr>
  </w:style>
  <w:style w:type="paragraph" w:customStyle="1" w:styleId="73">
    <w:name w:val="标题1"/>
    <w:basedOn w:val="1"/>
    <w:qFormat/>
    <w:uiPriority w:val="0"/>
    <w:pPr>
      <w:widowControl/>
      <w:spacing w:before="100" w:beforeAutospacing="1" w:after="100" w:afterAutospacing="1"/>
      <w:jc w:val="left"/>
    </w:pPr>
    <w:rPr>
      <w:rFonts w:ascii="宋体" w:hAnsi="宋体" w:cs="宋体"/>
      <w:kern w:val="0"/>
      <w:sz w:val="24"/>
    </w:rPr>
  </w:style>
  <w:style w:type="paragraph" w:customStyle="1" w:styleId="74">
    <w:name w:val="_Style 72"/>
    <w:qFormat/>
    <w:uiPriority w:val="0"/>
    <w:rPr>
      <w:rFonts w:ascii="Times New Roman" w:hAnsi="Times New Roman" w:eastAsia="宋体" w:cs="Times New Roman"/>
      <w:kern w:val="2"/>
      <w:sz w:val="21"/>
      <w:szCs w:val="24"/>
      <w:lang w:val="en-US" w:eastAsia="zh-CN" w:bidi="ar-SA"/>
    </w:rPr>
  </w:style>
  <w:style w:type="paragraph" w:customStyle="1" w:styleId="75">
    <w:name w:val="Char Char1 Char Char Char Char Char Char Char Char Char Char"/>
    <w:basedOn w:val="1"/>
    <w:qFormat/>
    <w:uiPriority w:val="0"/>
    <w:pPr>
      <w:autoSpaceDE w:val="0"/>
      <w:autoSpaceDN w:val="0"/>
      <w:adjustRightInd w:val="0"/>
      <w:ind w:firstLine="482"/>
    </w:pPr>
    <w:rPr>
      <w:rFonts w:ascii="Calibri" w:hAnsi="Calibri"/>
      <w:szCs w:val="20"/>
    </w:rPr>
  </w:style>
  <w:style w:type="paragraph" w:customStyle="1" w:styleId="76">
    <w:name w:val="_Style 3"/>
    <w:qFormat/>
    <w:uiPriority w:val="0"/>
    <w:pPr>
      <w:widowControl w:val="0"/>
      <w:snapToGrid w:val="0"/>
      <w:spacing w:line="360" w:lineRule="auto"/>
    </w:pPr>
    <w:rPr>
      <w:rFonts w:ascii="Calibri" w:hAnsi="Calibri" w:eastAsia="宋体" w:cs="Times New Roman"/>
      <w:snapToGrid w:val="0"/>
      <w:sz w:val="21"/>
      <w:szCs w:val="24"/>
      <w:lang w:val="en-US" w:eastAsia="zh-CN" w:bidi="ar-SA"/>
    </w:rPr>
  </w:style>
  <w:style w:type="paragraph" w:customStyle="1" w:styleId="77">
    <w:name w:val="Char Char Char Char"/>
    <w:basedOn w:val="18"/>
    <w:qFormat/>
    <w:uiPriority w:val="0"/>
    <w:pPr>
      <w:spacing w:line="360" w:lineRule="auto"/>
      <w:ind w:firstLine="200" w:firstLineChars="200"/>
    </w:pPr>
    <w:rPr>
      <w:rFonts w:ascii="Tahoma" w:hAnsi="Tahoma"/>
      <w:sz w:val="24"/>
    </w:rPr>
  </w:style>
  <w:style w:type="paragraph" w:customStyle="1" w:styleId="78">
    <w:name w:val="表格内容"/>
    <w:basedOn w:val="1"/>
    <w:qFormat/>
    <w:uiPriority w:val="0"/>
    <w:pPr>
      <w:suppressLineNumbers/>
      <w:suppressAutoHyphens/>
    </w:pPr>
  </w:style>
  <w:style w:type="paragraph" w:customStyle="1" w:styleId="79">
    <w:name w:val="_Style 90"/>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80">
    <w:name w:val="标准样式（文件）"/>
    <w:qFormat/>
    <w:uiPriority w:val="0"/>
    <w:pPr>
      <w:widowControl w:val="0"/>
      <w:spacing w:line="600" w:lineRule="exact"/>
      <w:ind w:firstLine="567"/>
    </w:pPr>
    <w:rPr>
      <w:rFonts w:ascii="Calibri" w:hAnsi="Calibri" w:eastAsia="宋体" w:cs="Times New Roman"/>
      <w:sz w:val="28"/>
      <w:lang w:val="en-US" w:eastAsia="zh-CN" w:bidi="ar-SA"/>
    </w:rPr>
  </w:style>
  <w:style w:type="paragraph" w:customStyle="1" w:styleId="81">
    <w:name w:val="_Style 105"/>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2">
    <w:name w:val="Intense Quote"/>
    <w:basedOn w:val="1"/>
    <w:next w:val="1"/>
    <w:link w:val="276"/>
    <w:qFormat/>
    <w:uiPriority w:val="0"/>
    <w:pPr>
      <w:pBdr>
        <w:bottom w:val="single" w:color="4F81BD" w:sz="4" w:space="4"/>
      </w:pBdr>
      <w:spacing w:before="200" w:after="280"/>
      <w:ind w:left="936" w:right="936"/>
    </w:pPr>
    <w:rPr>
      <w:b/>
      <w:bCs/>
      <w:i/>
      <w:iCs/>
      <w:color w:val="4F81BD"/>
      <w:szCs w:val="22"/>
    </w:rPr>
  </w:style>
  <w:style w:type="paragraph" w:customStyle="1" w:styleId="83">
    <w:name w:val="表体"/>
    <w:basedOn w:val="1"/>
    <w:next w:val="1"/>
    <w:qFormat/>
    <w:uiPriority w:val="0"/>
    <w:pPr>
      <w:spacing w:line="0" w:lineRule="atLeast"/>
    </w:pPr>
    <w:rPr>
      <w:rFonts w:ascii="Calibri" w:hAnsi="Calibri"/>
      <w:b/>
      <w:snapToGrid w:val="0"/>
      <w:szCs w:val="20"/>
    </w:rPr>
  </w:style>
  <w:style w:type="paragraph" w:customStyle="1" w:styleId="84">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Calibri" w:hAnsi="Calibri" w:eastAsia="宋体" w:cs="Times New Roman"/>
      <w:kern w:val="2"/>
      <w:sz w:val="21"/>
      <w:lang w:val="en-US" w:eastAsia="zh-CN" w:bidi="ar-SA"/>
    </w:rPr>
  </w:style>
  <w:style w:type="paragraph" w:customStyle="1" w:styleId="85">
    <w:name w:val="pa-34"/>
    <w:basedOn w:val="1"/>
    <w:qFormat/>
    <w:uiPriority w:val="0"/>
    <w:pPr>
      <w:widowControl/>
      <w:spacing w:line="360" w:lineRule="atLeast"/>
      <w:ind w:firstLine="420"/>
      <w:jc w:val="left"/>
    </w:pPr>
    <w:rPr>
      <w:rFonts w:ascii="宋体" w:hAnsi="宋体" w:cs="宋体"/>
      <w:kern w:val="0"/>
      <w:sz w:val="24"/>
    </w:rPr>
  </w:style>
  <w:style w:type="paragraph" w:customStyle="1" w:styleId="86">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87">
    <w:name w:val="1"/>
    <w:basedOn w:val="1"/>
    <w:qFormat/>
    <w:uiPriority w:val="0"/>
    <w:pPr>
      <w:widowControl/>
      <w:spacing w:before="100" w:beforeAutospacing="1" w:after="100" w:afterAutospacing="1"/>
      <w:jc w:val="left"/>
    </w:pPr>
    <w:rPr>
      <w:rFonts w:ascii="ˎ̥" w:hAnsi="ˎ̥" w:cs="宋体"/>
      <w:kern w:val="0"/>
      <w:sz w:val="24"/>
    </w:rPr>
  </w:style>
  <w:style w:type="paragraph" w:customStyle="1" w:styleId="88">
    <w:name w:val="p16"/>
    <w:basedOn w:val="1"/>
    <w:qFormat/>
    <w:uiPriority w:val="0"/>
    <w:pPr>
      <w:widowControl/>
    </w:pPr>
    <w:rPr>
      <w:rFonts w:ascii="Calibri" w:hAnsi="Calibri" w:cs="宋体"/>
      <w:kern w:val="0"/>
      <w:szCs w:val="21"/>
    </w:rPr>
  </w:style>
  <w:style w:type="paragraph" w:customStyle="1" w:styleId="8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90">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paragraph" w:customStyle="1" w:styleId="9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92">
    <w:name w:val="标题4"/>
    <w:basedOn w:val="4"/>
    <w:next w:val="22"/>
    <w:link w:val="287"/>
    <w:qFormat/>
    <w:uiPriority w:val="0"/>
    <w:pPr>
      <w:spacing w:line="413" w:lineRule="auto"/>
    </w:pPr>
    <w:rPr>
      <w:rFonts w:ascii="Arial" w:hAnsi="Arial"/>
      <w:kern w:val="0"/>
      <w:sz w:val="24"/>
    </w:rPr>
  </w:style>
  <w:style w:type="paragraph" w:customStyle="1" w:styleId="93">
    <w:name w:val="Char Char"/>
    <w:basedOn w:val="1"/>
    <w:qFormat/>
    <w:uiPriority w:val="0"/>
    <w:pPr>
      <w:widowControl/>
      <w:jc w:val="left"/>
    </w:pPr>
    <w:rPr>
      <w:rFonts w:ascii="Verdana" w:hAnsi="Verdana" w:eastAsia="Times New Roman"/>
      <w:kern w:val="0"/>
      <w:sz w:val="16"/>
      <w:szCs w:val="20"/>
      <w:lang w:eastAsia="en-US"/>
    </w:rPr>
  </w:style>
  <w:style w:type="paragraph" w:customStyle="1" w:styleId="9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95">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96">
    <w:name w:val="WW-表格内容"/>
    <w:basedOn w:val="1"/>
    <w:qFormat/>
    <w:uiPriority w:val="0"/>
    <w:pPr>
      <w:suppressLineNumbers/>
      <w:suppressAutoHyphens/>
    </w:pPr>
  </w:style>
  <w:style w:type="paragraph" w:customStyle="1" w:styleId="97">
    <w:name w:val="Char"/>
    <w:basedOn w:val="1"/>
    <w:qFormat/>
    <w:uiPriority w:val="0"/>
  </w:style>
  <w:style w:type="paragraph" w:customStyle="1" w:styleId="98">
    <w:name w:val="明显引用11"/>
    <w:basedOn w:val="1"/>
    <w:next w:val="1"/>
    <w:qFormat/>
    <w:uiPriority w:val="30"/>
    <w:pPr>
      <w:pBdr>
        <w:bottom w:val="single" w:color="4F81BD" w:sz="4" w:space="4"/>
      </w:pBdr>
      <w:spacing w:before="200" w:after="280"/>
      <w:ind w:left="936" w:right="936"/>
    </w:pPr>
    <w:rPr>
      <w:rFonts w:ascii="Calibri" w:hAnsi="Calibri"/>
      <w:b/>
      <w:bCs/>
      <w:i/>
      <w:iCs/>
      <w:color w:val="4F81BD"/>
      <w:szCs w:val="22"/>
    </w:rPr>
  </w:style>
  <w:style w:type="paragraph" w:customStyle="1" w:styleId="99">
    <w:name w:val="Normal_47"/>
    <w:qFormat/>
    <w:uiPriority w:val="0"/>
    <w:pPr>
      <w:spacing w:before="120" w:after="240"/>
      <w:jc w:val="both"/>
    </w:pPr>
    <w:rPr>
      <w:rFonts w:ascii="Calibri" w:hAnsi="Calibri" w:eastAsia="Calibri" w:cs="Times New Roman"/>
      <w:sz w:val="22"/>
      <w:szCs w:val="22"/>
      <w:lang w:val="ru-RU" w:eastAsia="en-US" w:bidi="ar-SA"/>
    </w:rPr>
  </w:style>
  <w:style w:type="paragraph" w:customStyle="1" w:styleId="100">
    <w:name w:val="样式15"/>
    <w:basedOn w:val="5"/>
    <w:qFormat/>
    <w:uiPriority w:val="0"/>
    <w:pPr>
      <w:keepNext w:val="0"/>
      <w:keepLines w:val="0"/>
      <w:tabs>
        <w:tab w:val="left" w:pos="0"/>
        <w:tab w:val="left" w:pos="210"/>
        <w:tab w:val="left" w:pos="420"/>
        <w:tab w:val="left" w:pos="1260"/>
      </w:tabs>
      <w:adjustRightInd w:val="0"/>
      <w:spacing w:before="0" w:after="0" w:line="240" w:lineRule="auto"/>
      <w:jc w:val="left"/>
    </w:pPr>
    <w:rPr>
      <w:rFonts w:ascii="仿宋_GB2312" w:hAnsi="Calibri" w:eastAsia="仿宋_GB2312"/>
      <w:bCs w:val="0"/>
      <w:szCs w:val="24"/>
    </w:rPr>
  </w:style>
  <w:style w:type="paragraph" w:customStyle="1" w:styleId="101">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102">
    <w:name w:val="Char9 Char Char Char Char Char Char"/>
    <w:basedOn w:val="18"/>
    <w:qFormat/>
    <w:uiPriority w:val="0"/>
    <w:pPr>
      <w:spacing w:line="360" w:lineRule="auto"/>
      <w:ind w:firstLine="200" w:firstLineChars="200"/>
    </w:pPr>
    <w:rPr>
      <w:rFonts w:ascii="Tahoma" w:hAnsi="Tahoma"/>
      <w:sz w:val="24"/>
    </w:rPr>
  </w:style>
  <w:style w:type="paragraph" w:customStyle="1" w:styleId="10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04">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05">
    <w:name w:val="p15"/>
    <w:basedOn w:val="1"/>
    <w:qFormat/>
    <w:uiPriority w:val="0"/>
    <w:pPr>
      <w:widowControl/>
      <w:spacing w:after="120"/>
    </w:pPr>
    <w:rPr>
      <w:kern w:val="0"/>
      <w:szCs w:val="21"/>
    </w:rPr>
  </w:style>
  <w:style w:type="paragraph" w:customStyle="1" w:styleId="106">
    <w:name w:val="rw"/>
    <w:basedOn w:val="1"/>
    <w:qFormat/>
    <w:uiPriority w:val="0"/>
    <w:pPr>
      <w:widowControl/>
      <w:spacing w:before="30"/>
      <w:ind w:left="100" w:right="100"/>
      <w:jc w:val="right"/>
    </w:pPr>
    <w:rPr>
      <w:rFonts w:ascii="方正仿宋简体" w:hAnsi="宋体" w:eastAsia="方正仿宋简体"/>
      <w:color w:val="000000"/>
      <w:kern w:val="0"/>
      <w:szCs w:val="21"/>
    </w:rPr>
  </w:style>
  <w:style w:type="paragraph" w:customStyle="1" w:styleId="107">
    <w:name w:val="正  文"/>
    <w:basedOn w:val="1"/>
    <w:qFormat/>
    <w:uiPriority w:val="0"/>
    <w:pPr>
      <w:spacing w:line="360" w:lineRule="auto"/>
      <w:ind w:firstLine="200" w:firstLineChars="200"/>
    </w:pPr>
    <w:rPr>
      <w:rFonts w:ascii="宋体" w:hAnsi="Calibri"/>
      <w:sz w:val="24"/>
    </w:rPr>
  </w:style>
  <w:style w:type="paragraph" w:customStyle="1" w:styleId="108">
    <w:name w:val="列出段落11"/>
    <w:basedOn w:val="1"/>
    <w:qFormat/>
    <w:uiPriority w:val="0"/>
    <w:pPr>
      <w:ind w:firstLine="420" w:firstLineChars="200"/>
    </w:pPr>
    <w:rPr>
      <w:sz w:val="28"/>
      <w:szCs w:val="28"/>
    </w:rPr>
  </w:style>
  <w:style w:type="paragraph" w:customStyle="1" w:styleId="109">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10">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111">
    <w:name w:val="_Style 96"/>
    <w:semiHidden/>
    <w:qFormat/>
    <w:uiPriority w:val="99"/>
    <w:rPr>
      <w:rFonts w:ascii="Calibri" w:hAnsi="Calibri" w:eastAsia="宋体" w:cs="Times New Roman"/>
      <w:kern w:val="2"/>
      <w:sz w:val="21"/>
      <w:szCs w:val="24"/>
      <w:lang w:val="en-US" w:eastAsia="zh-CN" w:bidi="ar-SA"/>
    </w:rPr>
  </w:style>
  <w:style w:type="paragraph" w:customStyle="1" w:styleId="112">
    <w:name w:val="表格文字"/>
    <w:basedOn w:val="1"/>
    <w:qFormat/>
    <w:uiPriority w:val="0"/>
    <w:pPr>
      <w:adjustRightInd w:val="0"/>
      <w:spacing w:line="420" w:lineRule="atLeast"/>
      <w:jc w:val="left"/>
      <w:textAlignment w:val="baseline"/>
    </w:pPr>
    <w:rPr>
      <w:kern w:val="0"/>
      <w:szCs w:val="20"/>
    </w:rPr>
  </w:style>
  <w:style w:type="paragraph" w:customStyle="1" w:styleId="113">
    <w:name w:val="表格"/>
    <w:basedOn w:val="1"/>
    <w:qFormat/>
    <w:uiPriority w:val="0"/>
    <w:pPr>
      <w:jc w:val="center"/>
      <w:textAlignment w:val="center"/>
    </w:pPr>
    <w:rPr>
      <w:rFonts w:ascii="华文细黑" w:hAnsi="华文细黑"/>
      <w:kern w:val="0"/>
      <w:szCs w:val="20"/>
    </w:rPr>
  </w:style>
  <w:style w:type="paragraph" w:customStyle="1" w:styleId="114">
    <w:name w:val="Char1"/>
    <w:basedOn w:val="1"/>
    <w:qFormat/>
    <w:uiPriority w:val="0"/>
  </w:style>
  <w:style w:type="paragraph" w:customStyle="1" w:styleId="115">
    <w:name w:val="TOC 标题1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16">
    <w:name w:val="引用2"/>
    <w:basedOn w:val="1"/>
    <w:next w:val="1"/>
    <w:link w:val="239"/>
    <w:qFormat/>
    <w:uiPriority w:val="0"/>
    <w:rPr>
      <w:i/>
      <w:iCs/>
      <w:color w:val="000000"/>
    </w:rPr>
  </w:style>
  <w:style w:type="paragraph" w:customStyle="1" w:styleId="117">
    <w:name w:val="链接"/>
    <w:qFormat/>
    <w:uiPriority w:val="0"/>
    <w:pPr>
      <w:widowControl w:val="0"/>
      <w:autoSpaceDE w:val="0"/>
      <w:autoSpaceDN w:val="0"/>
      <w:adjustRightInd w:val="0"/>
      <w:ind w:left="720"/>
    </w:pPr>
    <w:rPr>
      <w:rFonts w:ascii="Calibri" w:hAnsi="Calibri" w:eastAsia="宋体" w:cs="Times New Roman"/>
      <w:color w:val="0000FF"/>
      <w:sz w:val="21"/>
      <w:szCs w:val="21"/>
      <w:u w:val="single"/>
      <w:lang w:val="en-US" w:eastAsia="zh-CN" w:bidi="ar-SA"/>
    </w:rPr>
  </w:style>
  <w:style w:type="paragraph" w:customStyle="1" w:styleId="118">
    <w:name w:val="Quote"/>
    <w:basedOn w:val="1"/>
    <w:next w:val="1"/>
    <w:link w:val="189"/>
    <w:qFormat/>
    <w:uiPriority w:val="0"/>
    <w:rPr>
      <w:i/>
      <w:iCs/>
      <w:color w:val="000000"/>
      <w:szCs w:val="22"/>
    </w:rPr>
  </w:style>
  <w:style w:type="paragraph" w:customStyle="1" w:styleId="119">
    <w:name w:val="修订1"/>
    <w:qFormat/>
    <w:uiPriority w:val="0"/>
    <w:rPr>
      <w:rFonts w:ascii="Times New Roman" w:hAnsi="Times New Roman" w:eastAsia="宋体" w:cs="Times New Roman"/>
      <w:kern w:val="2"/>
      <w:sz w:val="21"/>
      <w:szCs w:val="24"/>
      <w:lang w:val="en-US" w:eastAsia="zh-CN" w:bidi="ar-SA"/>
    </w:rPr>
  </w:style>
  <w:style w:type="paragraph" w:customStyle="1" w:styleId="120">
    <w:name w:val="xl65"/>
    <w:basedOn w:val="1"/>
    <w:qFormat/>
    <w:uiPriority w:val="0"/>
    <w:pPr>
      <w:widowControl/>
      <w:spacing w:before="100" w:beforeAutospacing="1" w:after="100" w:afterAutospacing="1"/>
      <w:jc w:val="center"/>
    </w:pPr>
    <w:rPr>
      <w:rFonts w:ascii="黑体" w:hAnsi="宋体" w:eastAsia="黑体"/>
      <w:b/>
      <w:kern w:val="0"/>
      <w:sz w:val="36"/>
      <w:szCs w:val="20"/>
    </w:rPr>
  </w:style>
  <w:style w:type="paragraph" w:customStyle="1" w:styleId="121">
    <w:name w:val="Char2"/>
    <w:basedOn w:val="1"/>
    <w:qFormat/>
    <w:uiPriority w:val="0"/>
    <w:rPr>
      <w:rFonts w:ascii="Calibri" w:hAnsi="Calibri"/>
    </w:rPr>
  </w:style>
  <w:style w:type="paragraph" w:customStyle="1" w:styleId="122">
    <w:name w:val="标题5"/>
    <w:basedOn w:val="5"/>
    <w:link w:val="285"/>
    <w:qFormat/>
    <w:uiPriority w:val="0"/>
    <w:pPr>
      <w:spacing w:line="413" w:lineRule="auto"/>
    </w:pPr>
    <w:rPr>
      <w:rFonts w:ascii="Arial" w:hAnsi="Arial"/>
      <w:kern w:val="0"/>
      <w:sz w:val="24"/>
    </w:rPr>
  </w:style>
  <w:style w:type="paragraph" w:customStyle="1" w:styleId="123">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4">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25">
    <w:name w:val="表格标题"/>
    <w:basedOn w:val="78"/>
    <w:qFormat/>
    <w:uiPriority w:val="0"/>
  </w:style>
  <w:style w:type="paragraph" w:customStyle="1" w:styleId="126">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27">
    <w:name w:val="2"/>
    <w:next w:val="1"/>
    <w:qFormat/>
    <w:uiPriority w:val="99"/>
    <w:pPr>
      <w:widowControl w:val="0"/>
      <w:jc w:val="both"/>
    </w:pPr>
    <w:rPr>
      <w:rFonts w:ascii="Calibri" w:hAnsi="Calibri" w:eastAsia="宋体" w:cs="Times New Roman"/>
      <w:kern w:val="2"/>
      <w:sz w:val="21"/>
      <w:szCs w:val="24"/>
      <w:lang w:val="en-US" w:eastAsia="zh-CN" w:bidi="ar-SA"/>
    </w:rPr>
  </w:style>
  <w:style w:type="paragraph" w:customStyle="1" w:styleId="128">
    <w:name w:val="inte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9">
    <w:name w:val="style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标题2"/>
    <w:basedOn w:val="1"/>
    <w:qFormat/>
    <w:uiPriority w:val="0"/>
    <w:pPr>
      <w:widowControl/>
      <w:spacing w:before="100" w:beforeAutospacing="1" w:after="100" w:afterAutospacing="1"/>
      <w:jc w:val="left"/>
    </w:pPr>
    <w:rPr>
      <w:rFonts w:ascii="宋体" w:hAnsi="宋体" w:cs="宋体"/>
      <w:kern w:val="0"/>
      <w:sz w:val="24"/>
    </w:rPr>
  </w:style>
  <w:style w:type="paragraph" w:customStyle="1" w:styleId="131">
    <w:name w:val="WW-表格标题"/>
    <w:basedOn w:val="96"/>
    <w:qFormat/>
    <w:uiPriority w:val="0"/>
  </w:style>
  <w:style w:type="paragraph" w:customStyle="1" w:styleId="132">
    <w:name w:val="ly"/>
    <w:basedOn w:val="1"/>
    <w:qFormat/>
    <w:uiPriority w:val="0"/>
    <w:pPr>
      <w:widowControl/>
      <w:spacing w:before="30"/>
      <w:jc w:val="right"/>
    </w:pPr>
    <w:rPr>
      <w:rFonts w:ascii="方正书宋简体" w:hAnsi="宋体" w:eastAsia="方正书宋简体"/>
      <w:color w:val="000000"/>
      <w:kern w:val="0"/>
      <w:szCs w:val="21"/>
    </w:rPr>
  </w:style>
  <w:style w:type="paragraph" w:customStyle="1" w:styleId="133">
    <w:name w:val="明显引用1"/>
    <w:basedOn w:val="1"/>
    <w:next w:val="1"/>
    <w:link w:val="249"/>
    <w:qFormat/>
    <w:uiPriority w:val="30"/>
    <w:pPr>
      <w:pBdr>
        <w:bottom w:val="single" w:color="4F81BD" w:sz="4" w:space="4"/>
      </w:pBdr>
      <w:spacing w:before="200" w:after="280"/>
      <w:ind w:left="936" w:right="936"/>
    </w:pPr>
    <w:rPr>
      <w:b/>
      <w:bCs/>
      <w:i/>
      <w:iCs/>
      <w:color w:val="4F81BD"/>
      <w:szCs w:val="20"/>
    </w:rPr>
  </w:style>
  <w:style w:type="paragraph" w:customStyle="1" w:styleId="134">
    <w:name w:val="标准样式1"/>
    <w:basedOn w:val="1"/>
    <w:qFormat/>
    <w:uiPriority w:val="0"/>
    <w:pPr>
      <w:spacing w:line="600" w:lineRule="exact"/>
      <w:ind w:firstLine="567"/>
    </w:pPr>
    <w:rPr>
      <w:rFonts w:ascii="Calibri" w:hAnsi="Calibri"/>
      <w:sz w:val="28"/>
    </w:rPr>
  </w:style>
  <w:style w:type="paragraph" w:customStyle="1" w:styleId="135">
    <w:name w:val="Char3"/>
    <w:basedOn w:val="1"/>
    <w:qFormat/>
    <w:uiPriority w:val="0"/>
  </w:style>
  <w:style w:type="paragraph" w:customStyle="1" w:styleId="136">
    <w:name w:val="p17"/>
    <w:basedOn w:val="1"/>
    <w:qFormat/>
    <w:uiPriority w:val="0"/>
    <w:pPr>
      <w:widowControl/>
      <w:spacing w:before="120" w:after="120"/>
      <w:jc w:val="left"/>
    </w:pPr>
    <w:rPr>
      <w:rFonts w:ascii="Calibri" w:hAnsi="Calibri" w:cs="宋体"/>
      <w:b/>
      <w:bCs/>
      <w:caps/>
      <w:kern w:val="0"/>
      <w:sz w:val="28"/>
      <w:szCs w:val="28"/>
    </w:rPr>
  </w:style>
  <w:style w:type="paragraph" w:customStyle="1" w:styleId="137">
    <w:name w:val="Char Char1 Char Char"/>
    <w:basedOn w:val="18"/>
    <w:qFormat/>
    <w:uiPriority w:val="0"/>
    <w:pPr>
      <w:shd w:val="clear" w:color="auto" w:fill="auto"/>
      <w:tabs>
        <w:tab w:val="left" w:pos="630"/>
      </w:tabs>
      <w:adjustRightInd w:val="0"/>
      <w:spacing w:line="436" w:lineRule="exact"/>
      <w:ind w:left="357"/>
      <w:jc w:val="left"/>
      <w:outlineLvl w:val="3"/>
    </w:pPr>
    <w:rPr>
      <w:rFonts w:ascii="Calibri" w:hAnsi="Calibri" w:eastAsia="Times New Roman"/>
      <w:sz w:val="18"/>
      <w:szCs w:val="20"/>
    </w:rPr>
  </w:style>
  <w:style w:type="paragraph" w:customStyle="1" w:styleId="138">
    <w:name w:val="引用1"/>
    <w:basedOn w:val="1"/>
    <w:next w:val="1"/>
    <w:link w:val="263"/>
    <w:qFormat/>
    <w:uiPriority w:val="29"/>
    <w:rPr>
      <w:i/>
      <w:iCs/>
      <w:color w:val="000000"/>
      <w:szCs w:val="20"/>
    </w:rPr>
  </w:style>
  <w:style w:type="paragraph" w:customStyle="1" w:styleId="139">
    <w:name w:val="_Style 87"/>
    <w:basedOn w:val="1"/>
    <w:qFormat/>
    <w:uiPriority w:val="99"/>
    <w:pPr>
      <w:ind w:firstLine="420" w:firstLineChars="200"/>
    </w:pPr>
    <w:rPr>
      <w:rFonts w:ascii="Calibri" w:hAnsi="Calibri"/>
      <w:sz w:val="28"/>
      <w:szCs w:val="28"/>
    </w:rPr>
  </w:style>
  <w:style w:type="paragraph" w:customStyle="1" w:styleId="140">
    <w:name w:val="自定样式1"/>
    <w:basedOn w:val="1"/>
    <w:qFormat/>
    <w:uiPriority w:val="0"/>
    <w:pPr>
      <w:suppressAutoHyphens/>
      <w:jc w:val="center"/>
    </w:pPr>
    <w:rPr>
      <w:rFonts w:ascii="宋体" w:hAnsi="宋体"/>
      <w:color w:val="000000"/>
      <w:sz w:val="18"/>
    </w:rPr>
  </w:style>
  <w:style w:type="paragraph" w:customStyle="1" w:styleId="14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42">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b w:val="0"/>
      <w:bCs w:val="0"/>
      <w:sz w:val="28"/>
      <w:szCs w:val="20"/>
    </w:rPr>
  </w:style>
  <w:style w:type="character" w:customStyle="1" w:styleId="143">
    <w:name w:val="未处理的提及"/>
    <w:unhideWhenUsed/>
    <w:qFormat/>
    <w:uiPriority w:val="99"/>
    <w:rPr>
      <w:color w:val="808080"/>
      <w:shd w:val="clear" w:color="auto" w:fill="E6E6E6"/>
    </w:rPr>
  </w:style>
  <w:style w:type="character" w:customStyle="1" w:styleId="144">
    <w:name w:val="正文文本 3 Char"/>
    <w:qFormat/>
    <w:uiPriority w:val="0"/>
    <w:rPr>
      <w:kern w:val="2"/>
      <w:sz w:val="16"/>
      <w:szCs w:val="16"/>
    </w:rPr>
  </w:style>
  <w:style w:type="character" w:customStyle="1" w:styleId="145">
    <w:name w:val="正文文本缩进 Char2"/>
    <w:semiHidden/>
    <w:qFormat/>
    <w:uiPriority w:val="99"/>
    <w:rPr>
      <w:rFonts w:ascii="Calibri" w:hAnsi="Calibri" w:eastAsia="宋体" w:cs="Times New Roman"/>
      <w:szCs w:val="24"/>
    </w:rPr>
  </w:style>
  <w:style w:type="character" w:customStyle="1" w:styleId="146">
    <w:name w:val="标题 3 Char"/>
    <w:qFormat/>
    <w:uiPriority w:val="0"/>
    <w:rPr>
      <w:rFonts w:ascii="仿宋_GB2312" w:hAnsi="Calibri" w:eastAsia="仿宋_GB2312" w:cs="Times New Roman"/>
      <w:b/>
      <w:kern w:val="0"/>
      <w:sz w:val="24"/>
      <w:szCs w:val="28"/>
    </w:rPr>
  </w:style>
  <w:style w:type="character" w:customStyle="1" w:styleId="147">
    <w:name w:val="批注框文本 Char2"/>
    <w:qFormat/>
    <w:uiPriority w:val="99"/>
    <w:rPr>
      <w:kern w:val="2"/>
      <w:sz w:val="18"/>
      <w:szCs w:val="18"/>
    </w:rPr>
  </w:style>
  <w:style w:type="character" w:customStyle="1" w:styleId="148">
    <w:name w:val="textcontents"/>
    <w:qFormat/>
    <w:uiPriority w:val="0"/>
    <w:rPr>
      <w:rFonts w:cs="Times New Roman"/>
    </w:rPr>
  </w:style>
  <w:style w:type="character" w:customStyle="1" w:styleId="149">
    <w:name w:val="ht1"/>
    <w:qFormat/>
    <w:uiPriority w:val="0"/>
    <w:rPr>
      <w:rFonts w:ascii="黑体" w:eastAsia="黑体"/>
      <w:b/>
      <w:bCs/>
    </w:rPr>
  </w:style>
  <w:style w:type="character" w:customStyle="1" w:styleId="150">
    <w:name w:val="标题 Char"/>
    <w:qFormat/>
    <w:uiPriority w:val="0"/>
    <w:rPr>
      <w:rFonts w:ascii="Cambria" w:hAnsi="Cambria" w:eastAsia="宋体" w:cs="Times New Roman"/>
      <w:b/>
      <w:bCs/>
      <w:kern w:val="2"/>
      <w:sz w:val="32"/>
      <w:szCs w:val="32"/>
    </w:rPr>
  </w:style>
  <w:style w:type="character" w:customStyle="1" w:styleId="151">
    <w:name w:val="14t1"/>
    <w:qFormat/>
    <w:uiPriority w:val="0"/>
    <w:rPr>
      <w:rFonts w:hint="eastAsia" w:ascii="宋体" w:hAnsi="宋体" w:eastAsia="宋体"/>
      <w:sz w:val="11"/>
      <w:szCs w:val="11"/>
    </w:rPr>
  </w:style>
  <w:style w:type="character" w:customStyle="1" w:styleId="152">
    <w:name w:val="Char Char36"/>
    <w:qFormat/>
    <w:uiPriority w:val="0"/>
    <w:rPr>
      <w:rFonts w:ascii="仿宋_GB2312" w:eastAsia="仿宋_GB2312" w:cs="MingLiU"/>
      <w:b/>
      <w:sz w:val="24"/>
      <w:szCs w:val="28"/>
    </w:rPr>
  </w:style>
  <w:style w:type="character" w:customStyle="1" w:styleId="153">
    <w:name w:val="文档结构图 Char"/>
    <w:qFormat/>
    <w:uiPriority w:val="0"/>
    <w:rPr>
      <w:rFonts w:ascii="宋体"/>
      <w:kern w:val="2"/>
      <w:sz w:val="18"/>
      <w:szCs w:val="18"/>
    </w:rPr>
  </w:style>
  <w:style w:type="character" w:customStyle="1" w:styleId="154">
    <w:name w:val="普通文字 Char Char2"/>
    <w:qFormat/>
    <w:uiPriority w:val="0"/>
    <w:rPr>
      <w:rFonts w:ascii="宋体" w:hAnsi="Courier New"/>
      <w:kern w:val="2"/>
      <w:sz w:val="28"/>
      <w:szCs w:val="28"/>
    </w:rPr>
  </w:style>
  <w:style w:type="character" w:customStyle="1" w:styleId="155">
    <w:name w:val="HTML 预设格式 Char"/>
    <w:qFormat/>
    <w:uiPriority w:val="0"/>
    <w:rPr>
      <w:rFonts w:ascii="宋体" w:hAnsi="宋体" w:eastAsia="宋体" w:cs="宋体"/>
      <w:color w:val="000000"/>
      <w:sz w:val="24"/>
      <w:szCs w:val="24"/>
    </w:rPr>
  </w:style>
  <w:style w:type="character" w:customStyle="1" w:styleId="156">
    <w:name w:val="纯文本 Char"/>
    <w:qFormat/>
    <w:uiPriority w:val="0"/>
    <w:rPr>
      <w:rFonts w:ascii="宋体" w:hAnsi="Courier New"/>
      <w:sz w:val="28"/>
      <w:szCs w:val="28"/>
    </w:rPr>
  </w:style>
  <w:style w:type="character" w:customStyle="1" w:styleId="157">
    <w:name w:val="批注框文本 Char"/>
    <w:qFormat/>
    <w:uiPriority w:val="0"/>
    <w:rPr>
      <w:sz w:val="18"/>
      <w:szCs w:val="18"/>
    </w:rPr>
  </w:style>
  <w:style w:type="character" w:customStyle="1" w:styleId="158">
    <w:name w:val="页脚 Char"/>
    <w:qFormat/>
    <w:uiPriority w:val="0"/>
    <w:rPr>
      <w:sz w:val="18"/>
      <w:szCs w:val="18"/>
    </w:rPr>
  </w:style>
  <w:style w:type="character" w:customStyle="1" w:styleId="159">
    <w:name w:val="标题 4 Char2"/>
    <w:link w:val="6"/>
    <w:qFormat/>
    <w:uiPriority w:val="0"/>
    <w:rPr>
      <w:rFonts w:ascii="宋体" w:hAnsi="宋体" w:eastAsia="宋体" w:cs="宋体"/>
      <w:b/>
      <w:bCs/>
      <w:sz w:val="24"/>
      <w:szCs w:val="24"/>
      <w:lang w:val="en-US" w:eastAsia="zh-CN" w:bidi="ar-SA"/>
    </w:rPr>
  </w:style>
  <w:style w:type="character" w:customStyle="1" w:styleId="160">
    <w:name w:val="正文文本缩进 3 Char"/>
    <w:qFormat/>
    <w:uiPriority w:val="0"/>
    <w:rPr>
      <w:kern w:val="2"/>
      <w:sz w:val="16"/>
      <w:szCs w:val="16"/>
    </w:rPr>
  </w:style>
  <w:style w:type="character" w:customStyle="1" w:styleId="161">
    <w:name w:val="标题 8 Char"/>
    <w:qFormat/>
    <w:uiPriority w:val="0"/>
    <w:rPr>
      <w:rFonts w:ascii="Arial" w:hAnsi="Arial" w:eastAsia="黑体" w:cs="Times New Roman"/>
      <w:sz w:val="24"/>
      <w:szCs w:val="24"/>
    </w:rPr>
  </w:style>
  <w:style w:type="character" w:customStyle="1" w:styleId="162">
    <w:name w:val="HTML 预设格式 Char3"/>
    <w:link w:val="42"/>
    <w:qFormat/>
    <w:uiPriority w:val="0"/>
    <w:rPr>
      <w:rFonts w:ascii="宋体" w:hAnsi="宋体" w:eastAsia="宋体" w:cs="宋体"/>
      <w:color w:val="000000"/>
      <w:sz w:val="24"/>
      <w:szCs w:val="24"/>
      <w:lang w:val="en-US" w:eastAsia="zh-CN" w:bidi="ar-SA"/>
    </w:rPr>
  </w:style>
  <w:style w:type="character" w:customStyle="1" w:styleId="163">
    <w:name w:val="文档结构图 Char4"/>
    <w:link w:val="18"/>
    <w:qFormat/>
    <w:uiPriority w:val="0"/>
    <w:rPr>
      <w:rFonts w:eastAsia="宋体"/>
      <w:kern w:val="2"/>
      <w:sz w:val="21"/>
      <w:szCs w:val="24"/>
      <w:lang w:val="en-US" w:eastAsia="zh-CN" w:bidi="ar-SA"/>
    </w:rPr>
  </w:style>
  <w:style w:type="character" w:customStyle="1" w:styleId="164">
    <w:name w:val="正文文本缩进 2 Char1"/>
    <w:qFormat/>
    <w:uiPriority w:val="0"/>
    <w:rPr>
      <w:sz w:val="28"/>
      <w:szCs w:val="24"/>
    </w:rPr>
  </w:style>
  <w:style w:type="character" w:customStyle="1" w:styleId="165">
    <w:name w:val="标题 5 Char1"/>
    <w:qFormat/>
    <w:uiPriority w:val="9"/>
    <w:rPr>
      <w:rFonts w:ascii="宋体" w:hAnsi="宋体" w:eastAsia="宋体" w:cs="宋体"/>
      <w:b/>
      <w:bCs/>
      <w:sz w:val="20"/>
      <w:szCs w:val="20"/>
    </w:rPr>
  </w:style>
  <w:style w:type="character" w:customStyle="1" w:styleId="166">
    <w:name w:val="批注文字 Char"/>
    <w:qFormat/>
    <w:uiPriority w:val="0"/>
    <w:rPr>
      <w:rFonts w:ascii="Times New Roman" w:hAnsi="Times New Roman" w:eastAsia="宋体" w:cs="Times New Roman"/>
      <w:kern w:val="2"/>
      <w:sz w:val="21"/>
      <w:szCs w:val="24"/>
    </w:rPr>
  </w:style>
  <w:style w:type="character" w:customStyle="1" w:styleId="167">
    <w:name w:val="日期 Char4"/>
    <w:link w:val="27"/>
    <w:qFormat/>
    <w:uiPriority w:val="0"/>
    <w:rPr>
      <w:rFonts w:eastAsia="宋体"/>
      <w:kern w:val="2"/>
      <w:sz w:val="21"/>
      <w:szCs w:val="24"/>
      <w:lang w:val="en-US" w:eastAsia="zh-CN" w:bidi="ar-SA"/>
    </w:rPr>
  </w:style>
  <w:style w:type="character" w:customStyle="1" w:styleId="168">
    <w:name w:val="style121"/>
    <w:qFormat/>
    <w:uiPriority w:val="0"/>
    <w:rPr>
      <w:rFonts w:hint="eastAsia" w:ascii="宋体" w:hAnsi="宋体" w:eastAsia="宋体"/>
      <w:sz w:val="18"/>
      <w:szCs w:val="18"/>
    </w:rPr>
  </w:style>
  <w:style w:type="character" w:customStyle="1" w:styleId="169">
    <w:name w:val="Section Char"/>
    <w:qFormat/>
    <w:uiPriority w:val="0"/>
    <w:rPr>
      <w:rFonts w:ascii="仿宋_GB2312" w:eastAsia="仿宋_GB2312" w:cs="MingLiU"/>
      <w:b/>
      <w:sz w:val="24"/>
      <w:szCs w:val="28"/>
      <w:lang w:val="en-US" w:eastAsia="zh-CN" w:bidi="ar-SA"/>
    </w:rPr>
  </w:style>
  <w:style w:type="character" w:customStyle="1" w:styleId="170">
    <w:name w:val="正文文本 3 Char1"/>
    <w:qFormat/>
    <w:uiPriority w:val="0"/>
    <w:rPr>
      <w:kern w:val="2"/>
      <w:sz w:val="16"/>
      <w:szCs w:val="16"/>
    </w:rPr>
  </w:style>
  <w:style w:type="character" w:customStyle="1" w:styleId="171">
    <w:name w:val="文档结构图 Char1"/>
    <w:qFormat/>
    <w:uiPriority w:val="0"/>
    <w:rPr>
      <w:rFonts w:ascii="宋体"/>
      <w:kern w:val="2"/>
      <w:sz w:val="18"/>
      <w:szCs w:val="18"/>
    </w:rPr>
  </w:style>
  <w:style w:type="character" w:customStyle="1" w:styleId="172">
    <w:name w:val="_Style 170"/>
    <w:qFormat/>
    <w:uiPriority w:val="0"/>
    <w:rPr>
      <w:i/>
      <w:iCs/>
      <w:color w:val="808080"/>
    </w:rPr>
  </w:style>
  <w:style w:type="character" w:customStyle="1" w:styleId="173">
    <w:name w:val="_Style 171"/>
    <w:qFormat/>
    <w:uiPriority w:val="0"/>
    <w:rPr>
      <w:b/>
      <w:bCs/>
      <w:smallCaps/>
      <w:color w:val="C0504D"/>
      <w:spacing w:val="5"/>
      <w:u w:val="single"/>
    </w:rPr>
  </w:style>
  <w:style w:type="character" w:customStyle="1" w:styleId="174">
    <w:name w:val="标题 9 Char"/>
    <w:qFormat/>
    <w:uiPriority w:val="0"/>
    <w:rPr>
      <w:rFonts w:ascii="Arial" w:hAnsi="Arial" w:eastAsia="黑体" w:cs="Times New Roman"/>
      <w:szCs w:val="21"/>
    </w:rPr>
  </w:style>
  <w:style w:type="character" w:customStyle="1" w:styleId="175">
    <w:name w:val="页眉 Char1"/>
    <w:semiHidden/>
    <w:qFormat/>
    <w:uiPriority w:val="99"/>
    <w:rPr>
      <w:kern w:val="2"/>
      <w:sz w:val="18"/>
      <w:szCs w:val="18"/>
    </w:rPr>
  </w:style>
  <w:style w:type="character" w:customStyle="1" w:styleId="176">
    <w:name w:val="_Style 174"/>
    <w:qFormat/>
    <w:uiPriority w:val="0"/>
    <w:rPr>
      <w:b/>
      <w:bCs/>
      <w:i/>
      <w:iCs/>
      <w:color w:val="4F81BD"/>
    </w:rPr>
  </w:style>
  <w:style w:type="character" w:customStyle="1" w:styleId="177">
    <w:name w:val="Char Char35"/>
    <w:qFormat/>
    <w:uiPriority w:val="0"/>
    <w:rPr>
      <w:rFonts w:ascii="仿宋_GB2312" w:eastAsia="仿宋_GB2312" w:cs="MingLiU"/>
      <w:b/>
      <w:sz w:val="24"/>
      <w:szCs w:val="28"/>
    </w:rPr>
  </w:style>
  <w:style w:type="character" w:customStyle="1" w:styleId="178">
    <w:name w:val="日期 Char2"/>
    <w:qFormat/>
    <w:uiPriority w:val="99"/>
    <w:rPr>
      <w:kern w:val="2"/>
      <w:sz w:val="21"/>
      <w:szCs w:val="24"/>
    </w:rPr>
  </w:style>
  <w:style w:type="character" w:customStyle="1" w:styleId="179">
    <w:name w:val="Char Char22"/>
    <w:qFormat/>
    <w:uiPriority w:val="0"/>
    <w:rPr>
      <w:b/>
      <w:bCs/>
      <w:kern w:val="2"/>
      <w:sz w:val="32"/>
      <w:szCs w:val="32"/>
    </w:rPr>
  </w:style>
  <w:style w:type="character" w:customStyle="1" w:styleId="180">
    <w:name w:val="正文文本缩进 2 Char2"/>
    <w:semiHidden/>
    <w:qFormat/>
    <w:uiPriority w:val="99"/>
    <w:rPr>
      <w:rFonts w:ascii="Calibri" w:hAnsi="Calibri" w:eastAsia="宋体" w:cs="Times New Roman"/>
      <w:szCs w:val="24"/>
    </w:rPr>
  </w:style>
  <w:style w:type="character" w:customStyle="1" w:styleId="181">
    <w:name w:val="明显强调1"/>
    <w:qFormat/>
    <w:uiPriority w:val="0"/>
    <w:rPr>
      <w:b/>
      <w:bCs/>
      <w:i/>
      <w:iCs/>
      <w:color w:val="4F81BD"/>
    </w:rPr>
  </w:style>
  <w:style w:type="character" w:customStyle="1" w:styleId="182">
    <w:name w:val="Char Char14"/>
    <w:qFormat/>
    <w:uiPriority w:val="0"/>
    <w:rPr>
      <w:kern w:val="2"/>
      <w:sz w:val="18"/>
      <w:szCs w:val="18"/>
    </w:rPr>
  </w:style>
  <w:style w:type="character" w:customStyle="1" w:styleId="183">
    <w:name w:val="s3"/>
    <w:qFormat/>
    <w:uiPriority w:val="0"/>
  </w:style>
  <w:style w:type="character" w:customStyle="1" w:styleId="184">
    <w:name w:val="标题 1 Char"/>
    <w:qFormat/>
    <w:uiPriority w:val="0"/>
    <w:rPr>
      <w:rFonts w:ascii="Times New Roman" w:hAnsi="Times New Roman" w:eastAsia="宋体" w:cs="Times New Roman"/>
      <w:b/>
      <w:bCs/>
      <w:kern w:val="44"/>
      <w:sz w:val="44"/>
      <w:szCs w:val="44"/>
    </w:rPr>
  </w:style>
  <w:style w:type="character" w:customStyle="1" w:styleId="185">
    <w:name w:val="日期 Char3"/>
    <w:semiHidden/>
    <w:qFormat/>
    <w:uiPriority w:val="99"/>
    <w:rPr>
      <w:rFonts w:ascii="Calibri" w:hAnsi="Calibri" w:eastAsia="宋体" w:cs="Times New Roman"/>
      <w:szCs w:val="24"/>
    </w:rPr>
  </w:style>
  <w:style w:type="character" w:customStyle="1" w:styleId="186">
    <w:name w:val="标题 1 Char2"/>
    <w:link w:val="3"/>
    <w:qFormat/>
    <w:uiPriority w:val="0"/>
    <w:rPr>
      <w:rFonts w:eastAsia="宋体"/>
      <w:b/>
      <w:bCs/>
      <w:kern w:val="44"/>
      <w:sz w:val="44"/>
      <w:szCs w:val="44"/>
      <w:lang w:val="en-US" w:eastAsia="zh-CN" w:bidi="ar-SA"/>
    </w:rPr>
  </w:style>
  <w:style w:type="character" w:customStyle="1" w:styleId="187">
    <w:name w:val="title11"/>
    <w:qFormat/>
    <w:uiPriority w:val="0"/>
    <w:rPr>
      <w:b/>
      <w:bCs/>
      <w:color w:val="FFFFFF"/>
      <w:sz w:val="11"/>
      <w:szCs w:val="11"/>
    </w:rPr>
  </w:style>
  <w:style w:type="character" w:customStyle="1" w:styleId="188">
    <w:name w:val="明显引用 Char2"/>
    <w:qFormat/>
    <w:uiPriority w:val="99"/>
    <w:rPr>
      <w:b/>
      <w:bCs/>
      <w:i/>
      <w:iCs/>
      <w:color w:val="4F81BD"/>
      <w:kern w:val="2"/>
      <w:sz w:val="21"/>
      <w:szCs w:val="24"/>
    </w:rPr>
  </w:style>
  <w:style w:type="character" w:customStyle="1" w:styleId="189">
    <w:name w:val="引用 Char4"/>
    <w:link w:val="118"/>
    <w:qFormat/>
    <w:uiPriority w:val="0"/>
    <w:rPr>
      <w:i/>
      <w:iCs/>
      <w:color w:val="000000"/>
      <w:kern w:val="2"/>
      <w:sz w:val="21"/>
      <w:szCs w:val="22"/>
      <w:lang w:bidi="ar-SA"/>
    </w:rPr>
  </w:style>
  <w:style w:type="character" w:customStyle="1" w:styleId="190">
    <w:name w:val="批注框文本 Char3"/>
    <w:semiHidden/>
    <w:qFormat/>
    <w:uiPriority w:val="99"/>
    <w:rPr>
      <w:rFonts w:ascii="Calibri" w:hAnsi="Calibri" w:eastAsia="宋体" w:cs="Times New Roman"/>
      <w:sz w:val="18"/>
      <w:szCs w:val="18"/>
    </w:rPr>
  </w:style>
  <w:style w:type="character" w:customStyle="1" w:styleId="191">
    <w:name w:val="标题 2 Char2"/>
    <w:link w:val="4"/>
    <w:qFormat/>
    <w:uiPriority w:val="0"/>
    <w:rPr>
      <w:rFonts w:ascii="Cambria" w:hAnsi="Cambria" w:eastAsia="宋体"/>
      <w:b/>
      <w:bCs/>
      <w:kern w:val="2"/>
      <w:sz w:val="32"/>
      <w:szCs w:val="32"/>
      <w:lang w:val="en-US" w:eastAsia="zh-CN" w:bidi="ar-SA"/>
    </w:rPr>
  </w:style>
  <w:style w:type="character" w:customStyle="1" w:styleId="192">
    <w:name w:val="Char Char33"/>
    <w:qFormat/>
    <w:uiPriority w:val="0"/>
    <w:rPr>
      <w:rFonts w:ascii="仿宋_GB2312" w:eastAsia="仿宋_GB2312" w:cs="MingLiU"/>
      <w:b/>
      <w:sz w:val="24"/>
      <w:szCs w:val="28"/>
    </w:rPr>
  </w:style>
  <w:style w:type="character" w:customStyle="1" w:styleId="193">
    <w:name w:val="标题 2 Char"/>
    <w:qFormat/>
    <w:uiPriority w:val="0"/>
    <w:rPr>
      <w:rFonts w:ascii="仿宋_GB2312" w:hAnsi="Calibri" w:eastAsia="仿宋_GB2312" w:cs="Times New Roman"/>
      <w:b/>
      <w:spacing w:val="1"/>
      <w:w w:val="99"/>
      <w:kern w:val="0"/>
      <w:sz w:val="28"/>
      <w:szCs w:val="32"/>
    </w:rPr>
  </w:style>
  <w:style w:type="character" w:customStyle="1" w:styleId="194">
    <w:name w:val="l1"/>
    <w:basedOn w:val="46"/>
    <w:qFormat/>
    <w:uiPriority w:val="0"/>
  </w:style>
  <w:style w:type="character" w:customStyle="1" w:styleId="195">
    <w:name w:val="手改 Char Char"/>
    <w:qFormat/>
    <w:uiPriority w:val="0"/>
    <w:rPr>
      <w:kern w:val="2"/>
      <w:sz w:val="21"/>
      <w:szCs w:val="24"/>
    </w:rPr>
  </w:style>
  <w:style w:type="character" w:customStyle="1" w:styleId="196">
    <w:name w:val="style21"/>
    <w:qFormat/>
    <w:uiPriority w:val="0"/>
    <w:rPr>
      <w:b/>
      <w:bCs/>
      <w:sz w:val="28"/>
      <w:szCs w:val="28"/>
    </w:rPr>
  </w:style>
  <w:style w:type="character" w:customStyle="1" w:styleId="197">
    <w:name w:val="Char Char24"/>
    <w:qFormat/>
    <w:uiPriority w:val="0"/>
    <w:rPr>
      <w:b/>
      <w:bCs/>
      <w:kern w:val="44"/>
      <w:sz w:val="44"/>
      <w:szCs w:val="44"/>
    </w:rPr>
  </w:style>
  <w:style w:type="character" w:customStyle="1" w:styleId="198">
    <w:name w:val="页脚 Char2"/>
    <w:link w:val="31"/>
    <w:qFormat/>
    <w:uiPriority w:val="0"/>
    <w:rPr>
      <w:rFonts w:eastAsia="宋体"/>
      <w:kern w:val="2"/>
      <w:sz w:val="18"/>
      <w:szCs w:val="18"/>
      <w:lang w:val="en-US" w:eastAsia="zh-CN" w:bidi="ar-SA"/>
    </w:rPr>
  </w:style>
  <w:style w:type="character" w:customStyle="1" w:styleId="199">
    <w:name w:val="_Style 197"/>
    <w:qFormat/>
    <w:uiPriority w:val="0"/>
    <w:rPr>
      <w:b/>
      <w:bCs/>
      <w:smallCaps/>
      <w:spacing w:val="5"/>
    </w:rPr>
  </w:style>
  <w:style w:type="character" w:customStyle="1" w:styleId="200">
    <w:name w:val="纯文本 Char1"/>
    <w:qFormat/>
    <w:uiPriority w:val="0"/>
    <w:rPr>
      <w:rFonts w:ascii="宋体" w:hAnsi="Courier New" w:cs="Courier New"/>
      <w:kern w:val="2"/>
      <w:sz w:val="21"/>
      <w:szCs w:val="21"/>
    </w:rPr>
  </w:style>
  <w:style w:type="character" w:customStyle="1" w:styleId="201">
    <w:name w:val="尾注文本 Char"/>
    <w:qFormat/>
    <w:uiPriority w:val="0"/>
    <w:rPr>
      <w:kern w:val="2"/>
      <w:sz w:val="21"/>
      <w:szCs w:val="24"/>
    </w:rPr>
  </w:style>
  <w:style w:type="character" w:customStyle="1" w:styleId="202">
    <w:name w:val="日期 Char1"/>
    <w:qFormat/>
    <w:uiPriority w:val="99"/>
    <w:rPr>
      <w:kern w:val="2"/>
      <w:sz w:val="21"/>
      <w:szCs w:val="22"/>
    </w:rPr>
  </w:style>
  <w:style w:type="character" w:customStyle="1" w:styleId="203">
    <w:name w:val="纯文本 Char3"/>
    <w:link w:val="25"/>
    <w:qFormat/>
    <w:uiPriority w:val="0"/>
    <w:rPr>
      <w:rFonts w:ascii="宋体" w:hAnsi="Courier New" w:eastAsia="宋体" w:cs="Courier New"/>
      <w:kern w:val="2"/>
      <w:sz w:val="21"/>
      <w:szCs w:val="21"/>
      <w:lang w:val="en-US" w:eastAsia="zh-CN" w:bidi="ar-SA"/>
    </w:rPr>
  </w:style>
  <w:style w:type="character" w:customStyle="1" w:styleId="204">
    <w:name w:val="正文文本 Char1"/>
    <w:qFormat/>
    <w:uiPriority w:val="0"/>
    <w:rPr>
      <w:kern w:val="2"/>
      <w:sz w:val="21"/>
      <w:szCs w:val="22"/>
    </w:rPr>
  </w:style>
  <w:style w:type="character" w:customStyle="1" w:styleId="205">
    <w:name w:val="标题 9 Char1"/>
    <w:qFormat/>
    <w:uiPriority w:val="0"/>
    <w:rPr>
      <w:rFonts w:ascii="Times New Roman" w:hAnsi="Times New Roman" w:eastAsia="仿宋_GB2312" w:cs="Times New Roman"/>
      <w:sz w:val="30"/>
      <w:szCs w:val="20"/>
    </w:rPr>
  </w:style>
  <w:style w:type="character" w:customStyle="1" w:styleId="206">
    <w:name w:val="批注框文本 Char4"/>
    <w:link w:val="30"/>
    <w:qFormat/>
    <w:uiPriority w:val="0"/>
    <w:rPr>
      <w:rFonts w:eastAsia="宋体"/>
      <w:kern w:val="2"/>
      <w:sz w:val="18"/>
      <w:szCs w:val="18"/>
      <w:lang w:val="en-US" w:eastAsia="zh-CN" w:bidi="ar-SA"/>
    </w:rPr>
  </w:style>
  <w:style w:type="character" w:customStyle="1" w:styleId="207">
    <w:name w:val="脚注文本 Char1"/>
    <w:qFormat/>
    <w:uiPriority w:val="0"/>
    <w:rPr>
      <w:rFonts w:ascii="Arial" w:hAnsi="Arial" w:cs="Arial"/>
      <w:sz w:val="18"/>
      <w:szCs w:val="18"/>
      <w:lang w:eastAsia="en-US"/>
    </w:rPr>
  </w:style>
  <w:style w:type="character" w:customStyle="1" w:styleId="208">
    <w:name w:val="正文文本缩进 Char"/>
    <w:qFormat/>
    <w:uiPriority w:val="0"/>
    <w:rPr>
      <w:rFonts w:ascii="黑体" w:hAnsi="宋体" w:eastAsia="黑体"/>
      <w:color w:val="000000"/>
      <w:sz w:val="28"/>
      <w:szCs w:val="32"/>
    </w:rPr>
  </w:style>
  <w:style w:type="character" w:customStyle="1" w:styleId="209">
    <w:name w:val="HTML 预设格式 Char1"/>
    <w:qFormat/>
    <w:uiPriority w:val="0"/>
    <w:rPr>
      <w:rFonts w:ascii="宋体" w:hAnsi="宋体" w:cs="宋体"/>
      <w:color w:val="000000"/>
      <w:sz w:val="24"/>
      <w:szCs w:val="24"/>
    </w:rPr>
  </w:style>
  <w:style w:type="character" w:customStyle="1" w:styleId="210">
    <w:name w:val="引用 Char3"/>
    <w:qFormat/>
    <w:uiPriority w:val="29"/>
    <w:rPr>
      <w:rFonts w:ascii="Calibri" w:hAnsi="Calibri" w:eastAsia="宋体" w:cs="Times New Roman"/>
      <w:i/>
      <w:iCs/>
      <w:color w:val="000000"/>
      <w:szCs w:val="24"/>
    </w:rPr>
  </w:style>
  <w:style w:type="character" w:customStyle="1" w:styleId="211">
    <w:name w:val="尾注文本 Char3"/>
    <w:link w:val="29"/>
    <w:qFormat/>
    <w:uiPriority w:val="0"/>
    <w:rPr>
      <w:rFonts w:ascii="Arial" w:hAnsi="Arial" w:eastAsia="宋体" w:cs="Arial"/>
      <w:szCs w:val="24"/>
      <w:lang w:val="en-US" w:eastAsia="en-US" w:bidi="ar-SA"/>
    </w:rPr>
  </w:style>
  <w:style w:type="character" w:customStyle="1" w:styleId="212">
    <w:name w:val="标题 7 Char1"/>
    <w:qFormat/>
    <w:uiPriority w:val="0"/>
    <w:rPr>
      <w:rFonts w:ascii="Times New Roman" w:hAnsi="Times New Roman" w:eastAsia="仿宋_GB2312" w:cs="Times New Roman"/>
      <w:sz w:val="30"/>
      <w:szCs w:val="20"/>
    </w:rPr>
  </w:style>
  <w:style w:type="character" w:customStyle="1" w:styleId="213">
    <w:name w:val="普通文字 Char Char1"/>
    <w:qFormat/>
    <w:uiPriority w:val="0"/>
    <w:rPr>
      <w:rFonts w:ascii="宋体" w:hAnsi="Courier New"/>
      <w:kern w:val="2"/>
      <w:sz w:val="28"/>
      <w:szCs w:val="28"/>
    </w:rPr>
  </w:style>
  <w:style w:type="character" w:customStyle="1" w:styleId="214">
    <w:name w:val="明显参考1"/>
    <w:qFormat/>
    <w:uiPriority w:val="0"/>
    <w:rPr>
      <w:b/>
      <w:bCs/>
      <w:smallCaps/>
      <w:color w:val="C0504D"/>
      <w:spacing w:val="5"/>
      <w:u w:val="single"/>
    </w:rPr>
  </w:style>
  <w:style w:type="character" w:customStyle="1" w:styleId="215">
    <w:name w:val="正文文本缩进 Char1"/>
    <w:qFormat/>
    <w:uiPriority w:val="0"/>
    <w:rPr>
      <w:kern w:val="2"/>
      <w:sz w:val="21"/>
      <w:szCs w:val="24"/>
    </w:rPr>
  </w:style>
  <w:style w:type="character" w:customStyle="1" w:styleId="216">
    <w:name w:val="页眉 Char"/>
    <w:qFormat/>
    <w:uiPriority w:val="0"/>
    <w:rPr>
      <w:sz w:val="18"/>
      <w:szCs w:val="18"/>
    </w:rPr>
  </w:style>
  <w:style w:type="character" w:customStyle="1" w:styleId="217">
    <w:name w:val="style31"/>
    <w:qFormat/>
    <w:uiPriority w:val="0"/>
    <w:rPr>
      <w:sz w:val="10"/>
      <w:szCs w:val="10"/>
    </w:rPr>
  </w:style>
  <w:style w:type="character" w:customStyle="1" w:styleId="218">
    <w:name w:val="日期 Char"/>
    <w:qFormat/>
    <w:uiPriority w:val="0"/>
    <w:rPr>
      <w:rFonts w:eastAsia="宋体"/>
      <w:szCs w:val="24"/>
    </w:rPr>
  </w:style>
  <w:style w:type="character" w:customStyle="1" w:styleId="219">
    <w:name w:val="标题 1 Char1"/>
    <w:qFormat/>
    <w:uiPriority w:val="0"/>
    <w:rPr>
      <w:rFonts w:ascii="Times New Roman" w:hAnsi="Times New Roman" w:eastAsia="宋体" w:cs="Times New Roman"/>
      <w:b/>
      <w:bCs/>
      <w:kern w:val="44"/>
      <w:sz w:val="44"/>
      <w:szCs w:val="44"/>
    </w:rPr>
  </w:style>
  <w:style w:type="character" w:customStyle="1" w:styleId="220">
    <w:name w:val="main_tdbg_7601"/>
    <w:qFormat/>
    <w:uiPriority w:val="0"/>
    <w:rPr>
      <w:sz w:val="14"/>
      <w:szCs w:val="14"/>
    </w:rPr>
  </w:style>
  <w:style w:type="character" w:customStyle="1" w:styleId="221">
    <w:name w:val="尾注文本 Char1"/>
    <w:qFormat/>
    <w:uiPriority w:val="0"/>
    <w:rPr>
      <w:rFonts w:ascii="Arial" w:hAnsi="Arial" w:cs="Arial"/>
      <w:szCs w:val="24"/>
      <w:lang w:eastAsia="en-US"/>
    </w:rPr>
  </w:style>
  <w:style w:type="character" w:customStyle="1" w:styleId="222">
    <w:name w:val="副标题 Char2"/>
    <w:qFormat/>
    <w:uiPriority w:val="11"/>
    <w:rPr>
      <w:rFonts w:ascii="Cambria" w:hAnsi="Cambria" w:eastAsia="宋体" w:cs="Times New Roman"/>
      <w:b/>
      <w:bCs/>
      <w:kern w:val="28"/>
      <w:sz w:val="32"/>
      <w:szCs w:val="32"/>
    </w:rPr>
  </w:style>
  <w:style w:type="character" w:customStyle="1" w:styleId="223">
    <w:name w:val="正文文本缩进 3 Char2"/>
    <w:semiHidden/>
    <w:qFormat/>
    <w:uiPriority w:val="99"/>
    <w:rPr>
      <w:rFonts w:ascii="Calibri" w:hAnsi="Calibri" w:eastAsia="宋体" w:cs="Times New Roman"/>
      <w:sz w:val="16"/>
      <w:szCs w:val="16"/>
    </w:rPr>
  </w:style>
  <w:style w:type="character" w:customStyle="1" w:styleId="224">
    <w:name w:val="Char Char34"/>
    <w:qFormat/>
    <w:uiPriority w:val="0"/>
    <w:rPr>
      <w:rFonts w:ascii="仿宋_GB2312" w:eastAsia="仿宋_GB2312" w:cs="MingLiU"/>
      <w:b/>
      <w:spacing w:val="1"/>
      <w:w w:val="99"/>
      <w:sz w:val="28"/>
      <w:szCs w:val="32"/>
    </w:rPr>
  </w:style>
  <w:style w:type="character" w:customStyle="1" w:styleId="225">
    <w:name w:val="docpro"/>
    <w:basedOn w:val="46"/>
    <w:qFormat/>
    <w:uiPriority w:val="0"/>
  </w:style>
  <w:style w:type="character" w:customStyle="1" w:styleId="226">
    <w:name w:val="正文文本 Char4"/>
    <w:link w:val="2"/>
    <w:qFormat/>
    <w:uiPriority w:val="0"/>
    <w:rPr>
      <w:rFonts w:eastAsia="宋体"/>
      <w:kern w:val="2"/>
      <w:sz w:val="21"/>
      <w:szCs w:val="24"/>
      <w:lang w:val="en-US" w:eastAsia="zh-CN" w:bidi="ar-SA"/>
    </w:rPr>
  </w:style>
  <w:style w:type="character" w:customStyle="1" w:styleId="227">
    <w:name w:val="ITTHEADER1 Char"/>
    <w:qFormat/>
    <w:uiPriority w:val="0"/>
    <w:rPr>
      <w:rFonts w:eastAsia="黑体"/>
      <w:kern w:val="2"/>
      <w:sz w:val="44"/>
      <w:szCs w:val="44"/>
      <w:lang w:val="en-US" w:eastAsia="zh-CN" w:bidi="ar-SA"/>
    </w:rPr>
  </w:style>
  <w:style w:type="character" w:customStyle="1" w:styleId="228">
    <w:name w:val="副标题 Char"/>
    <w:qFormat/>
    <w:uiPriority w:val="0"/>
    <w:rPr>
      <w:rFonts w:ascii="Cambria" w:hAnsi="Cambria" w:eastAsia="宋体" w:cs="Times New Roman"/>
      <w:b/>
      <w:bCs/>
      <w:kern w:val="28"/>
      <w:sz w:val="32"/>
      <w:szCs w:val="32"/>
    </w:rPr>
  </w:style>
  <w:style w:type="character" w:customStyle="1" w:styleId="229">
    <w:name w:val="标题 6 Char2"/>
    <w:link w:val="8"/>
    <w:qFormat/>
    <w:uiPriority w:val="0"/>
    <w:rPr>
      <w:rFonts w:hAnsi="Arial" w:eastAsia="仿宋_GB2312"/>
      <w:sz w:val="30"/>
      <w:lang w:val="en-US" w:eastAsia="zh-CN" w:bidi="ar-SA"/>
    </w:rPr>
  </w:style>
  <w:style w:type="character" w:customStyle="1" w:styleId="230">
    <w:name w:val="标题 Char2"/>
    <w:qFormat/>
    <w:uiPriority w:val="10"/>
    <w:rPr>
      <w:rFonts w:ascii="Cambria" w:hAnsi="Cambria" w:eastAsia="宋体" w:cs="Times New Roman"/>
      <w:b/>
      <w:bCs/>
      <w:sz w:val="32"/>
      <w:szCs w:val="32"/>
    </w:rPr>
  </w:style>
  <w:style w:type="character" w:customStyle="1" w:styleId="231">
    <w:name w:val="正文文本 Char2"/>
    <w:qFormat/>
    <w:uiPriority w:val="99"/>
    <w:rPr>
      <w:kern w:val="2"/>
      <w:sz w:val="21"/>
      <w:szCs w:val="24"/>
    </w:rPr>
  </w:style>
  <w:style w:type="character" w:customStyle="1" w:styleId="232">
    <w:name w:val="正文文本 2 Char"/>
    <w:link w:val="41"/>
    <w:qFormat/>
    <w:uiPriority w:val="0"/>
    <w:rPr>
      <w:i/>
      <w:iCs/>
      <w:kern w:val="2"/>
      <w:sz w:val="26"/>
      <w:szCs w:val="24"/>
    </w:rPr>
  </w:style>
  <w:style w:type="character" w:customStyle="1" w:styleId="233">
    <w:name w:val="0d1471"/>
    <w:qFormat/>
    <w:uiPriority w:val="0"/>
    <w:rPr>
      <w:color w:val="000000"/>
      <w:sz w:val="11"/>
      <w:szCs w:val="11"/>
      <w:u w:val="none"/>
    </w:rPr>
  </w:style>
  <w:style w:type="character" w:customStyle="1" w:styleId="234">
    <w:name w:val="批注主题 Char"/>
    <w:qFormat/>
    <w:uiPriority w:val="0"/>
    <w:rPr>
      <w:rFonts w:ascii="宋体" w:hAnsi="宋体" w:eastAsia="宋体"/>
      <w:kern w:val="2"/>
      <w:sz w:val="24"/>
      <w:szCs w:val="28"/>
      <w:lang w:val="en-US" w:eastAsia="zh-CN" w:bidi="ar-SA"/>
    </w:rPr>
  </w:style>
  <w:style w:type="character" w:customStyle="1" w:styleId="235">
    <w:name w:val="正文文本 2 Char1"/>
    <w:semiHidden/>
    <w:qFormat/>
    <w:uiPriority w:val="99"/>
    <w:rPr>
      <w:rFonts w:ascii="Calibri" w:hAnsi="Calibri" w:eastAsia="宋体" w:cs="Times New Roman"/>
      <w:szCs w:val="24"/>
    </w:rPr>
  </w:style>
  <w:style w:type="character" w:customStyle="1" w:styleId="236">
    <w:name w:val="批注框文本 Char1"/>
    <w:qFormat/>
    <w:uiPriority w:val="99"/>
    <w:rPr>
      <w:kern w:val="2"/>
      <w:sz w:val="18"/>
      <w:szCs w:val="18"/>
    </w:rPr>
  </w:style>
  <w:style w:type="character" w:customStyle="1" w:styleId="237">
    <w:name w:val="标题 Char3"/>
    <w:link w:val="45"/>
    <w:qFormat/>
    <w:uiPriority w:val="0"/>
    <w:rPr>
      <w:rFonts w:eastAsia="宋体"/>
      <w:szCs w:val="24"/>
      <w:u w:val="single"/>
      <w:lang w:val="en-US" w:eastAsia="en-US" w:bidi="ar-SA"/>
    </w:rPr>
  </w:style>
  <w:style w:type="character" w:customStyle="1" w:styleId="238">
    <w:name w:val="正文文本缩进 2 Char3"/>
    <w:link w:val="28"/>
    <w:qFormat/>
    <w:uiPriority w:val="0"/>
    <w:rPr>
      <w:rFonts w:eastAsia="宋体"/>
      <w:sz w:val="28"/>
      <w:szCs w:val="24"/>
      <w:lang w:val="en-US" w:eastAsia="zh-CN" w:bidi="ar-SA"/>
    </w:rPr>
  </w:style>
  <w:style w:type="character" w:customStyle="1" w:styleId="239">
    <w:name w:val="引用 Char"/>
    <w:link w:val="116"/>
    <w:qFormat/>
    <w:uiPriority w:val="0"/>
    <w:rPr>
      <w:rFonts w:ascii="Times New Roman" w:hAnsi="Times New Roman" w:eastAsia="宋体" w:cs="Times New Roman"/>
      <w:i/>
      <w:iCs/>
      <w:color w:val="000000"/>
      <w:kern w:val="2"/>
      <w:sz w:val="21"/>
      <w:szCs w:val="24"/>
    </w:rPr>
  </w:style>
  <w:style w:type="character" w:customStyle="1" w:styleId="240">
    <w:name w:val="font161"/>
    <w:qFormat/>
    <w:uiPriority w:val="0"/>
    <w:rPr>
      <w:b/>
      <w:bCs/>
      <w:sz w:val="32"/>
      <w:szCs w:val="32"/>
    </w:rPr>
  </w:style>
  <w:style w:type="character" w:customStyle="1" w:styleId="241">
    <w:name w:val="正文文本缩进 Char3"/>
    <w:link w:val="20"/>
    <w:qFormat/>
    <w:uiPriority w:val="0"/>
    <w:rPr>
      <w:rFonts w:eastAsia="宋体"/>
      <w:kern w:val="2"/>
      <w:sz w:val="21"/>
      <w:szCs w:val="24"/>
      <w:lang w:val="en-US" w:eastAsia="zh-CN" w:bidi="ar-SA"/>
    </w:rPr>
  </w:style>
  <w:style w:type="character" w:customStyle="1" w:styleId="242">
    <w:name w:val="标题 9 Char2"/>
    <w:link w:val="12"/>
    <w:qFormat/>
    <w:uiPriority w:val="0"/>
    <w:rPr>
      <w:rFonts w:eastAsia="仿宋_GB2312"/>
      <w:sz w:val="30"/>
      <w:lang w:val="en-US" w:eastAsia="zh-CN" w:bidi="ar-SA"/>
    </w:rPr>
  </w:style>
  <w:style w:type="character" w:customStyle="1" w:styleId="243">
    <w:name w:val="标题 8 Char2"/>
    <w:link w:val="11"/>
    <w:qFormat/>
    <w:uiPriority w:val="0"/>
    <w:rPr>
      <w:rFonts w:hAnsi="Arial" w:eastAsia="仿宋_GB2312"/>
      <w:sz w:val="30"/>
      <w:lang w:val="en-US" w:eastAsia="zh-CN" w:bidi="ar-SA"/>
    </w:rPr>
  </w:style>
  <w:style w:type="character" w:customStyle="1" w:styleId="244">
    <w:name w:val="Char Char32"/>
    <w:qFormat/>
    <w:uiPriority w:val="0"/>
    <w:rPr>
      <w:rFonts w:ascii="仿宋_GB2312" w:eastAsia="仿宋_GB2312" w:cs="MingLiU"/>
      <w:b/>
      <w:spacing w:val="1"/>
      <w:w w:val="99"/>
      <w:sz w:val="28"/>
      <w:szCs w:val="32"/>
    </w:rPr>
  </w:style>
  <w:style w:type="character" w:customStyle="1" w:styleId="245">
    <w:name w:val="正文文本缩进 3 Char3"/>
    <w:link w:val="38"/>
    <w:qFormat/>
    <w:uiPriority w:val="0"/>
    <w:rPr>
      <w:rFonts w:ascii="宋体" w:hAnsi="宋体" w:eastAsia="宋体"/>
      <w:kern w:val="2"/>
      <w:sz w:val="28"/>
      <w:szCs w:val="28"/>
      <w:lang w:val="en-US" w:eastAsia="zh-CN" w:bidi="ar-SA"/>
    </w:rPr>
  </w:style>
  <w:style w:type="character" w:customStyle="1" w:styleId="246">
    <w:name w:val="标题 2 Char1"/>
    <w:qFormat/>
    <w:uiPriority w:val="0"/>
    <w:rPr>
      <w:rFonts w:ascii="Cambria" w:hAnsi="Cambria" w:eastAsia="宋体" w:cs="Times New Roman"/>
      <w:b/>
      <w:bCs/>
      <w:kern w:val="2"/>
      <w:sz w:val="32"/>
      <w:szCs w:val="32"/>
    </w:rPr>
  </w:style>
  <w:style w:type="character" w:customStyle="1" w:styleId="247">
    <w:name w:val="ss16"/>
    <w:qFormat/>
    <w:uiPriority w:val="0"/>
    <w:rPr>
      <w:rFonts w:hint="eastAsia" w:ascii="宋体" w:hAnsi="宋体" w:eastAsia="宋体"/>
      <w:color w:val="000000"/>
      <w:sz w:val="9"/>
      <w:szCs w:val="9"/>
    </w:rPr>
  </w:style>
  <w:style w:type="character" w:customStyle="1" w:styleId="248">
    <w:name w:val="批注主题 Char3"/>
    <w:semiHidden/>
    <w:qFormat/>
    <w:uiPriority w:val="99"/>
    <w:rPr>
      <w:rFonts w:ascii="Calibri" w:hAnsi="Calibri" w:eastAsia="宋体" w:cs="Times New Roman"/>
      <w:b/>
      <w:bCs/>
      <w:szCs w:val="24"/>
    </w:rPr>
  </w:style>
  <w:style w:type="character" w:customStyle="1" w:styleId="249">
    <w:name w:val="明显引用 Char1"/>
    <w:link w:val="133"/>
    <w:qFormat/>
    <w:uiPriority w:val="30"/>
    <w:rPr>
      <w:b/>
      <w:bCs/>
      <w:i/>
      <w:iCs/>
      <w:color w:val="4F81BD"/>
      <w:kern w:val="2"/>
      <w:sz w:val="21"/>
    </w:rPr>
  </w:style>
  <w:style w:type="character" w:customStyle="1" w:styleId="250">
    <w:name w:val="HTML 预设格式 Char2"/>
    <w:semiHidden/>
    <w:qFormat/>
    <w:uiPriority w:val="99"/>
    <w:rPr>
      <w:rFonts w:ascii="Courier New" w:hAnsi="Courier New" w:eastAsia="宋体" w:cs="Courier New"/>
      <w:sz w:val="20"/>
      <w:szCs w:val="20"/>
    </w:rPr>
  </w:style>
  <w:style w:type="character" w:customStyle="1" w:styleId="251">
    <w:name w:val="Char Char17"/>
    <w:qFormat/>
    <w:uiPriority w:val="0"/>
    <w:rPr>
      <w:kern w:val="2"/>
      <w:sz w:val="26"/>
      <w:szCs w:val="24"/>
    </w:rPr>
  </w:style>
  <w:style w:type="character" w:customStyle="1" w:styleId="252">
    <w:name w:val="标题 3 Char1"/>
    <w:qFormat/>
    <w:uiPriority w:val="0"/>
    <w:rPr>
      <w:rFonts w:ascii="Times New Roman" w:hAnsi="Times New Roman" w:eastAsia="宋体" w:cs="Times New Roman"/>
      <w:b/>
      <w:bCs/>
      <w:kern w:val="2"/>
      <w:sz w:val="32"/>
      <w:szCs w:val="32"/>
    </w:rPr>
  </w:style>
  <w:style w:type="character" w:customStyle="1" w:styleId="253">
    <w:name w:val="标题 5 Char"/>
    <w:qFormat/>
    <w:uiPriority w:val="9"/>
    <w:rPr>
      <w:rFonts w:ascii="Calibri" w:hAnsi="Calibri" w:eastAsia="宋体" w:cs="Times New Roman"/>
      <w:b/>
      <w:bCs/>
      <w:sz w:val="28"/>
      <w:szCs w:val="28"/>
    </w:rPr>
  </w:style>
  <w:style w:type="character" w:customStyle="1" w:styleId="254">
    <w:name w:val="页脚 Char1"/>
    <w:semiHidden/>
    <w:qFormat/>
    <w:uiPriority w:val="99"/>
    <w:rPr>
      <w:kern w:val="2"/>
      <w:sz w:val="18"/>
      <w:szCs w:val="18"/>
    </w:rPr>
  </w:style>
  <w:style w:type="character" w:customStyle="1" w:styleId="255">
    <w:name w:val="unnamed1"/>
    <w:basedOn w:val="46"/>
    <w:qFormat/>
    <w:uiPriority w:val="0"/>
  </w:style>
  <w:style w:type="character" w:customStyle="1" w:styleId="256">
    <w:name w:val="Char Char9"/>
    <w:qFormat/>
    <w:locked/>
    <w:uiPriority w:val="0"/>
    <w:rPr>
      <w:rFonts w:ascii="仿宋_GB2312" w:eastAsia="仿宋_GB2312" w:cs="MingLiU"/>
      <w:b/>
      <w:sz w:val="24"/>
      <w:szCs w:val="28"/>
      <w:lang w:val="en-US" w:eastAsia="zh-CN" w:bidi="ar-SA"/>
    </w:rPr>
  </w:style>
  <w:style w:type="character" w:customStyle="1" w:styleId="257">
    <w:name w:val="批注主题 Char1"/>
    <w:qFormat/>
    <w:uiPriority w:val="99"/>
    <w:rPr>
      <w:b/>
      <w:bCs/>
      <w:kern w:val="2"/>
      <w:sz w:val="21"/>
      <w:szCs w:val="22"/>
    </w:rPr>
  </w:style>
  <w:style w:type="character" w:customStyle="1" w:styleId="258">
    <w:name w:val="正文文本 3 Char3"/>
    <w:link w:val="19"/>
    <w:qFormat/>
    <w:uiPriority w:val="0"/>
    <w:rPr>
      <w:rFonts w:eastAsia="宋体"/>
      <w:kern w:val="2"/>
      <w:sz w:val="16"/>
      <w:szCs w:val="16"/>
      <w:lang w:val="en-US" w:eastAsia="zh-CN" w:bidi="ar-SA"/>
    </w:rPr>
  </w:style>
  <w:style w:type="character" w:customStyle="1" w:styleId="259">
    <w:name w:val="纯文本 Char2"/>
    <w:semiHidden/>
    <w:qFormat/>
    <w:uiPriority w:val="99"/>
    <w:rPr>
      <w:rFonts w:ascii="宋体" w:hAnsi="Courier New" w:eastAsia="宋体" w:cs="Courier New"/>
      <w:szCs w:val="21"/>
    </w:rPr>
  </w:style>
  <w:style w:type="character" w:customStyle="1" w:styleId="260">
    <w:name w:val="intel3"/>
    <w:basedOn w:val="46"/>
    <w:qFormat/>
    <w:uiPriority w:val="0"/>
  </w:style>
  <w:style w:type="character" w:customStyle="1" w:styleId="261">
    <w:name w:val="subhead1"/>
    <w:qFormat/>
    <w:uiPriority w:val="0"/>
    <w:rPr>
      <w:rFonts w:hint="default" w:ascii="Tahoma" w:hAnsi="Tahoma" w:cs="Tahoma"/>
      <w:color w:val="000000"/>
      <w:sz w:val="18"/>
      <w:szCs w:val="18"/>
      <w:u w:val="none"/>
      <w:shd w:val="clear" w:color="auto" w:fill="FFFFFF"/>
    </w:rPr>
  </w:style>
  <w:style w:type="character" w:customStyle="1" w:styleId="262">
    <w:name w:val="脚注文本 Char"/>
    <w:qFormat/>
    <w:uiPriority w:val="0"/>
    <w:rPr>
      <w:rFonts w:ascii="Arial" w:hAnsi="Arial" w:eastAsia="宋体" w:cs="Arial"/>
      <w:sz w:val="18"/>
      <w:szCs w:val="18"/>
      <w:lang w:eastAsia="en-US"/>
    </w:rPr>
  </w:style>
  <w:style w:type="character" w:customStyle="1" w:styleId="263">
    <w:name w:val="引用 Char1"/>
    <w:link w:val="138"/>
    <w:qFormat/>
    <w:uiPriority w:val="29"/>
    <w:rPr>
      <w:i/>
      <w:iCs/>
      <w:color w:val="000000"/>
      <w:kern w:val="2"/>
      <w:sz w:val="21"/>
    </w:rPr>
  </w:style>
  <w:style w:type="character" w:customStyle="1" w:styleId="264">
    <w:name w:val="正文文本缩进 2 Char"/>
    <w:qFormat/>
    <w:uiPriority w:val="0"/>
    <w:rPr>
      <w:kern w:val="2"/>
      <w:sz w:val="21"/>
      <w:szCs w:val="24"/>
    </w:rPr>
  </w:style>
  <w:style w:type="character" w:customStyle="1" w:styleId="265">
    <w:name w:val="脚注文本 Char2"/>
    <w:semiHidden/>
    <w:qFormat/>
    <w:uiPriority w:val="99"/>
    <w:rPr>
      <w:rFonts w:ascii="Calibri" w:hAnsi="Calibri" w:eastAsia="宋体" w:cs="Times New Roman"/>
      <w:sz w:val="18"/>
      <w:szCs w:val="18"/>
    </w:rPr>
  </w:style>
  <w:style w:type="character" w:customStyle="1" w:styleId="266">
    <w:name w:val="ca-141"/>
    <w:qFormat/>
    <w:uiPriority w:val="0"/>
    <w:rPr>
      <w:rFonts w:hint="eastAsia" w:ascii="仿宋_GB2312" w:eastAsia="仿宋_GB2312"/>
      <w:sz w:val="21"/>
      <w:szCs w:val="21"/>
    </w:rPr>
  </w:style>
  <w:style w:type="character" w:customStyle="1" w:styleId="267">
    <w:name w:val="标题 Char1"/>
    <w:qFormat/>
    <w:uiPriority w:val="10"/>
    <w:rPr>
      <w:szCs w:val="24"/>
      <w:u w:val="single"/>
      <w:lang w:eastAsia="en-US"/>
    </w:rPr>
  </w:style>
  <w:style w:type="character" w:customStyle="1" w:styleId="268">
    <w:name w:val="style161"/>
    <w:qFormat/>
    <w:uiPriority w:val="0"/>
    <w:rPr>
      <w:b/>
      <w:bCs/>
      <w:color w:val="333333"/>
    </w:rPr>
  </w:style>
  <w:style w:type="character" w:customStyle="1" w:styleId="269">
    <w:name w:val="Char Char11"/>
    <w:qFormat/>
    <w:locked/>
    <w:uiPriority w:val="0"/>
    <w:rPr>
      <w:rFonts w:eastAsia="黑体"/>
      <w:kern w:val="2"/>
      <w:sz w:val="44"/>
      <w:szCs w:val="44"/>
      <w:lang w:val="en-US" w:eastAsia="zh-CN" w:bidi="ar-SA"/>
    </w:rPr>
  </w:style>
  <w:style w:type="character" w:customStyle="1" w:styleId="270">
    <w:name w:val="标题 7 Char"/>
    <w:qFormat/>
    <w:uiPriority w:val="0"/>
    <w:rPr>
      <w:rFonts w:ascii="Calibri" w:hAnsi="Calibri" w:eastAsia="宋体" w:cs="Times New Roman"/>
      <w:b/>
      <w:bCs/>
      <w:sz w:val="24"/>
      <w:szCs w:val="24"/>
    </w:rPr>
  </w:style>
  <w:style w:type="character" w:customStyle="1" w:styleId="271">
    <w:name w:val="批注文字 Char1"/>
    <w:qFormat/>
    <w:uiPriority w:val="0"/>
    <w:rPr>
      <w:rFonts w:ascii="Times New Roman" w:hAnsi="Times New Roman" w:eastAsia="宋体" w:cs="Times New Roman"/>
      <w:szCs w:val="24"/>
    </w:rPr>
  </w:style>
  <w:style w:type="character" w:customStyle="1" w:styleId="272">
    <w:name w:val="明显引用 Char"/>
    <w:qFormat/>
    <w:uiPriority w:val="0"/>
    <w:rPr>
      <w:rFonts w:ascii="Times New Roman" w:hAnsi="Times New Roman" w:eastAsia="宋体" w:cs="Times New Roman"/>
      <w:b/>
      <w:bCs/>
      <w:i/>
      <w:iCs/>
      <w:color w:val="4F81BD"/>
      <w:kern w:val="2"/>
      <w:sz w:val="21"/>
      <w:szCs w:val="24"/>
    </w:rPr>
  </w:style>
  <w:style w:type="character" w:customStyle="1" w:styleId="273">
    <w:name w:val="标题 5 Char2"/>
    <w:link w:val="7"/>
    <w:qFormat/>
    <w:uiPriority w:val="0"/>
    <w:rPr>
      <w:rFonts w:ascii="宋体" w:hAnsi="宋体" w:eastAsia="宋体" w:cs="宋体"/>
      <w:b/>
      <w:bCs/>
      <w:lang w:val="en-US" w:eastAsia="zh-CN" w:bidi="ar-SA"/>
    </w:rPr>
  </w:style>
  <w:style w:type="character" w:customStyle="1" w:styleId="274">
    <w:name w:val="正文文本缩进 3 Char1"/>
    <w:qFormat/>
    <w:uiPriority w:val="0"/>
    <w:rPr>
      <w:rFonts w:ascii="宋体" w:hAnsi="宋体"/>
      <w:kern w:val="2"/>
      <w:sz w:val="28"/>
      <w:szCs w:val="28"/>
    </w:rPr>
  </w:style>
  <w:style w:type="character" w:customStyle="1" w:styleId="275">
    <w:name w:val="正文文本 Char"/>
    <w:qFormat/>
    <w:uiPriority w:val="0"/>
    <w:rPr>
      <w:sz w:val="26"/>
      <w:szCs w:val="24"/>
    </w:rPr>
  </w:style>
  <w:style w:type="character" w:customStyle="1" w:styleId="276">
    <w:name w:val="明显引用 Char4"/>
    <w:link w:val="82"/>
    <w:qFormat/>
    <w:uiPriority w:val="0"/>
    <w:rPr>
      <w:b/>
      <w:bCs/>
      <w:i/>
      <w:iCs/>
      <w:color w:val="4F81BD"/>
      <w:kern w:val="2"/>
      <w:sz w:val="21"/>
      <w:szCs w:val="22"/>
      <w:lang w:bidi="ar-SA"/>
    </w:rPr>
  </w:style>
  <w:style w:type="character" w:customStyle="1" w:styleId="277">
    <w:name w:val="Char Char12"/>
    <w:qFormat/>
    <w:uiPriority w:val="0"/>
    <w:rPr>
      <w:rFonts w:eastAsia="黑体"/>
      <w:kern w:val="2"/>
      <w:sz w:val="44"/>
      <w:szCs w:val="44"/>
      <w:lang w:val="en-US" w:eastAsia="zh-CN" w:bidi="ar-SA"/>
    </w:rPr>
  </w:style>
  <w:style w:type="character" w:customStyle="1" w:styleId="278">
    <w:name w:val="标题 4 Char"/>
    <w:qFormat/>
    <w:uiPriority w:val="0"/>
    <w:rPr>
      <w:rFonts w:ascii="仿宋_GB2312" w:hAnsi="Calibri" w:eastAsia="仿宋_GB2312" w:cs="Times New Roman"/>
      <w:b/>
      <w:kern w:val="0"/>
      <w:sz w:val="24"/>
      <w:szCs w:val="28"/>
    </w:rPr>
  </w:style>
  <w:style w:type="character" w:customStyle="1" w:styleId="279">
    <w:name w:val="明显引用 Char3"/>
    <w:qFormat/>
    <w:uiPriority w:val="30"/>
    <w:rPr>
      <w:rFonts w:ascii="Calibri" w:hAnsi="Calibri" w:eastAsia="宋体" w:cs="Times New Roman"/>
      <w:b/>
      <w:bCs/>
      <w:i/>
      <w:iCs/>
      <w:color w:val="4F81BD"/>
      <w:szCs w:val="24"/>
    </w:rPr>
  </w:style>
  <w:style w:type="character" w:customStyle="1" w:styleId="280">
    <w:name w:val="引用 Char2"/>
    <w:qFormat/>
    <w:uiPriority w:val="99"/>
    <w:rPr>
      <w:i/>
      <w:iCs/>
      <w:color w:val="000000"/>
      <w:kern w:val="2"/>
      <w:sz w:val="21"/>
      <w:szCs w:val="24"/>
    </w:rPr>
  </w:style>
  <w:style w:type="character" w:customStyle="1" w:styleId="281">
    <w:name w:val="批注主题 Char4"/>
    <w:link w:val="13"/>
    <w:qFormat/>
    <w:uiPriority w:val="0"/>
    <w:rPr>
      <w:rFonts w:eastAsia="宋体"/>
      <w:b/>
      <w:bCs/>
      <w:kern w:val="2"/>
      <w:sz w:val="21"/>
      <w:szCs w:val="24"/>
      <w:lang w:val="en-US" w:eastAsia="zh-CN" w:bidi="ar-SA"/>
    </w:rPr>
  </w:style>
  <w:style w:type="character" w:customStyle="1" w:styleId="282">
    <w:name w:val="不明显强调1"/>
    <w:qFormat/>
    <w:uiPriority w:val="0"/>
    <w:rPr>
      <w:i/>
      <w:iCs/>
      <w:color w:val="808080"/>
    </w:rPr>
  </w:style>
  <w:style w:type="character" w:customStyle="1" w:styleId="283">
    <w:name w:val="color_red1"/>
    <w:qFormat/>
    <w:uiPriority w:val="0"/>
    <w:rPr>
      <w:color w:val="FA0004"/>
    </w:rPr>
  </w:style>
  <w:style w:type="character" w:customStyle="1" w:styleId="284">
    <w:name w:val="标题 7 Char2"/>
    <w:link w:val="10"/>
    <w:qFormat/>
    <w:uiPriority w:val="0"/>
    <w:rPr>
      <w:rFonts w:eastAsia="仿宋_GB2312"/>
      <w:sz w:val="30"/>
      <w:lang w:val="en-US" w:eastAsia="zh-CN" w:bidi="ar-SA"/>
    </w:rPr>
  </w:style>
  <w:style w:type="character" w:customStyle="1" w:styleId="285">
    <w:name w:val="标题5 Char Char"/>
    <w:link w:val="122"/>
    <w:qFormat/>
    <w:uiPriority w:val="0"/>
    <w:rPr>
      <w:rFonts w:ascii="Arial" w:hAnsi="Arial"/>
      <w:b/>
      <w:bCs/>
      <w:sz w:val="24"/>
      <w:szCs w:val="32"/>
      <w:lang w:bidi="ar-SA"/>
    </w:rPr>
  </w:style>
  <w:style w:type="character" w:customStyle="1" w:styleId="286">
    <w:name w:val="脚注文本 Char3"/>
    <w:link w:val="36"/>
    <w:qFormat/>
    <w:uiPriority w:val="0"/>
    <w:rPr>
      <w:rFonts w:ascii="Arial" w:hAnsi="Arial" w:eastAsia="宋体" w:cs="Arial"/>
      <w:sz w:val="18"/>
      <w:szCs w:val="18"/>
      <w:lang w:val="en-US" w:eastAsia="en-US" w:bidi="ar-SA"/>
    </w:rPr>
  </w:style>
  <w:style w:type="character" w:customStyle="1" w:styleId="287">
    <w:name w:val="标题4 Char Char"/>
    <w:link w:val="92"/>
    <w:qFormat/>
    <w:uiPriority w:val="0"/>
    <w:rPr>
      <w:rFonts w:ascii="Arial" w:hAnsi="Arial"/>
      <w:b/>
      <w:bCs/>
      <w:sz w:val="24"/>
      <w:szCs w:val="32"/>
      <w:lang w:bidi="ar-SA"/>
    </w:rPr>
  </w:style>
  <w:style w:type="character" w:customStyle="1" w:styleId="288">
    <w:name w:val="Char Char13"/>
    <w:qFormat/>
    <w:uiPriority w:val="0"/>
    <w:rPr>
      <w:kern w:val="2"/>
      <w:sz w:val="18"/>
      <w:szCs w:val="18"/>
    </w:rPr>
  </w:style>
  <w:style w:type="character" w:customStyle="1" w:styleId="289">
    <w:name w:val="文档结构图 Char2"/>
    <w:qFormat/>
    <w:uiPriority w:val="99"/>
    <w:rPr>
      <w:kern w:val="2"/>
      <w:sz w:val="21"/>
      <w:szCs w:val="24"/>
      <w:shd w:val="clear" w:color="auto" w:fill="000080"/>
    </w:rPr>
  </w:style>
  <w:style w:type="character" w:customStyle="1" w:styleId="290">
    <w:name w:val="批注文字 Char2"/>
    <w:qFormat/>
    <w:uiPriority w:val="0"/>
    <w:rPr>
      <w:rFonts w:ascii="Calibri" w:hAnsi="Calibri" w:eastAsia="宋体" w:cs="Times New Roman"/>
      <w:szCs w:val="24"/>
    </w:rPr>
  </w:style>
  <w:style w:type="character" w:customStyle="1" w:styleId="291">
    <w:name w:val="标题 8 Char1"/>
    <w:qFormat/>
    <w:uiPriority w:val="0"/>
    <w:rPr>
      <w:rFonts w:ascii="Times New Roman" w:hAnsi="Arial" w:eastAsia="仿宋_GB2312" w:cs="Times New Roman"/>
      <w:sz w:val="30"/>
      <w:szCs w:val="20"/>
    </w:rPr>
  </w:style>
  <w:style w:type="character" w:customStyle="1" w:styleId="292">
    <w:name w:val="页眉 Char2"/>
    <w:link w:val="32"/>
    <w:qFormat/>
    <w:uiPriority w:val="0"/>
    <w:rPr>
      <w:rFonts w:eastAsia="宋体"/>
      <w:kern w:val="2"/>
      <w:sz w:val="18"/>
      <w:szCs w:val="18"/>
      <w:lang w:val="en-US" w:eastAsia="zh-CN" w:bidi="ar-SA"/>
    </w:rPr>
  </w:style>
  <w:style w:type="character" w:customStyle="1" w:styleId="293">
    <w:name w:val="Char Char21"/>
    <w:qFormat/>
    <w:uiPriority w:val="0"/>
    <w:rPr>
      <w:rFonts w:ascii="宋体" w:hAnsi="宋体" w:cs="宋体"/>
      <w:b/>
      <w:bCs/>
      <w:sz w:val="24"/>
      <w:szCs w:val="24"/>
    </w:rPr>
  </w:style>
  <w:style w:type="character" w:customStyle="1" w:styleId="294">
    <w:name w:val="标题 6 Char1"/>
    <w:qFormat/>
    <w:uiPriority w:val="0"/>
    <w:rPr>
      <w:rFonts w:ascii="Times New Roman" w:hAnsi="Arial" w:eastAsia="仿宋_GB2312" w:cs="Times New Roman"/>
      <w:sz w:val="30"/>
      <w:szCs w:val="20"/>
    </w:rPr>
  </w:style>
  <w:style w:type="character" w:customStyle="1" w:styleId="295">
    <w:name w:val="_Style 293"/>
    <w:qFormat/>
    <w:uiPriority w:val="0"/>
    <w:rPr>
      <w:smallCaps/>
      <w:color w:val="C0504D"/>
      <w:u w:val="single"/>
    </w:rPr>
  </w:style>
  <w:style w:type="character" w:customStyle="1" w:styleId="296">
    <w:name w:val="副标题 Char1"/>
    <w:qFormat/>
    <w:uiPriority w:val="0"/>
    <w:rPr>
      <w:szCs w:val="24"/>
      <w:u w:val="single"/>
      <w:lang w:eastAsia="en-US"/>
    </w:rPr>
  </w:style>
  <w:style w:type="character" w:customStyle="1" w:styleId="297">
    <w:name w:val="正文文本 Char3"/>
    <w:semiHidden/>
    <w:qFormat/>
    <w:uiPriority w:val="99"/>
    <w:rPr>
      <w:rFonts w:ascii="Calibri" w:hAnsi="Calibri" w:eastAsia="宋体" w:cs="Times New Roman"/>
      <w:szCs w:val="24"/>
    </w:rPr>
  </w:style>
  <w:style w:type="character" w:customStyle="1" w:styleId="298">
    <w:name w:val="标题 4 Char1"/>
    <w:qFormat/>
    <w:uiPriority w:val="0"/>
    <w:rPr>
      <w:rFonts w:ascii="宋体" w:hAnsi="宋体" w:eastAsia="宋体" w:cs="宋体"/>
      <w:b/>
      <w:bCs/>
      <w:sz w:val="24"/>
      <w:szCs w:val="24"/>
    </w:rPr>
  </w:style>
  <w:style w:type="character" w:customStyle="1" w:styleId="299">
    <w:name w:val="文档结构图 Char3"/>
    <w:semiHidden/>
    <w:qFormat/>
    <w:uiPriority w:val="99"/>
    <w:rPr>
      <w:rFonts w:ascii="宋体" w:hAnsi="Calibri" w:eastAsia="宋体" w:cs="Times New Roman"/>
      <w:sz w:val="18"/>
      <w:szCs w:val="18"/>
    </w:rPr>
  </w:style>
  <w:style w:type="character" w:customStyle="1" w:styleId="300">
    <w:name w:val="标题 3 Char2"/>
    <w:link w:val="5"/>
    <w:qFormat/>
    <w:uiPriority w:val="0"/>
    <w:rPr>
      <w:rFonts w:eastAsia="宋体"/>
      <w:b/>
      <w:bCs/>
      <w:kern w:val="2"/>
      <w:sz w:val="32"/>
      <w:szCs w:val="32"/>
      <w:lang w:val="en-US" w:eastAsia="zh-CN" w:bidi="ar-SA"/>
    </w:rPr>
  </w:style>
  <w:style w:type="character" w:customStyle="1" w:styleId="301">
    <w:name w:val="正文文本 3 Char2"/>
    <w:semiHidden/>
    <w:qFormat/>
    <w:uiPriority w:val="99"/>
    <w:rPr>
      <w:rFonts w:ascii="Calibri" w:hAnsi="Calibri" w:eastAsia="宋体" w:cs="Times New Roman"/>
      <w:sz w:val="16"/>
      <w:szCs w:val="16"/>
    </w:rPr>
  </w:style>
  <w:style w:type="character" w:customStyle="1" w:styleId="302">
    <w:name w:val="Char Char23"/>
    <w:qFormat/>
    <w:uiPriority w:val="0"/>
    <w:rPr>
      <w:rFonts w:ascii="Cambria" w:hAnsi="Cambria" w:eastAsia="宋体" w:cs="Times New Roman"/>
      <w:b/>
      <w:bCs/>
      <w:kern w:val="2"/>
      <w:sz w:val="32"/>
      <w:szCs w:val="32"/>
    </w:rPr>
  </w:style>
  <w:style w:type="character" w:customStyle="1" w:styleId="303">
    <w:name w:val="尾注文本 Char2"/>
    <w:semiHidden/>
    <w:qFormat/>
    <w:uiPriority w:val="99"/>
    <w:rPr>
      <w:rFonts w:ascii="Calibri" w:hAnsi="Calibri" w:eastAsia="宋体" w:cs="Times New Roman"/>
      <w:szCs w:val="24"/>
    </w:rPr>
  </w:style>
  <w:style w:type="character" w:customStyle="1" w:styleId="304">
    <w:name w:val="书籍标题1"/>
    <w:qFormat/>
    <w:uiPriority w:val="0"/>
    <w:rPr>
      <w:b/>
      <w:bCs/>
      <w:smallCaps/>
      <w:spacing w:val="5"/>
    </w:rPr>
  </w:style>
  <w:style w:type="character" w:customStyle="1" w:styleId="305">
    <w:name w:val="ITTHEADER2 Char"/>
    <w:qFormat/>
    <w:uiPriority w:val="0"/>
    <w:rPr>
      <w:rFonts w:ascii="仿宋_GB2312" w:eastAsia="仿宋_GB2312" w:cs="MingLiU"/>
      <w:b/>
      <w:spacing w:val="1"/>
      <w:w w:val="99"/>
      <w:sz w:val="28"/>
      <w:szCs w:val="32"/>
      <w:lang w:val="en-US" w:eastAsia="zh-CN" w:bidi="ar-SA"/>
    </w:rPr>
  </w:style>
  <w:style w:type="character" w:customStyle="1" w:styleId="306">
    <w:name w:val="批注文字 Char3"/>
    <w:link w:val="14"/>
    <w:qFormat/>
    <w:uiPriority w:val="99"/>
    <w:rPr>
      <w:rFonts w:eastAsia="宋体"/>
      <w:kern w:val="2"/>
      <w:sz w:val="21"/>
      <w:szCs w:val="24"/>
      <w:lang w:val="en-US" w:eastAsia="zh-CN" w:bidi="ar-SA"/>
    </w:rPr>
  </w:style>
  <w:style w:type="character" w:customStyle="1" w:styleId="307">
    <w:name w:val="批注文字 Char Char"/>
    <w:qFormat/>
    <w:uiPriority w:val="0"/>
    <w:rPr>
      <w:rFonts w:ascii="宋体" w:hAnsi="Times New Roman" w:eastAsia="宋体" w:cs="Times New Roman"/>
      <w:sz w:val="28"/>
      <w:szCs w:val="20"/>
    </w:rPr>
  </w:style>
  <w:style w:type="character" w:customStyle="1" w:styleId="308">
    <w:name w:val="副标题 Char3"/>
    <w:link w:val="35"/>
    <w:qFormat/>
    <w:uiPriority w:val="0"/>
    <w:rPr>
      <w:rFonts w:eastAsia="宋体"/>
      <w:szCs w:val="24"/>
      <w:u w:val="single"/>
      <w:lang w:val="en-US" w:eastAsia="en-US" w:bidi="ar-SA"/>
    </w:rPr>
  </w:style>
  <w:style w:type="character" w:customStyle="1" w:styleId="309">
    <w:name w:val="批注主题 Char2"/>
    <w:qFormat/>
    <w:uiPriority w:val="99"/>
    <w:rPr>
      <w:b/>
      <w:bCs/>
      <w:kern w:val="2"/>
      <w:sz w:val="21"/>
      <w:szCs w:val="24"/>
    </w:rPr>
  </w:style>
  <w:style w:type="character" w:customStyle="1" w:styleId="310">
    <w:name w:val="normaltext1"/>
    <w:qFormat/>
    <w:uiPriority w:val="0"/>
    <w:rPr>
      <w:rFonts w:hint="default" w:ascii="ˎ̥" w:hAnsi="ˎ̥"/>
      <w:sz w:val="9"/>
      <w:szCs w:val="9"/>
    </w:rPr>
  </w:style>
  <w:style w:type="character" w:customStyle="1" w:styleId="311">
    <w:name w:val="不明显参考1"/>
    <w:qFormat/>
    <w:uiPriority w:val="0"/>
    <w:rPr>
      <w:smallCaps/>
      <w:color w:val="C0504D"/>
      <w:u w:val="single"/>
    </w:rPr>
  </w:style>
  <w:style w:type="character" w:customStyle="1" w:styleId="312">
    <w:name w:val="标题 6 Char"/>
    <w:qFormat/>
    <w:uiPriority w:val="0"/>
    <w:rPr>
      <w:rFonts w:ascii="Arial" w:hAnsi="Arial" w:eastAsia="黑体" w:cs="Times New Roman"/>
      <w:b/>
      <w:bCs/>
      <w:sz w:val="24"/>
      <w:szCs w:val="24"/>
    </w:rPr>
  </w:style>
  <w:style w:type="character" w:customStyle="1" w:styleId="313">
    <w:name w:val="Placeholder Text"/>
    <w:semiHidden/>
    <w:qFormat/>
    <w:uiPriority w:val="99"/>
    <w:rPr>
      <w:color w:val="808080"/>
    </w:rPr>
  </w:style>
  <w:style w:type="paragraph" w:customStyle="1" w:styleId="314">
    <w:name w:val="修订2"/>
    <w:qFormat/>
    <w:uiPriority w:val="0"/>
    <w:rPr>
      <w:rFonts w:ascii="Calibri" w:hAnsi="Calibri" w:eastAsia="宋体" w:cs="Arial"/>
      <w:lang w:val="en-US" w:eastAsia="zh-CN" w:bidi="ar-SA"/>
    </w:rPr>
  </w:style>
  <w:style w:type="paragraph" w:customStyle="1" w:styleId="315">
    <w:name w:val="TOC 标题3"/>
    <w:basedOn w:val="3"/>
    <w:next w:val="1"/>
    <w:qFormat/>
    <w:uiPriority w:val="0"/>
    <w:pPr>
      <w:widowControl/>
      <w:spacing w:before="240" w:after="0" w:line="259" w:lineRule="auto"/>
      <w:jc w:val="left"/>
      <w:outlineLvl w:val="9"/>
    </w:pPr>
    <w:rPr>
      <w:rFonts w:ascii="Calibri Light" w:hAnsi="Calibri Light"/>
      <w:b w:val="0"/>
      <w:bCs w:val="0"/>
      <w:color w:val="2E74B5"/>
      <w:kern w:val="0"/>
      <w:sz w:val="32"/>
      <w:szCs w:val="32"/>
    </w:rPr>
  </w:style>
  <w:style w:type="table" w:customStyle="1" w:styleId="316">
    <w:name w:val="网格型1"/>
    <w:basedOn w:val="55"/>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317">
    <w:name w:val="style_kwd"/>
    <w:basedOn w:val="46"/>
    <w:qFormat/>
    <w:uiPriority w:val="0"/>
  </w:style>
  <w:style w:type="character" w:customStyle="1" w:styleId="318">
    <w:name w:val="Comment Text Char"/>
    <w:qFormat/>
    <w:uiPriority w:val="0"/>
  </w:style>
  <w:style w:type="paragraph" w:customStyle="1" w:styleId="319">
    <w:name w:val="_Style 23"/>
    <w:basedOn w:val="1"/>
    <w:qFormat/>
    <w:uiPriority w:val="0"/>
    <w:pPr>
      <w:widowControl/>
      <w:spacing w:after="160" w:line="240" w:lineRule="exact"/>
      <w:jc w:val="left"/>
    </w:pPr>
    <w:rPr>
      <w:rFonts w:ascii="Calibri" w:hAnsi="Calibri"/>
      <w:szCs w:val="22"/>
    </w:rPr>
  </w:style>
  <w:style w:type="character" w:customStyle="1" w:styleId="320">
    <w:name w:val="正文首行缩进 Char"/>
    <w:basedOn w:val="275"/>
    <w:link w:val="16"/>
    <w:qFormat/>
    <w:uiPriority w:val="0"/>
    <w:rPr>
      <w:kern w:val="2"/>
      <w:sz w:val="21"/>
      <w:szCs w:val="24"/>
    </w:rPr>
  </w:style>
  <w:style w:type="character" w:customStyle="1" w:styleId="321">
    <w:name w:val="正文首行缩进 Char1"/>
    <w:basedOn w:val="226"/>
    <w:qFormat/>
    <w:uiPriority w:val="99"/>
    <w:rPr>
      <w:rFonts w:eastAsia="宋体"/>
      <w:kern w:val="2"/>
      <w:sz w:val="21"/>
      <w:szCs w:val="24"/>
      <w:lang w:val="en-US" w:eastAsia="zh-CN" w:bidi="ar-SA"/>
    </w:rPr>
  </w:style>
  <w:style w:type="paragraph" w:customStyle="1" w:styleId="322">
    <w:name w:val="我的正文"/>
    <w:basedOn w:val="1"/>
    <w:qFormat/>
    <w:uiPriority w:val="0"/>
    <w:rPr>
      <w:rFonts w:ascii="宋体" w:hAnsi="宋体"/>
      <w:sz w:val="24"/>
    </w:rPr>
  </w:style>
  <w:style w:type="paragraph" w:customStyle="1" w:styleId="323">
    <w:name w:val="样式2"/>
    <w:basedOn w:val="5"/>
    <w:qFormat/>
    <w:uiPriority w:val="0"/>
    <w:pPr>
      <w:spacing w:line="415" w:lineRule="auto"/>
      <w:ind w:firstLine="137" w:firstLineChars="49"/>
    </w:pPr>
    <w:rPr>
      <w:rFonts w:ascii="黑体" w:eastAsia="黑体"/>
      <w:b w:val="0"/>
      <w:i/>
      <w:sz w:val="28"/>
      <w:szCs w:val="28"/>
    </w:rPr>
  </w:style>
  <w:style w:type="paragraph" w:customStyle="1" w:styleId="324">
    <w:name w:val="修订21"/>
    <w:qFormat/>
    <w:uiPriority w:val="0"/>
    <w:rPr>
      <w:rFonts w:ascii="Times New Roman" w:hAnsi="Times New Roman" w:eastAsia="宋体" w:cs="Times New Roman"/>
      <w:kern w:val="2"/>
      <w:sz w:val="21"/>
      <w:szCs w:val="24"/>
      <w:lang w:val="en-US" w:eastAsia="zh-CN" w:bidi="ar-SA"/>
    </w:rPr>
  </w:style>
  <w:style w:type="paragraph" w:customStyle="1" w:styleId="325">
    <w:name w:val="招标节"/>
    <w:basedOn w:val="1"/>
    <w:next w:val="1"/>
    <w:qFormat/>
    <w:uiPriority w:val="0"/>
    <w:pPr>
      <w:spacing w:beforeLines="50" w:afterLines="50"/>
      <w:outlineLvl w:val="1"/>
    </w:pPr>
    <w:rPr>
      <w:b/>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F0BB3F-1A2B-4205-A620-55598A0AB6C9}">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176</Pages>
  <Words>21751</Words>
  <Characters>123986</Characters>
  <Lines>1033</Lines>
  <Paragraphs>290</Paragraphs>
  <TotalTime>5</TotalTime>
  <ScaleCrop>false</ScaleCrop>
  <LinksUpToDate>false</LinksUpToDate>
  <CharactersWithSpaces>145447</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2021-12-09T04:23:00Z</dcterms:created>
  <dc:creator>USER</dc:creator>
  <cp:lastModifiedBy>李清洪</cp:lastModifiedBy>
  <cp:lastPrinted>2023-03-15T07:09:00Z</cp:lastPrinted>
  <dcterms:modified xsi:type="dcterms:W3CDTF">2023-04-13T07:12:42Z</dcterms:modified>
  <dc:title>第一卷</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F7775004CD844C24890739F984F42EF8</vt:lpwstr>
  </property>
</Properties>
</file>