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snapToGrid w:val="0"/>
        <w:spacing w:line="480" w:lineRule="auto"/>
        <w:ind w:left="31" w:leftChars="15" w:right="0" w:firstLine="0" w:firstLineChars="0"/>
        <w:jc w:val="center"/>
        <w:rPr>
          <w:rFonts w:ascii="宋体" w:hAnsi="宋体" w:eastAsia="宋体"/>
          <w:b/>
          <w:sz w:val="48"/>
          <w:szCs w:val="48"/>
        </w:rPr>
      </w:pPr>
      <w:bookmarkStart w:id="2326" w:name="_GoBack"/>
      <w:bookmarkEnd w:id="2326"/>
    </w:p>
    <w:p>
      <w:pPr>
        <w:pStyle w:val="20"/>
        <w:snapToGrid w:val="0"/>
        <w:spacing w:line="360" w:lineRule="auto"/>
        <w:ind w:left="0" w:right="0" w:firstLine="0" w:firstLineChars="0"/>
        <w:jc w:val="center"/>
        <w:rPr>
          <w:rFonts w:ascii="宋体" w:hAnsi="宋体" w:eastAsia="宋体"/>
          <w:sz w:val="48"/>
          <w:szCs w:val="48"/>
        </w:rPr>
      </w:pPr>
      <w:r>
        <w:rPr>
          <w:rFonts w:ascii="宋体" w:hAnsi="宋体" w:eastAsia="宋体"/>
          <w:sz w:val="48"/>
          <w:szCs w:val="48"/>
        </w:rPr>
        <w:t>重庆市</w:t>
      </w:r>
      <w:r>
        <w:rPr>
          <w:rFonts w:hint="eastAsia" w:ascii="宋体" w:hAnsi="宋体" w:eastAsia="宋体"/>
          <w:sz w:val="48"/>
          <w:szCs w:val="48"/>
        </w:rPr>
        <w:t>地质灾害治理</w:t>
      </w:r>
      <w:r>
        <w:rPr>
          <w:rFonts w:ascii="宋体" w:hAnsi="宋体" w:eastAsia="宋体"/>
          <w:sz w:val="48"/>
          <w:szCs w:val="48"/>
        </w:rPr>
        <w:t>工程</w:t>
      </w:r>
      <w:r>
        <w:rPr>
          <w:rFonts w:hint="eastAsia" w:ascii="宋体" w:hAnsi="宋体" w:eastAsia="宋体"/>
          <w:sz w:val="48"/>
          <w:szCs w:val="48"/>
        </w:rPr>
        <w:t>施工</w:t>
      </w:r>
    </w:p>
    <w:p>
      <w:pPr>
        <w:pStyle w:val="20"/>
        <w:snapToGrid w:val="0"/>
        <w:spacing w:line="360" w:lineRule="auto"/>
        <w:ind w:left="0" w:right="0" w:firstLine="0" w:firstLineChars="0"/>
        <w:jc w:val="center"/>
        <w:rPr>
          <w:rFonts w:ascii="宋体" w:hAnsi="宋体" w:eastAsia="宋体"/>
          <w:sz w:val="48"/>
          <w:szCs w:val="48"/>
        </w:rPr>
      </w:pPr>
    </w:p>
    <w:p>
      <w:pPr>
        <w:pStyle w:val="20"/>
        <w:snapToGrid w:val="0"/>
        <w:spacing w:line="360" w:lineRule="auto"/>
        <w:ind w:left="0" w:right="0" w:firstLine="0" w:firstLineChars="0"/>
        <w:jc w:val="center"/>
        <w:rPr>
          <w:rFonts w:ascii="宋体" w:hAnsi="宋体" w:eastAsia="宋体"/>
          <w:b/>
          <w:sz w:val="84"/>
          <w:szCs w:val="84"/>
        </w:rPr>
      </w:pPr>
      <w:r>
        <w:rPr>
          <w:rFonts w:ascii="宋体" w:hAnsi="宋体" w:eastAsia="宋体"/>
          <w:b/>
          <w:sz w:val="84"/>
          <w:szCs w:val="84"/>
        </w:rPr>
        <w:t>标准招标文件</w:t>
      </w:r>
    </w:p>
    <w:p>
      <w:pPr>
        <w:pStyle w:val="20"/>
        <w:snapToGrid w:val="0"/>
        <w:spacing w:line="360" w:lineRule="auto"/>
        <w:ind w:left="0" w:right="0" w:firstLine="0" w:firstLineChars="0"/>
        <w:jc w:val="center"/>
        <w:rPr>
          <w:rFonts w:ascii="宋体" w:hAnsi="宋体" w:eastAsia="宋体"/>
          <w:sz w:val="48"/>
          <w:szCs w:val="48"/>
        </w:rPr>
      </w:pPr>
      <w:r>
        <w:rPr>
          <w:rFonts w:hint="eastAsia" w:ascii="宋体" w:hAnsi="宋体" w:eastAsia="宋体"/>
          <w:sz w:val="48"/>
          <w:szCs w:val="48"/>
        </w:rPr>
        <w:t>（全流程电子招标版）</w:t>
      </w:r>
    </w:p>
    <w:p>
      <w:pPr>
        <w:autoSpaceDE w:val="0"/>
        <w:autoSpaceDN w:val="0"/>
        <w:adjustRightInd w:val="0"/>
        <w:snapToGrid w:val="0"/>
        <w:spacing w:line="360" w:lineRule="auto"/>
        <w:jc w:val="center"/>
        <w:rPr>
          <w:rFonts w:ascii="宋体" w:hAnsi="宋体"/>
          <w:kern w:val="0"/>
          <w:position w:val="-5"/>
          <w:sz w:val="44"/>
          <w:szCs w:val="44"/>
        </w:rPr>
      </w:pPr>
      <w:r>
        <w:rPr>
          <w:rFonts w:hint="eastAsia" w:ascii="宋体" w:hAnsi="宋体"/>
          <w:sz w:val="48"/>
          <w:szCs w:val="48"/>
        </w:rPr>
        <w:t xml:space="preserve"> </w:t>
      </w:r>
    </w:p>
    <w:p>
      <w:pPr>
        <w:autoSpaceDE w:val="0"/>
        <w:autoSpaceDN w:val="0"/>
        <w:adjustRightInd w:val="0"/>
        <w:snapToGrid w:val="0"/>
        <w:spacing w:line="360" w:lineRule="auto"/>
        <w:jc w:val="center"/>
        <w:rPr>
          <w:rFonts w:ascii="宋体" w:hAnsi="宋体"/>
          <w:kern w:val="0"/>
          <w:position w:val="-5"/>
          <w:sz w:val="44"/>
          <w:szCs w:val="44"/>
        </w:rPr>
      </w:pPr>
    </w:p>
    <w:p>
      <w:pPr>
        <w:autoSpaceDE w:val="0"/>
        <w:autoSpaceDN w:val="0"/>
        <w:adjustRightInd w:val="0"/>
        <w:snapToGrid w:val="0"/>
        <w:spacing w:line="360" w:lineRule="auto"/>
        <w:jc w:val="center"/>
        <w:rPr>
          <w:rFonts w:ascii="宋体" w:hAnsi="宋体"/>
          <w:kern w:val="0"/>
          <w:position w:val="-5"/>
          <w:sz w:val="44"/>
          <w:szCs w:val="44"/>
        </w:rPr>
      </w:pPr>
    </w:p>
    <w:p>
      <w:pPr>
        <w:autoSpaceDE w:val="0"/>
        <w:autoSpaceDN w:val="0"/>
        <w:adjustRightInd w:val="0"/>
        <w:snapToGrid w:val="0"/>
        <w:spacing w:line="360" w:lineRule="auto"/>
        <w:jc w:val="center"/>
        <w:rPr>
          <w:rFonts w:ascii="宋体" w:hAnsi="宋体"/>
          <w:b/>
          <w:kern w:val="0"/>
          <w:position w:val="-5"/>
          <w:sz w:val="44"/>
          <w:szCs w:val="44"/>
        </w:rPr>
      </w:pPr>
    </w:p>
    <w:p>
      <w:pPr>
        <w:autoSpaceDE w:val="0"/>
        <w:autoSpaceDN w:val="0"/>
        <w:adjustRightInd w:val="0"/>
        <w:snapToGrid w:val="0"/>
        <w:spacing w:line="360" w:lineRule="auto"/>
        <w:jc w:val="center"/>
        <w:rPr>
          <w:rFonts w:ascii="宋体" w:hAnsi="宋体"/>
          <w:b/>
          <w:kern w:val="0"/>
          <w:position w:val="-5"/>
          <w:sz w:val="44"/>
          <w:szCs w:val="44"/>
        </w:rPr>
      </w:pPr>
    </w:p>
    <w:p>
      <w:pPr>
        <w:autoSpaceDE w:val="0"/>
        <w:autoSpaceDN w:val="0"/>
        <w:adjustRightInd w:val="0"/>
        <w:snapToGrid w:val="0"/>
        <w:spacing w:line="360" w:lineRule="auto"/>
        <w:jc w:val="center"/>
        <w:rPr>
          <w:rFonts w:ascii="宋体" w:hAnsi="宋体"/>
          <w:b/>
          <w:kern w:val="0"/>
          <w:position w:val="-5"/>
          <w:sz w:val="32"/>
          <w:szCs w:val="48"/>
        </w:rPr>
      </w:pPr>
    </w:p>
    <w:p>
      <w:pPr>
        <w:autoSpaceDE w:val="0"/>
        <w:autoSpaceDN w:val="0"/>
        <w:adjustRightInd w:val="0"/>
        <w:snapToGrid w:val="0"/>
        <w:spacing w:line="360" w:lineRule="auto"/>
        <w:rPr>
          <w:rFonts w:ascii="宋体" w:hAnsi="宋体"/>
          <w:kern w:val="0"/>
          <w:position w:val="-5"/>
          <w:sz w:val="32"/>
          <w:szCs w:val="48"/>
        </w:rPr>
      </w:pPr>
    </w:p>
    <w:p>
      <w:pPr>
        <w:adjustRightInd w:val="0"/>
        <w:snapToGrid w:val="0"/>
        <w:spacing w:line="360" w:lineRule="auto"/>
        <w:jc w:val="center"/>
        <w:rPr>
          <w:rFonts w:ascii="宋体" w:hAnsi="宋体"/>
          <w:sz w:val="36"/>
          <w:szCs w:val="36"/>
        </w:rPr>
      </w:pPr>
    </w:p>
    <w:p>
      <w:pPr>
        <w:adjustRightInd w:val="0"/>
        <w:snapToGrid w:val="0"/>
        <w:spacing w:line="360" w:lineRule="auto"/>
        <w:jc w:val="center"/>
        <w:rPr>
          <w:rFonts w:ascii="宋体" w:hAnsi="宋体"/>
          <w:sz w:val="36"/>
          <w:szCs w:val="36"/>
        </w:rPr>
      </w:pPr>
      <w:r>
        <w:rPr>
          <w:rFonts w:ascii="宋体" w:hAnsi="宋体"/>
          <w:sz w:val="36"/>
          <w:szCs w:val="36"/>
        </w:rPr>
        <w:t>重庆市</w:t>
      </w:r>
      <w:r>
        <w:rPr>
          <w:rFonts w:hint="eastAsia" w:ascii="宋体" w:hAnsi="宋体"/>
          <w:sz w:val="36"/>
          <w:szCs w:val="36"/>
        </w:rPr>
        <w:t>公共资源交易监督管理局 制</w:t>
      </w:r>
    </w:p>
    <w:p>
      <w:pPr>
        <w:spacing w:line="360" w:lineRule="auto"/>
        <w:jc w:val="center"/>
        <w:rPr>
          <w:rFonts w:ascii="宋体" w:hAnsi="宋体"/>
          <w:kern w:val="0"/>
          <w:position w:val="-5"/>
          <w:sz w:val="36"/>
          <w:szCs w:val="36"/>
        </w:rPr>
        <w:sectPr>
          <w:footerReference r:id="rId5" w:type="first"/>
          <w:headerReference r:id="rId3" w:type="default"/>
          <w:footerReference r:id="rId4" w:type="even"/>
          <w:pgSz w:w="11907" w:h="16840"/>
          <w:pgMar w:top="1304" w:right="1134" w:bottom="1304" w:left="1304" w:header="851" w:footer="992" w:gutter="0"/>
          <w:pgNumType w:fmt="numberInDash" w:start="1"/>
          <w:cols w:space="720" w:num="1"/>
          <w:docGrid w:linePitch="312" w:charSpace="0"/>
        </w:sectPr>
      </w:pPr>
      <w:r>
        <w:rPr>
          <w:rFonts w:ascii="宋体" w:hAnsi="宋体"/>
          <w:kern w:val="0"/>
          <w:position w:val="-5"/>
          <w:sz w:val="36"/>
          <w:szCs w:val="36"/>
        </w:rPr>
        <w:t>20</w:t>
      </w:r>
      <w:r>
        <w:rPr>
          <w:rFonts w:hint="eastAsia" w:ascii="宋体" w:hAnsi="宋体"/>
          <w:kern w:val="0"/>
          <w:position w:val="-5"/>
          <w:sz w:val="36"/>
          <w:szCs w:val="36"/>
        </w:rPr>
        <w:t>2</w:t>
      </w:r>
      <w:r>
        <w:rPr>
          <w:rFonts w:hint="eastAsia" w:ascii="宋体" w:hAnsi="宋体"/>
          <w:kern w:val="0"/>
          <w:position w:val="-5"/>
          <w:sz w:val="36"/>
          <w:szCs w:val="36"/>
          <w:lang w:val="en-US" w:eastAsia="zh-CN"/>
        </w:rPr>
        <w:t>3</w:t>
      </w:r>
      <w:r>
        <w:rPr>
          <w:rFonts w:ascii="宋体" w:hAnsi="宋体"/>
          <w:kern w:val="0"/>
          <w:position w:val="-5"/>
          <w:sz w:val="36"/>
          <w:szCs w:val="36"/>
        </w:rPr>
        <w:t>年</w:t>
      </w:r>
      <w:r>
        <w:rPr>
          <w:rFonts w:hint="eastAsia" w:ascii="宋体" w:hAnsi="宋体"/>
          <w:kern w:val="0"/>
          <w:position w:val="-5"/>
          <w:sz w:val="36"/>
          <w:szCs w:val="36"/>
        </w:rPr>
        <w:t xml:space="preserve"> 月</w:t>
      </w:r>
    </w:p>
    <w:p>
      <w:pPr>
        <w:autoSpaceDE w:val="0"/>
        <w:autoSpaceDN w:val="0"/>
        <w:adjustRightInd w:val="0"/>
        <w:snapToGrid w:val="0"/>
        <w:spacing w:line="590" w:lineRule="exact"/>
        <w:jc w:val="center"/>
        <w:rPr>
          <w:rFonts w:ascii="宋体" w:hAnsi="宋体"/>
          <w:kern w:val="0"/>
          <w:sz w:val="44"/>
          <w:szCs w:val="44"/>
        </w:rPr>
      </w:pPr>
      <w:bookmarkStart w:id="0" w:name="_Toc287620665"/>
      <w:r>
        <w:rPr>
          <w:rFonts w:ascii="宋体" w:hAnsi="宋体"/>
          <w:kern w:val="0"/>
          <w:sz w:val="44"/>
          <w:szCs w:val="44"/>
        </w:rPr>
        <w:t>使 用 说 明</w:t>
      </w:r>
    </w:p>
    <w:p>
      <w:pPr>
        <w:spacing w:line="590" w:lineRule="exact"/>
        <w:jc w:val="center"/>
        <w:rPr>
          <w:rFonts w:ascii="宋体" w:hAnsi="宋体"/>
          <w:kern w:val="0"/>
          <w:sz w:val="44"/>
          <w:szCs w:val="44"/>
        </w:rPr>
      </w:pPr>
    </w:p>
    <w:p>
      <w:pPr>
        <w:spacing w:line="360" w:lineRule="auto"/>
        <w:ind w:firstLine="420" w:firstLineChars="200"/>
        <w:rPr>
          <w:rFonts w:ascii="宋体" w:hAnsi="宋体"/>
          <w:kern w:val="0"/>
          <w:szCs w:val="21"/>
          <w:lang w:val="zh-CN"/>
        </w:rPr>
      </w:pPr>
      <w:r>
        <w:rPr>
          <w:rFonts w:hint="eastAsia" w:ascii="宋体" w:hAnsi="宋体"/>
          <w:kern w:val="0"/>
          <w:szCs w:val="21"/>
          <w:lang w:val="zh-CN"/>
        </w:rPr>
        <w:t>一、《</w:t>
      </w:r>
      <w:r>
        <w:rPr>
          <w:rFonts w:hint="eastAsia" w:ascii="宋体" w:hAnsi="宋体" w:cs="宋体"/>
          <w:kern w:val="0"/>
          <w:szCs w:val="21"/>
          <w:lang w:val="zh-CN"/>
        </w:rPr>
        <w:t>重庆市地质灾害治理工程施工标准招标文</w:t>
      </w:r>
      <w:r>
        <w:rPr>
          <w:rFonts w:hint="eastAsia" w:ascii="宋体" w:hAnsi="宋体" w:cs="宋体"/>
          <w:kern w:val="0"/>
          <w:szCs w:val="21"/>
        </w:rPr>
        <w:t>件</w:t>
      </w:r>
      <w:r>
        <w:rPr>
          <w:rFonts w:hint="eastAsia" w:ascii="宋体" w:hAnsi="宋体"/>
          <w:kern w:val="0"/>
          <w:szCs w:val="21"/>
          <w:lang w:val="zh-CN"/>
        </w:rPr>
        <w:t>》是以《中华人民共和国标准施工招标文件》（2007年版）为框架，</w:t>
      </w:r>
      <w:r>
        <w:rPr>
          <w:rFonts w:hint="eastAsia" w:ascii="宋体" w:hAnsi="宋体"/>
          <w:kern w:val="0"/>
          <w:szCs w:val="21"/>
        </w:rPr>
        <w:t>参照《</w:t>
      </w:r>
      <w:r>
        <w:rPr>
          <w:rFonts w:hint="eastAsia" w:ascii="宋体" w:hAnsi="宋体" w:cs="宋体"/>
          <w:kern w:val="0"/>
          <w:szCs w:val="21"/>
        </w:rPr>
        <w:t>重庆市地质灾害治理工程施工招标文件示范文本》（渝国土房管〔2018〕533号），</w:t>
      </w:r>
      <w:r>
        <w:rPr>
          <w:rFonts w:hint="eastAsia" w:ascii="宋体" w:hAnsi="宋体"/>
          <w:kern w:val="0"/>
          <w:szCs w:val="21"/>
          <w:lang w:val="zh-CN"/>
        </w:rPr>
        <w:t>贯彻《中华人民共和国招标投标法》</w:t>
      </w:r>
      <w:r>
        <w:rPr>
          <w:rFonts w:hint="eastAsia" w:asciiTheme="minorEastAsia" w:hAnsiTheme="minorEastAsia" w:eastAsiaTheme="minorEastAsia"/>
          <w:szCs w:val="21"/>
        </w:rPr>
        <w:t>《电子招投标办法》</w:t>
      </w:r>
      <w:r>
        <w:rPr>
          <w:rFonts w:hint="eastAsia" w:ascii="宋体" w:hAnsi="宋体"/>
          <w:kern w:val="0"/>
          <w:szCs w:val="21"/>
          <w:lang w:val="zh-CN"/>
        </w:rPr>
        <w:t>和《重庆市人民政府办公厅印发关于深化公共资源交易监督管理改革的意见（试行）的通知》（渝府办发〔2019〕114号）等文件精神编制。</w:t>
      </w:r>
    </w:p>
    <w:p>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rPr>
        <w:t>二、《重庆市地质灾害治理工程施工标准招标文件》适用于重庆市行政区域内依法必须招标的国有资金投资地质灾害治理工程施工全流程电子招标项目。</w:t>
      </w:r>
    </w:p>
    <w:p>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rPr>
        <w:t>三、招标人按照《重庆市地质灾害治理工程施工标准招标文件》第一章的格式发布招标公告或发出投标邀请书后，将实际发布的招标公告或实际发出的投标邀请书编入招标文件中，作为投标邀请。其中，招标公告应同时注明发布所在地所有</w:t>
      </w:r>
      <w:r>
        <w:rPr>
          <w:rFonts w:hint="eastAsia" w:ascii="宋体" w:hAnsi="宋体" w:cs="宋体"/>
          <w:kern w:val="0"/>
          <w:szCs w:val="21"/>
        </w:rPr>
        <w:t>指定</w:t>
      </w:r>
      <w:r>
        <w:rPr>
          <w:rFonts w:hint="eastAsia" w:ascii="宋体" w:hAnsi="宋体" w:cs="宋体"/>
          <w:kern w:val="0"/>
          <w:szCs w:val="21"/>
          <w:lang w:val="zh-CN"/>
        </w:rPr>
        <w:t>媒介名称。</w:t>
      </w:r>
    </w:p>
    <w:p>
      <w:pPr>
        <w:spacing w:line="360" w:lineRule="auto"/>
        <w:ind w:firstLine="420" w:firstLineChars="200"/>
        <w:rPr>
          <w:rFonts w:ascii="宋体" w:hAnsi="宋体"/>
          <w:kern w:val="0"/>
          <w:szCs w:val="21"/>
          <w:lang w:val="zh-CN"/>
        </w:rPr>
      </w:pPr>
      <w:r>
        <w:rPr>
          <w:rFonts w:hint="eastAsia" w:ascii="宋体" w:hAnsi="宋体"/>
          <w:kern w:val="0"/>
          <w:szCs w:val="21"/>
        </w:rPr>
        <w:t>四</w:t>
      </w:r>
      <w:r>
        <w:rPr>
          <w:rFonts w:ascii="宋体" w:hAnsi="宋体"/>
          <w:kern w:val="0"/>
          <w:szCs w:val="21"/>
          <w:lang w:val="zh-CN"/>
        </w:rPr>
        <w:t>、《</w:t>
      </w:r>
      <w:r>
        <w:rPr>
          <w:rFonts w:hint="eastAsia" w:ascii="宋体" w:hAnsi="宋体" w:cs="宋体"/>
          <w:kern w:val="0"/>
          <w:szCs w:val="21"/>
          <w:lang w:val="zh-CN"/>
        </w:rPr>
        <w:t>重庆市地质灾害治理工程施工标准招标文件</w:t>
      </w:r>
      <w:r>
        <w:rPr>
          <w:rFonts w:ascii="宋体" w:hAnsi="宋体"/>
          <w:kern w:val="0"/>
          <w:szCs w:val="21"/>
          <w:lang w:val="zh-CN"/>
        </w:rPr>
        <w:t>》第三章“评标办法”分别规定</w:t>
      </w:r>
      <w:r>
        <w:rPr>
          <w:rFonts w:hint="eastAsia" w:ascii="宋体" w:hAnsi="宋体"/>
          <w:kern w:val="0"/>
          <w:szCs w:val="21"/>
          <w:lang w:val="zh-CN"/>
        </w:rPr>
        <w:t>了</w:t>
      </w:r>
      <w:r>
        <w:rPr>
          <w:rFonts w:ascii="宋体" w:hAnsi="宋体"/>
          <w:kern w:val="0"/>
          <w:szCs w:val="21"/>
          <w:lang w:val="zh-CN"/>
        </w:rPr>
        <w:t>综合评估法</w:t>
      </w:r>
      <w:r>
        <w:rPr>
          <w:rFonts w:hint="eastAsia" w:ascii="宋体" w:hAnsi="宋体"/>
          <w:kern w:val="0"/>
          <w:szCs w:val="21"/>
        </w:rPr>
        <w:t>和</w:t>
      </w:r>
      <w:r>
        <w:rPr>
          <w:rFonts w:hint="eastAsia" w:ascii="宋体" w:hAnsi="宋体"/>
          <w:kern w:val="0"/>
          <w:szCs w:val="21"/>
          <w:lang w:val="zh-CN"/>
        </w:rPr>
        <w:t>经评审的最低投标价法</w:t>
      </w:r>
      <w:r>
        <w:rPr>
          <w:rFonts w:ascii="宋体" w:hAnsi="宋体"/>
          <w:kern w:val="0"/>
          <w:szCs w:val="21"/>
          <w:lang w:val="zh-CN"/>
        </w:rPr>
        <w:t>两种评标方法供招标人根据招标项目具体特点和实际需要选择。</w:t>
      </w:r>
      <w:r>
        <w:rPr>
          <w:rFonts w:hint="eastAsia" w:ascii="宋体" w:hAnsi="宋体"/>
          <w:kern w:val="0"/>
          <w:szCs w:val="21"/>
          <w:lang w:val="zh-CN"/>
        </w:rPr>
        <w:t>依法必须招标的施工类项目，应当采用经评审的最低投标价法。其中，技术特别复杂或者招标人对其技术、性能有特殊要求，需要采用综合评估法的，招标人应当取得行业主管部门认定后报同级招标投标行政监管部门同意。</w:t>
      </w:r>
    </w:p>
    <w:p>
      <w:pPr>
        <w:pStyle w:val="42"/>
        <w:shd w:val="clear" w:color="auto" w:fill="FFFFFF"/>
        <w:spacing w:before="0" w:beforeAutospacing="0" w:after="120" w:afterAutospacing="0" w:line="360" w:lineRule="auto"/>
        <w:ind w:firstLine="420"/>
        <w:rPr>
          <w:sz w:val="21"/>
          <w:szCs w:val="21"/>
          <w:lang w:val="zh-CN"/>
        </w:rPr>
      </w:pPr>
      <w:r>
        <w:rPr>
          <w:rFonts w:hint="eastAsia"/>
          <w:szCs w:val="21"/>
        </w:rPr>
        <w:t>五</w:t>
      </w:r>
      <w:r>
        <w:rPr>
          <w:rFonts w:hint="eastAsia"/>
          <w:szCs w:val="21"/>
          <w:lang w:val="zh-CN"/>
        </w:rPr>
        <w:t>、</w:t>
      </w:r>
      <w:r>
        <w:rPr>
          <w:rFonts w:hint="eastAsia"/>
          <w:sz w:val="21"/>
          <w:szCs w:val="21"/>
          <w:lang w:val="zh-CN"/>
        </w:rPr>
        <w:t>《重庆市地质灾害治理工程施工标准招标文件》第四章“合同条款及格式”</w:t>
      </w:r>
      <w:r>
        <w:rPr>
          <w:rFonts w:hint="eastAsia"/>
          <w:sz w:val="21"/>
          <w:szCs w:val="21"/>
        </w:rPr>
        <w:t>参照《</w:t>
      </w:r>
      <w:r>
        <w:rPr>
          <w:sz w:val="21"/>
          <w:szCs w:val="21"/>
          <w:lang w:val="zh-CN"/>
        </w:rPr>
        <w:t>建设工程施工合同</w:t>
      </w:r>
      <w:r>
        <w:rPr>
          <w:rFonts w:hint="eastAsia"/>
          <w:sz w:val="21"/>
          <w:szCs w:val="21"/>
        </w:rPr>
        <w:t>示范文本</w:t>
      </w:r>
      <w:r>
        <w:rPr>
          <w:rFonts w:hint="eastAsia"/>
          <w:sz w:val="21"/>
          <w:szCs w:val="21"/>
          <w:lang w:val="zh-CN"/>
        </w:rPr>
        <w:t>》（</w:t>
      </w:r>
      <w:r>
        <w:rPr>
          <w:sz w:val="21"/>
          <w:szCs w:val="21"/>
          <w:lang w:val="zh-CN"/>
        </w:rPr>
        <w:t>GF—1999—0201</w:t>
      </w:r>
      <w:r>
        <w:rPr>
          <w:rFonts w:hint="eastAsia"/>
          <w:sz w:val="21"/>
          <w:szCs w:val="21"/>
          <w:lang w:val="zh-CN"/>
        </w:rPr>
        <w:t>）</w:t>
      </w:r>
      <w:r>
        <w:rPr>
          <w:sz w:val="21"/>
          <w:szCs w:val="21"/>
          <w:lang w:val="zh-CN"/>
        </w:rPr>
        <w:t xml:space="preserve"> </w:t>
      </w:r>
      <w:r>
        <w:rPr>
          <w:rFonts w:hint="eastAsia"/>
          <w:sz w:val="21"/>
          <w:szCs w:val="21"/>
        </w:rPr>
        <w:t>制定，</w:t>
      </w:r>
      <w:r>
        <w:rPr>
          <w:rFonts w:hint="eastAsia"/>
          <w:sz w:val="21"/>
          <w:szCs w:val="21"/>
          <w:lang w:val="zh-CN"/>
        </w:rPr>
        <w:t>内容由合同协议书、通用合同条款和专用合同条款三部分组成。合同协议书共计</w:t>
      </w:r>
      <w:r>
        <w:rPr>
          <w:rFonts w:hint="eastAsia"/>
          <w:sz w:val="21"/>
          <w:szCs w:val="21"/>
        </w:rPr>
        <w:t>10</w:t>
      </w:r>
      <w:r>
        <w:rPr>
          <w:rFonts w:hint="eastAsia"/>
          <w:sz w:val="21"/>
          <w:szCs w:val="21"/>
          <w:lang w:val="zh-CN"/>
        </w:rPr>
        <w:t>条，主要包括：工程概况、</w:t>
      </w:r>
      <w:r>
        <w:rPr>
          <w:rFonts w:hint="eastAsia"/>
          <w:sz w:val="21"/>
          <w:szCs w:val="21"/>
        </w:rPr>
        <w:t>工程承包范围、</w:t>
      </w:r>
      <w:r>
        <w:rPr>
          <w:rFonts w:hint="eastAsia"/>
          <w:sz w:val="21"/>
          <w:szCs w:val="21"/>
          <w:lang w:val="zh-CN"/>
        </w:rPr>
        <w:t>合同工期、质量标准、</w:t>
      </w:r>
      <w:r>
        <w:rPr>
          <w:rFonts w:hint="eastAsia"/>
          <w:sz w:val="21"/>
          <w:szCs w:val="21"/>
        </w:rPr>
        <w:t>合同价款</w:t>
      </w:r>
      <w:r>
        <w:rPr>
          <w:rFonts w:hint="eastAsia"/>
          <w:sz w:val="21"/>
          <w:szCs w:val="21"/>
          <w:lang w:val="zh-CN"/>
        </w:rPr>
        <w:t>、</w:t>
      </w:r>
      <w:r>
        <w:rPr>
          <w:rFonts w:hint="eastAsia"/>
          <w:sz w:val="21"/>
          <w:szCs w:val="21"/>
        </w:rPr>
        <w:t>组成合同的文件</w:t>
      </w:r>
      <w:r>
        <w:rPr>
          <w:rFonts w:hint="eastAsia"/>
          <w:sz w:val="21"/>
          <w:szCs w:val="21"/>
          <w:lang w:val="zh-CN"/>
        </w:rPr>
        <w:t>、</w:t>
      </w:r>
      <w:r>
        <w:rPr>
          <w:rFonts w:hint="eastAsia"/>
          <w:sz w:val="21"/>
          <w:szCs w:val="21"/>
        </w:rPr>
        <w:t>本协议书中有关词语含义与本合同《通用条款》和《专用条款》中分别赋予它们的定义相同、承包人向发包人承诺按照合同约定进行施工、竣工并在质量保修期内承担工程质量保修责任、发包人向承包人承诺按照合同约定的期限和方式支付合同价款及其他应当支付的款项、合同生效</w:t>
      </w:r>
      <w:r>
        <w:rPr>
          <w:rFonts w:hint="eastAsia"/>
          <w:sz w:val="21"/>
          <w:szCs w:val="21"/>
          <w:lang w:val="zh-CN"/>
        </w:rPr>
        <w:t>。通用合同条款共计</w:t>
      </w:r>
      <w:r>
        <w:rPr>
          <w:rFonts w:hint="eastAsia"/>
          <w:sz w:val="21"/>
          <w:szCs w:val="21"/>
        </w:rPr>
        <w:t>12</w:t>
      </w:r>
      <w:r>
        <w:rPr>
          <w:rFonts w:hint="eastAsia"/>
          <w:sz w:val="21"/>
          <w:szCs w:val="21"/>
          <w:lang w:val="zh-CN"/>
        </w:rPr>
        <w:t>条，主要包括：词语定义及合同文件、双方一般权利和义务、施工组织设计和工期、质量与检验、安全施工、合同价款与支付、材料设备供应、工程变更、竣工验收与结算、违约、索赔和争议、其他、补充条款。专用合同条款共计</w:t>
      </w:r>
      <w:r>
        <w:rPr>
          <w:rFonts w:hint="eastAsia"/>
          <w:sz w:val="21"/>
          <w:szCs w:val="21"/>
        </w:rPr>
        <w:t>12条，是对通用合同条款原则性约定的细化、完善、补充、修改或另行约定的条款。</w:t>
      </w:r>
    </w:p>
    <w:p>
      <w:pPr>
        <w:spacing w:line="360" w:lineRule="auto"/>
        <w:ind w:firstLine="420" w:firstLineChars="200"/>
        <w:rPr>
          <w:rFonts w:ascii="宋体" w:hAnsi="宋体"/>
        </w:rPr>
      </w:pPr>
      <w:r>
        <w:rPr>
          <w:rFonts w:hint="eastAsia" w:ascii="宋体" w:hAnsi="宋体"/>
          <w:kern w:val="0"/>
          <w:szCs w:val="21"/>
          <w:lang w:val="zh-CN"/>
        </w:rPr>
        <w:t>六</w:t>
      </w:r>
      <w:r>
        <w:rPr>
          <w:rFonts w:ascii="宋体" w:hAnsi="宋体"/>
          <w:kern w:val="0"/>
          <w:szCs w:val="21"/>
          <w:lang w:val="zh-CN"/>
        </w:rPr>
        <w:t>、《</w:t>
      </w:r>
      <w:r>
        <w:rPr>
          <w:rFonts w:hint="eastAsia" w:ascii="宋体" w:hAnsi="宋体" w:cs="宋体"/>
          <w:kern w:val="0"/>
          <w:szCs w:val="21"/>
          <w:lang w:val="zh-CN"/>
        </w:rPr>
        <w:t>重庆市地质灾害治理工程施工标准招标文件</w:t>
      </w:r>
      <w:r>
        <w:rPr>
          <w:rFonts w:ascii="宋体" w:hAnsi="宋体"/>
          <w:kern w:val="0"/>
          <w:szCs w:val="21"/>
          <w:lang w:val="zh-CN"/>
        </w:rPr>
        <w:t>》第五章“工程量清单”</w:t>
      </w:r>
      <w:r>
        <w:rPr>
          <w:rFonts w:hint="eastAsia" w:ascii="宋体" w:hAnsi="宋体"/>
          <w:lang w:val="zh-CN"/>
        </w:rPr>
        <w:t>由</w:t>
      </w:r>
      <w:r>
        <w:rPr>
          <w:rFonts w:ascii="宋体" w:hAnsi="宋体"/>
          <w:lang w:val="zh-CN"/>
        </w:rPr>
        <w:t>招标人根据</w:t>
      </w:r>
      <w:r>
        <w:rPr>
          <w:rFonts w:hint="eastAsia" w:ascii="宋体" w:hAnsi="宋体"/>
        </w:rPr>
        <w:t>自然资源</w:t>
      </w:r>
      <w:r>
        <w:rPr>
          <w:rFonts w:ascii="宋体" w:hAnsi="宋体"/>
          <w:lang w:val="zh-CN"/>
        </w:rPr>
        <w:t>部及重庆市</w:t>
      </w:r>
      <w:r>
        <w:rPr>
          <w:rFonts w:hint="eastAsia" w:ascii="宋体" w:hAnsi="宋体"/>
        </w:rPr>
        <w:t>规划和自然资源局</w:t>
      </w:r>
      <w:r>
        <w:rPr>
          <w:rFonts w:hint="eastAsia" w:ascii="宋体" w:hAnsi="宋体"/>
          <w:lang w:val="zh-CN"/>
        </w:rPr>
        <w:t>现行</w:t>
      </w:r>
      <w:r>
        <w:rPr>
          <w:rFonts w:ascii="宋体" w:hAnsi="宋体"/>
          <w:lang w:val="zh-CN"/>
        </w:rPr>
        <w:t>有关规定、招标项目具体特点和实际需要编制，并与</w:t>
      </w:r>
      <w:r>
        <w:rPr>
          <w:rFonts w:hint="eastAsia" w:ascii="宋体" w:hAnsi="宋体"/>
          <w:lang w:val="zh-CN"/>
        </w:rPr>
        <w:t>“</w:t>
      </w:r>
      <w:r>
        <w:rPr>
          <w:rFonts w:ascii="宋体" w:hAnsi="宋体"/>
          <w:lang w:val="zh-CN"/>
        </w:rPr>
        <w:t>投标人须知</w:t>
      </w:r>
      <w:r>
        <w:rPr>
          <w:rFonts w:hint="eastAsia" w:ascii="宋体" w:hAnsi="宋体"/>
          <w:lang w:val="zh-CN"/>
        </w:rPr>
        <w:t>”、“</w:t>
      </w:r>
      <w:r>
        <w:rPr>
          <w:rFonts w:ascii="宋体" w:hAnsi="宋体"/>
          <w:lang w:val="zh-CN"/>
        </w:rPr>
        <w:t>通用合同条款</w:t>
      </w:r>
      <w:r>
        <w:rPr>
          <w:rFonts w:hint="eastAsia" w:ascii="宋体" w:hAnsi="宋体"/>
          <w:lang w:val="zh-CN"/>
        </w:rPr>
        <w:t>”、“</w:t>
      </w:r>
      <w:r>
        <w:rPr>
          <w:rFonts w:ascii="宋体" w:hAnsi="宋体"/>
          <w:lang w:val="zh-CN"/>
        </w:rPr>
        <w:t>专用合同条款</w:t>
      </w:r>
      <w:r>
        <w:rPr>
          <w:rFonts w:hint="eastAsia" w:ascii="宋体" w:hAnsi="宋体"/>
          <w:lang w:val="zh-CN"/>
        </w:rPr>
        <w:t>”、“</w:t>
      </w:r>
      <w:r>
        <w:rPr>
          <w:rFonts w:ascii="宋体" w:hAnsi="宋体"/>
          <w:lang w:val="zh-CN"/>
        </w:rPr>
        <w:t>技术规范</w:t>
      </w:r>
      <w:r>
        <w:rPr>
          <w:rFonts w:hint="eastAsia" w:ascii="宋体" w:hAnsi="宋体"/>
          <w:lang w:val="zh-CN"/>
        </w:rPr>
        <w:t>”、“</w:t>
      </w:r>
      <w:r>
        <w:rPr>
          <w:rFonts w:ascii="宋体" w:hAnsi="宋体"/>
          <w:lang w:val="zh-CN"/>
        </w:rPr>
        <w:t>工程量清单计量规则</w:t>
      </w:r>
      <w:r>
        <w:rPr>
          <w:rFonts w:hint="eastAsia" w:ascii="宋体" w:hAnsi="宋体"/>
          <w:lang w:val="zh-CN"/>
        </w:rPr>
        <w:t>”、“</w:t>
      </w:r>
      <w:r>
        <w:rPr>
          <w:rFonts w:ascii="宋体" w:hAnsi="宋体"/>
          <w:lang w:val="zh-CN"/>
        </w:rPr>
        <w:t>图纸</w:t>
      </w:r>
      <w:r>
        <w:rPr>
          <w:rFonts w:hint="eastAsia" w:ascii="宋体" w:hAnsi="宋体"/>
          <w:lang w:val="zh-CN"/>
        </w:rPr>
        <w:t>”</w:t>
      </w:r>
      <w:r>
        <w:rPr>
          <w:rFonts w:ascii="宋体" w:hAnsi="宋体"/>
          <w:lang w:val="zh-CN"/>
        </w:rPr>
        <w:t>相衔接。</w:t>
      </w:r>
      <w:r>
        <w:rPr>
          <w:rFonts w:hint="eastAsia" w:ascii="宋体" w:hAnsi="宋体"/>
        </w:rPr>
        <w:t xml:space="preserve"> </w:t>
      </w:r>
    </w:p>
    <w:p>
      <w:pPr>
        <w:spacing w:line="360" w:lineRule="auto"/>
        <w:ind w:firstLine="420" w:firstLineChars="200"/>
        <w:rPr>
          <w:rFonts w:ascii="宋体" w:hAnsi="宋体"/>
          <w:kern w:val="0"/>
          <w:szCs w:val="21"/>
          <w:lang w:val="zh-CN"/>
        </w:rPr>
      </w:pPr>
      <w:r>
        <w:rPr>
          <w:rFonts w:hint="eastAsia" w:ascii="宋体" w:hAnsi="宋体"/>
          <w:kern w:val="0"/>
          <w:szCs w:val="21"/>
        </w:rPr>
        <w:t>七</w:t>
      </w:r>
      <w:r>
        <w:rPr>
          <w:rFonts w:ascii="宋体" w:hAnsi="宋体"/>
          <w:kern w:val="0"/>
          <w:szCs w:val="21"/>
          <w:lang w:val="zh-CN"/>
        </w:rPr>
        <w:t>、《</w:t>
      </w:r>
      <w:r>
        <w:rPr>
          <w:rFonts w:hint="eastAsia" w:ascii="宋体" w:hAnsi="宋体" w:cs="宋体"/>
          <w:kern w:val="0"/>
          <w:szCs w:val="21"/>
          <w:lang w:val="zh-CN"/>
        </w:rPr>
        <w:t>重庆市地质灾害治理工程施工标准招标文件</w:t>
      </w:r>
      <w:r>
        <w:rPr>
          <w:rFonts w:ascii="宋体" w:hAnsi="宋体"/>
          <w:kern w:val="0"/>
          <w:szCs w:val="21"/>
          <w:lang w:val="zh-CN"/>
        </w:rPr>
        <w:t>》第六章“图纸”由招标人根据招标项目具体特点和实际需要编制，并与“投标人须知”、“通用合同条款”、“专用合同条款”、“技术标准和要求”相</w:t>
      </w:r>
      <w:r>
        <w:rPr>
          <w:rFonts w:hint="eastAsia" w:ascii="宋体" w:hAnsi="宋体"/>
          <w:kern w:val="0"/>
          <w:szCs w:val="21"/>
          <w:lang w:val="zh-CN"/>
        </w:rPr>
        <w:t>衔接</w:t>
      </w:r>
      <w:r>
        <w:rPr>
          <w:rFonts w:ascii="宋体" w:hAnsi="宋体"/>
          <w:kern w:val="0"/>
          <w:szCs w:val="21"/>
          <w:lang w:val="zh-CN"/>
        </w:rPr>
        <w:t>。</w:t>
      </w:r>
    </w:p>
    <w:p>
      <w:pPr>
        <w:spacing w:line="360" w:lineRule="auto"/>
        <w:ind w:firstLine="420" w:firstLineChars="200"/>
        <w:rPr>
          <w:rFonts w:ascii="宋体" w:hAnsi="宋体"/>
          <w:kern w:val="0"/>
          <w:szCs w:val="21"/>
          <w:lang w:val="zh-CN"/>
        </w:rPr>
      </w:pPr>
      <w:r>
        <w:rPr>
          <w:rFonts w:hint="eastAsia" w:ascii="宋体" w:hAnsi="宋体"/>
          <w:kern w:val="0"/>
          <w:szCs w:val="21"/>
        </w:rPr>
        <w:t>八</w:t>
      </w:r>
      <w:r>
        <w:rPr>
          <w:rFonts w:ascii="宋体" w:hAnsi="宋体"/>
          <w:kern w:val="0"/>
          <w:szCs w:val="21"/>
          <w:lang w:val="zh-CN"/>
        </w:rPr>
        <w:t>、《</w:t>
      </w:r>
      <w:r>
        <w:rPr>
          <w:rFonts w:hint="eastAsia" w:ascii="宋体" w:hAnsi="宋体" w:cs="宋体"/>
          <w:kern w:val="0"/>
          <w:szCs w:val="21"/>
          <w:lang w:val="zh-CN"/>
        </w:rPr>
        <w:t>重庆市地质灾害治理工程施工标准招标文件</w:t>
      </w:r>
      <w:r>
        <w:rPr>
          <w:rFonts w:ascii="宋体" w:hAnsi="宋体"/>
          <w:kern w:val="0"/>
          <w:szCs w:val="21"/>
          <w:lang w:val="zh-CN"/>
        </w:rPr>
        <w:t>》第七章“技术标准和要求”由招标人根据招标项目具体特点和实际需要编制。“技术标准和要求”中的各项技术标准应符合国家强制性标准，不得要求或标明某一特定的专利、商标、名称、设计、原产地或生产供应者，不得含有倾向或者排斥潜在投标人的其他内容。如果必须引用某一生产供应者的技术标准才能准确或清楚地说明拟招标项目的技术标准时，则应当</w:t>
      </w:r>
      <w:r>
        <w:rPr>
          <w:rFonts w:hint="eastAsia" w:ascii="宋体" w:hAnsi="宋体"/>
          <w:kern w:val="0"/>
          <w:szCs w:val="21"/>
          <w:lang w:val="zh-CN"/>
        </w:rPr>
        <w:t>加上“</w:t>
      </w:r>
      <w:r>
        <w:rPr>
          <w:rFonts w:ascii="宋体" w:hAnsi="宋体"/>
          <w:kern w:val="0"/>
          <w:szCs w:val="21"/>
          <w:lang w:val="zh-CN"/>
        </w:rPr>
        <w:t>参照</w:t>
      </w:r>
      <w:r>
        <w:rPr>
          <w:rFonts w:hint="eastAsia" w:ascii="宋体" w:hAnsi="宋体"/>
          <w:kern w:val="0"/>
          <w:szCs w:val="21"/>
          <w:lang w:val="zh-CN"/>
        </w:rPr>
        <w:t>”</w:t>
      </w:r>
      <w:r>
        <w:rPr>
          <w:rFonts w:ascii="宋体" w:hAnsi="宋体"/>
          <w:kern w:val="0"/>
          <w:szCs w:val="21"/>
          <w:lang w:val="zh-CN"/>
        </w:rPr>
        <w:t>或</w:t>
      </w:r>
      <w:r>
        <w:rPr>
          <w:rFonts w:hint="eastAsia" w:ascii="宋体" w:hAnsi="宋体"/>
          <w:kern w:val="0"/>
          <w:szCs w:val="21"/>
          <w:lang w:val="zh-CN"/>
        </w:rPr>
        <w:t>“</w:t>
      </w:r>
      <w:r>
        <w:rPr>
          <w:rFonts w:ascii="宋体" w:hAnsi="宋体"/>
          <w:kern w:val="0"/>
          <w:szCs w:val="21"/>
          <w:lang w:val="zh-CN"/>
        </w:rPr>
        <w:t>相当于”字样。</w:t>
      </w:r>
    </w:p>
    <w:p>
      <w:pPr>
        <w:spacing w:line="360" w:lineRule="auto"/>
        <w:ind w:firstLine="420" w:firstLineChars="200"/>
        <w:rPr>
          <w:rFonts w:ascii="宋体" w:hAnsi="宋体"/>
          <w:kern w:val="0"/>
          <w:szCs w:val="21"/>
          <w:lang w:val="zh-CN"/>
        </w:rPr>
      </w:pPr>
      <w:r>
        <w:rPr>
          <w:rFonts w:hint="eastAsia" w:ascii="宋体" w:hAnsi="宋体"/>
          <w:kern w:val="0"/>
          <w:szCs w:val="21"/>
        </w:rPr>
        <w:t>九</w:t>
      </w:r>
      <w:r>
        <w:rPr>
          <w:rFonts w:ascii="宋体" w:hAnsi="宋体"/>
          <w:kern w:val="0"/>
          <w:szCs w:val="21"/>
          <w:lang w:val="zh-CN"/>
        </w:rPr>
        <w:t>、</w:t>
      </w:r>
      <w:r>
        <w:rPr>
          <w:rFonts w:hint="eastAsia" w:ascii="宋体" w:hAnsi="宋体"/>
          <w:kern w:val="0"/>
          <w:szCs w:val="21"/>
        </w:rPr>
        <w:t>第二章“</w:t>
      </w:r>
      <w:r>
        <w:rPr>
          <w:rFonts w:ascii="宋体" w:hAnsi="宋体"/>
          <w:kern w:val="0"/>
          <w:szCs w:val="21"/>
          <w:lang w:val="zh-CN"/>
        </w:rPr>
        <w:t>投标人须知前附表</w:t>
      </w:r>
      <w:r>
        <w:rPr>
          <w:rFonts w:hint="eastAsia" w:ascii="宋体" w:hAnsi="宋体"/>
          <w:kern w:val="0"/>
          <w:szCs w:val="21"/>
          <w:lang w:val="zh-CN"/>
        </w:rPr>
        <w:t>”</w:t>
      </w:r>
      <w:r>
        <w:rPr>
          <w:rFonts w:ascii="宋体" w:hAnsi="宋体"/>
          <w:kern w:val="0"/>
          <w:szCs w:val="21"/>
          <w:lang w:val="zh-CN"/>
        </w:rPr>
        <w:t>与其正文不一致的以</w:t>
      </w:r>
      <w:r>
        <w:rPr>
          <w:rFonts w:hint="eastAsia" w:ascii="宋体" w:hAnsi="宋体"/>
          <w:kern w:val="0"/>
          <w:szCs w:val="21"/>
          <w:lang w:val="zh-CN"/>
        </w:rPr>
        <w:t>“投标人须知</w:t>
      </w:r>
      <w:r>
        <w:rPr>
          <w:rFonts w:ascii="宋体" w:hAnsi="宋体"/>
          <w:kern w:val="0"/>
          <w:szCs w:val="21"/>
          <w:lang w:val="zh-CN"/>
        </w:rPr>
        <w:t>前附表</w:t>
      </w:r>
      <w:r>
        <w:rPr>
          <w:rFonts w:hint="eastAsia" w:ascii="宋体" w:hAnsi="宋体"/>
          <w:kern w:val="0"/>
          <w:szCs w:val="21"/>
          <w:lang w:val="zh-CN"/>
        </w:rPr>
        <w:t>”</w:t>
      </w:r>
      <w:r>
        <w:rPr>
          <w:rFonts w:ascii="宋体" w:hAnsi="宋体"/>
          <w:kern w:val="0"/>
          <w:szCs w:val="21"/>
          <w:lang w:val="zh-CN"/>
        </w:rPr>
        <w:t>为准，</w:t>
      </w:r>
      <w:r>
        <w:rPr>
          <w:rFonts w:hint="eastAsia" w:ascii="宋体" w:hAnsi="宋体"/>
          <w:kern w:val="0"/>
          <w:szCs w:val="21"/>
        </w:rPr>
        <w:t>第三章“</w:t>
      </w:r>
      <w:r>
        <w:rPr>
          <w:rFonts w:ascii="宋体" w:hAnsi="宋体"/>
          <w:kern w:val="0"/>
          <w:szCs w:val="21"/>
          <w:lang w:val="zh-CN"/>
        </w:rPr>
        <w:t>评标办法前附表</w:t>
      </w:r>
      <w:r>
        <w:rPr>
          <w:rFonts w:hint="eastAsia" w:ascii="宋体" w:hAnsi="宋体"/>
          <w:kern w:val="0"/>
          <w:szCs w:val="21"/>
          <w:lang w:val="zh-CN"/>
        </w:rPr>
        <w:t>”</w:t>
      </w:r>
      <w:r>
        <w:rPr>
          <w:rFonts w:ascii="宋体" w:hAnsi="宋体"/>
          <w:kern w:val="0"/>
          <w:szCs w:val="21"/>
          <w:lang w:val="zh-CN"/>
        </w:rPr>
        <w:t>与其正文不一致的以</w:t>
      </w:r>
      <w:r>
        <w:rPr>
          <w:rFonts w:hint="eastAsia" w:ascii="宋体" w:hAnsi="宋体"/>
          <w:kern w:val="0"/>
          <w:szCs w:val="21"/>
          <w:lang w:val="zh-CN"/>
        </w:rPr>
        <w:t>“评标办法</w:t>
      </w:r>
      <w:r>
        <w:rPr>
          <w:rFonts w:ascii="宋体" w:hAnsi="宋体"/>
          <w:kern w:val="0"/>
          <w:szCs w:val="21"/>
          <w:lang w:val="zh-CN"/>
        </w:rPr>
        <w:t>前附表</w:t>
      </w:r>
      <w:r>
        <w:rPr>
          <w:rFonts w:hint="eastAsia" w:ascii="宋体" w:hAnsi="宋体"/>
          <w:kern w:val="0"/>
          <w:szCs w:val="21"/>
          <w:lang w:val="zh-CN"/>
        </w:rPr>
        <w:t>”</w:t>
      </w:r>
      <w:r>
        <w:rPr>
          <w:rFonts w:ascii="宋体" w:hAnsi="宋体"/>
          <w:kern w:val="0"/>
          <w:szCs w:val="21"/>
          <w:lang w:val="zh-CN"/>
        </w:rPr>
        <w:t>为准</w:t>
      </w:r>
      <w:r>
        <w:rPr>
          <w:rFonts w:hint="eastAsia" w:ascii="宋体" w:hAnsi="宋体"/>
          <w:kern w:val="0"/>
          <w:szCs w:val="21"/>
          <w:lang w:val="zh-CN"/>
        </w:rPr>
        <w:t>，第二章“投标人须知正文”与第三章“评标办法正文”不允许修改。招标人必须将所有涉及否决投标的情形逐条清晰的列入第三章“否决投标情况一览表”中，否则不得作为否决投标的依据。第四章“合同条款及格式”中的第二部分通用合同条款不允许修改。</w:t>
      </w:r>
    </w:p>
    <w:p>
      <w:pPr>
        <w:spacing w:line="360" w:lineRule="auto"/>
        <w:ind w:firstLine="420" w:firstLineChars="200"/>
        <w:rPr>
          <w:rFonts w:ascii="宋体" w:hAnsi="宋体"/>
          <w:kern w:val="0"/>
          <w:szCs w:val="21"/>
          <w:lang w:val="zh-CN"/>
        </w:rPr>
      </w:pPr>
      <w:r>
        <w:rPr>
          <w:rFonts w:hint="eastAsia" w:ascii="宋体" w:hAnsi="宋体"/>
          <w:kern w:val="0"/>
          <w:szCs w:val="21"/>
          <w:lang w:val="zh-CN"/>
        </w:rPr>
        <w:t>十、《</w:t>
      </w:r>
      <w:r>
        <w:rPr>
          <w:rFonts w:hint="eastAsia" w:ascii="宋体" w:hAnsi="宋体" w:cs="宋体"/>
          <w:kern w:val="0"/>
          <w:szCs w:val="21"/>
          <w:lang w:val="zh-CN"/>
        </w:rPr>
        <w:t>重庆市地质灾害治理工程施工标准招标文件</w:t>
      </w:r>
      <w:r>
        <w:rPr>
          <w:rFonts w:hint="eastAsia" w:ascii="宋体" w:hAnsi="宋体"/>
          <w:kern w:val="0"/>
          <w:szCs w:val="21"/>
          <w:lang w:val="zh-CN"/>
        </w:rPr>
        <w:t>》凡以“□”标示的为选择项目，供招标人在实际使用中在相应“□”中用“√”标示选择，未勾选的项目由招标人在编制过程中自行删除；以空格或下划线标示的，招标人应根据招标项目具体特点和实际需要进行填写，也可以直接引用或修改完善下划线上已有的示范性填写内容，确实没有需要填写的，在空格中或下划线上用“/”标示；除“□”、空格、下划线可以根据项目实际情况进行必要的勾选、细化补充以及“[提示]”明确可以增加补充的外，不得对《</w:t>
      </w:r>
      <w:r>
        <w:rPr>
          <w:rFonts w:hint="eastAsia" w:ascii="宋体" w:hAnsi="宋体" w:cs="宋体"/>
          <w:kern w:val="0"/>
          <w:szCs w:val="21"/>
          <w:lang w:val="zh-CN"/>
        </w:rPr>
        <w:t>重庆市地质灾害治理工程施工标准招标文件</w:t>
      </w:r>
      <w:r>
        <w:rPr>
          <w:rFonts w:hint="eastAsia" w:ascii="宋体" w:hAnsi="宋体"/>
          <w:kern w:val="0"/>
          <w:szCs w:val="21"/>
          <w:lang w:val="zh-CN"/>
        </w:rPr>
        <w:t>》实质性内容进行修改，补充细化的内容不得与《</w:t>
      </w:r>
      <w:r>
        <w:rPr>
          <w:rFonts w:hint="eastAsia" w:ascii="宋体" w:hAnsi="宋体" w:cs="宋体"/>
          <w:kern w:val="0"/>
          <w:szCs w:val="21"/>
          <w:lang w:val="zh-CN"/>
        </w:rPr>
        <w:t>重庆市地质灾害治理工程施工标准招标文件</w:t>
      </w:r>
      <w:r>
        <w:rPr>
          <w:rFonts w:hint="eastAsia" w:ascii="宋体" w:hAnsi="宋体"/>
          <w:kern w:val="0"/>
          <w:szCs w:val="21"/>
          <w:lang w:val="zh-CN"/>
        </w:rPr>
        <w:t>》已约定的内容矛盾。文中标注为“[提示]”的内容在具体招标文件编制过程中应删除。</w:t>
      </w:r>
    </w:p>
    <w:p>
      <w:pPr>
        <w:spacing w:line="360" w:lineRule="auto"/>
        <w:ind w:firstLine="420" w:firstLineChars="200"/>
        <w:rPr>
          <w:rFonts w:ascii="宋体" w:hAnsi="宋体"/>
          <w:kern w:val="0"/>
          <w:szCs w:val="21"/>
        </w:rPr>
        <w:sectPr>
          <w:footerReference r:id="rId6" w:type="default"/>
          <w:pgSz w:w="11907" w:h="16840"/>
          <w:pgMar w:top="1304" w:right="1134" w:bottom="1304" w:left="1304" w:header="851" w:footer="992" w:gutter="0"/>
          <w:pgNumType w:fmt="numberInDash" w:start="1"/>
          <w:cols w:space="720" w:num="1"/>
          <w:docGrid w:linePitch="312" w:charSpace="0"/>
        </w:sectPr>
      </w:pPr>
      <w:r>
        <w:rPr>
          <w:rFonts w:ascii="宋体" w:hAnsi="宋体"/>
          <w:kern w:val="0"/>
          <w:szCs w:val="21"/>
          <w:lang w:val="zh-CN"/>
        </w:rPr>
        <w:t>十一、《</w:t>
      </w:r>
      <w:r>
        <w:rPr>
          <w:rFonts w:hint="eastAsia" w:ascii="宋体" w:hAnsi="宋体" w:cs="宋体"/>
          <w:kern w:val="0"/>
          <w:szCs w:val="21"/>
          <w:lang w:val="zh-CN"/>
        </w:rPr>
        <w:t>重庆市地质灾害治理工程施工标准招标文件</w:t>
      </w:r>
      <w:r>
        <w:rPr>
          <w:rFonts w:ascii="宋体" w:hAnsi="宋体"/>
          <w:kern w:val="0"/>
          <w:szCs w:val="21"/>
          <w:lang w:val="zh-CN"/>
        </w:rPr>
        <w:t>》将根据实际执行过程中出现的问题及时进行修改。各使用单位或个人对《</w:t>
      </w:r>
      <w:r>
        <w:rPr>
          <w:rFonts w:hint="eastAsia" w:ascii="宋体" w:hAnsi="宋体" w:cs="宋体"/>
          <w:kern w:val="0"/>
          <w:szCs w:val="21"/>
          <w:lang w:val="zh-CN"/>
        </w:rPr>
        <w:t>重庆市地质灾害治理工程施工标准招标文件</w:t>
      </w:r>
      <w:r>
        <w:rPr>
          <w:rFonts w:ascii="宋体" w:hAnsi="宋体"/>
          <w:kern w:val="0"/>
          <w:szCs w:val="21"/>
          <w:lang w:val="zh-CN"/>
        </w:rPr>
        <w:t>》的修改意见和建议，可向</w:t>
      </w:r>
      <w:r>
        <w:rPr>
          <w:rFonts w:hint="eastAsia" w:ascii="宋体" w:hAnsi="宋体"/>
          <w:kern w:val="0"/>
          <w:szCs w:val="21"/>
          <w:lang w:val="zh-CN"/>
        </w:rPr>
        <w:t>重庆市公共资源交易监督管理局</w:t>
      </w:r>
      <w:r>
        <w:rPr>
          <w:rFonts w:ascii="宋体" w:hAnsi="宋体"/>
          <w:kern w:val="0"/>
          <w:szCs w:val="21"/>
          <w:lang w:val="zh-CN"/>
        </w:rPr>
        <w:t>反映。联系电话</w:t>
      </w:r>
      <w:r>
        <w:rPr>
          <w:rFonts w:hint="eastAsia" w:ascii="宋体" w:hAnsi="宋体"/>
          <w:kern w:val="0"/>
          <w:szCs w:val="21"/>
          <w:lang w:val="zh-CN"/>
        </w:rPr>
        <w:t>：023-67575990或023-6367</w:t>
      </w:r>
      <w:r>
        <w:rPr>
          <w:rFonts w:hint="eastAsia" w:asciiTheme="minorEastAsia" w:hAnsiTheme="minorEastAsia" w:eastAsiaTheme="minorEastAsia"/>
          <w:szCs w:val="21"/>
        </w:rPr>
        <w:t>2099</w:t>
      </w:r>
      <w:r>
        <w:rPr>
          <w:rFonts w:hint="eastAsia" w:ascii="宋体" w:hAnsi="宋体"/>
          <w:kern w:val="0"/>
          <w:szCs w:val="21"/>
          <w:lang w:val="zh-CN"/>
        </w:rPr>
        <w:t>。</w:t>
      </w:r>
    </w:p>
    <w:p>
      <w:pPr>
        <w:jc w:val="center"/>
        <w:rPr>
          <w:rFonts w:ascii="宋体" w:hAnsi="宋体"/>
          <w:b/>
          <w:sz w:val="44"/>
          <w:szCs w:val="44"/>
        </w:rPr>
      </w:pPr>
    </w:p>
    <w:p>
      <w:pPr>
        <w:spacing w:line="360" w:lineRule="auto"/>
        <w:jc w:val="center"/>
        <w:rPr>
          <w:rFonts w:ascii="宋体" w:hAnsi="宋体"/>
          <w:kern w:val="0"/>
          <w:sz w:val="32"/>
          <w:szCs w:val="32"/>
        </w:rPr>
      </w:pPr>
      <w:r>
        <w:rPr>
          <w:rFonts w:hint="eastAsia" w:ascii="宋体" w:hAnsi="宋体"/>
          <w:kern w:val="0"/>
          <w:sz w:val="32"/>
          <w:szCs w:val="32"/>
          <w:u w:val="single"/>
        </w:rPr>
        <w:t xml:space="preserve">                   （项目名称）</w:t>
      </w: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center"/>
        <w:rPr>
          <w:rFonts w:ascii="宋体" w:hAnsi="宋体"/>
          <w:kern w:val="0"/>
          <w:sz w:val="72"/>
          <w:szCs w:val="72"/>
        </w:rPr>
      </w:pPr>
      <w:r>
        <w:rPr>
          <w:rFonts w:hint="eastAsia" w:ascii="宋体" w:hAnsi="宋体" w:cs="宋体"/>
          <w:kern w:val="0"/>
          <w:sz w:val="72"/>
          <w:szCs w:val="72"/>
        </w:rPr>
        <w:t>地质灾害治理</w:t>
      </w:r>
      <w:r>
        <w:rPr>
          <w:rFonts w:ascii="宋体" w:hAnsi="宋体"/>
          <w:kern w:val="0"/>
          <w:sz w:val="72"/>
          <w:szCs w:val="72"/>
        </w:rPr>
        <w:t>招标文件</w:t>
      </w:r>
    </w:p>
    <w:p>
      <w:pPr>
        <w:autoSpaceDE w:val="0"/>
        <w:autoSpaceDN w:val="0"/>
        <w:adjustRightInd w:val="0"/>
        <w:snapToGrid w:val="0"/>
        <w:spacing w:line="360" w:lineRule="auto"/>
        <w:jc w:val="left"/>
        <w:rPr>
          <w:rFonts w:ascii="宋体" w:hAnsi="宋体"/>
          <w:kern w:val="0"/>
          <w:sz w:val="10"/>
          <w:szCs w:val="1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rPr>
          <w:rFonts w:ascii="宋体" w:hAnsi="宋体"/>
          <w:kern w:val="0"/>
          <w:sz w:val="20"/>
          <w:szCs w:val="20"/>
        </w:rPr>
      </w:pPr>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rPr>
          <w:rFonts w:ascii="宋体" w:hAnsi="宋体"/>
          <w:kern w:val="0"/>
          <w:sz w:val="20"/>
          <w:szCs w:val="20"/>
        </w:rPr>
      </w:pPr>
    </w:p>
    <w:p>
      <w:pPr>
        <w:autoSpaceDE w:val="0"/>
        <w:autoSpaceDN w:val="0"/>
        <w:adjustRightInd w:val="0"/>
        <w:snapToGrid w:val="0"/>
        <w:spacing w:line="360" w:lineRule="auto"/>
        <w:rPr>
          <w:rFonts w:ascii="宋体" w:hAnsi="宋体"/>
          <w:kern w:val="0"/>
          <w:sz w:val="20"/>
          <w:szCs w:val="20"/>
        </w:rPr>
      </w:pPr>
    </w:p>
    <w:p>
      <w:pPr>
        <w:autoSpaceDE w:val="0"/>
        <w:autoSpaceDN w:val="0"/>
        <w:adjustRightInd w:val="0"/>
        <w:snapToGrid w:val="0"/>
        <w:spacing w:line="360" w:lineRule="auto"/>
        <w:rPr>
          <w:rFonts w:ascii="宋体" w:hAnsi="宋体"/>
          <w:kern w:val="0"/>
          <w:sz w:val="20"/>
          <w:szCs w:val="20"/>
        </w:rPr>
      </w:pPr>
    </w:p>
    <w:p>
      <w:pPr>
        <w:tabs>
          <w:tab w:val="left" w:pos="6219"/>
        </w:tabs>
        <w:autoSpaceDE w:val="0"/>
        <w:autoSpaceDN w:val="0"/>
        <w:adjustRightInd w:val="0"/>
        <w:snapToGrid w:val="0"/>
        <w:spacing w:line="360" w:lineRule="auto"/>
        <w:jc w:val="center"/>
        <w:rPr>
          <w:rFonts w:ascii="宋体" w:hAnsi="宋体"/>
          <w:bCs/>
          <w:w w:val="99"/>
          <w:kern w:val="0"/>
          <w:sz w:val="28"/>
          <w:szCs w:val="28"/>
        </w:rPr>
      </w:pPr>
      <w:r>
        <w:rPr>
          <w:rFonts w:ascii="宋体" w:hAnsi="宋体"/>
          <w:bCs/>
          <w:w w:val="99"/>
          <w:kern w:val="0"/>
          <w:sz w:val="28"/>
          <w:szCs w:val="28"/>
        </w:rPr>
        <w:t>招</w:t>
      </w:r>
      <w:r>
        <w:rPr>
          <w:rFonts w:hint="eastAsia" w:ascii="宋体" w:hAnsi="宋体"/>
          <w:bCs/>
          <w:w w:val="99"/>
          <w:kern w:val="0"/>
          <w:sz w:val="28"/>
          <w:szCs w:val="28"/>
        </w:rPr>
        <w:t xml:space="preserve">   </w:t>
      </w:r>
      <w:r>
        <w:rPr>
          <w:rFonts w:ascii="宋体" w:hAnsi="宋体"/>
          <w:bCs/>
          <w:w w:val="99"/>
          <w:kern w:val="0"/>
          <w:sz w:val="28"/>
          <w:szCs w:val="28"/>
        </w:rPr>
        <w:t>标</w:t>
      </w:r>
      <w:r>
        <w:rPr>
          <w:rFonts w:hint="eastAsia" w:ascii="宋体" w:hAnsi="宋体"/>
          <w:bCs/>
          <w:w w:val="99"/>
          <w:kern w:val="0"/>
          <w:sz w:val="28"/>
          <w:szCs w:val="28"/>
        </w:rPr>
        <w:t xml:space="preserve">   </w:t>
      </w:r>
      <w:r>
        <w:rPr>
          <w:rFonts w:ascii="宋体" w:hAnsi="宋体"/>
          <w:bCs/>
          <w:w w:val="99"/>
          <w:kern w:val="0"/>
          <w:sz w:val="28"/>
          <w:szCs w:val="28"/>
        </w:rPr>
        <w:t>人：</w:t>
      </w:r>
      <w:r>
        <w:rPr>
          <w:rFonts w:ascii="宋体" w:hAnsi="宋体"/>
          <w:bCs/>
          <w:kern w:val="0"/>
          <w:sz w:val="28"/>
          <w:szCs w:val="28"/>
          <w:u w:val="single"/>
        </w:rPr>
        <w:tab/>
      </w:r>
      <w:r>
        <w:rPr>
          <w:rFonts w:ascii="宋体" w:hAnsi="宋体"/>
          <w:bCs/>
          <w:kern w:val="0"/>
          <w:sz w:val="28"/>
          <w:szCs w:val="28"/>
          <w:u w:val="single"/>
        </w:rPr>
        <w:t xml:space="preserve">   </w:t>
      </w:r>
      <w:r>
        <w:rPr>
          <w:rFonts w:ascii="宋体" w:hAnsi="宋体"/>
          <w:bCs/>
          <w:w w:val="99"/>
          <w:kern w:val="0"/>
          <w:sz w:val="28"/>
          <w:szCs w:val="28"/>
        </w:rPr>
        <w:t>（盖单位法人章）</w:t>
      </w:r>
    </w:p>
    <w:p>
      <w:pPr>
        <w:tabs>
          <w:tab w:val="left" w:pos="6252"/>
        </w:tabs>
        <w:autoSpaceDE w:val="0"/>
        <w:autoSpaceDN w:val="0"/>
        <w:adjustRightInd w:val="0"/>
        <w:snapToGrid w:val="0"/>
        <w:spacing w:line="360" w:lineRule="auto"/>
        <w:jc w:val="center"/>
        <w:rPr>
          <w:rFonts w:ascii="宋体" w:hAnsi="宋体"/>
          <w:bCs/>
          <w:w w:val="99"/>
          <w:kern w:val="0"/>
          <w:sz w:val="28"/>
          <w:szCs w:val="28"/>
        </w:rPr>
      </w:pPr>
      <w:r>
        <w:rPr>
          <w:rFonts w:ascii="宋体" w:hAnsi="宋体"/>
          <w:bCs/>
          <w:spacing w:val="8"/>
          <w:kern w:val="0"/>
          <w:sz w:val="28"/>
          <w:szCs w:val="28"/>
        </w:rPr>
        <w:t>招标代理机构：</w:t>
      </w:r>
      <w:r>
        <w:rPr>
          <w:rFonts w:ascii="宋体" w:hAnsi="宋体"/>
          <w:bCs/>
          <w:kern w:val="0"/>
          <w:sz w:val="28"/>
          <w:szCs w:val="28"/>
          <w:u w:val="single"/>
        </w:rPr>
        <w:tab/>
      </w:r>
      <w:r>
        <w:rPr>
          <w:rFonts w:ascii="宋体" w:hAnsi="宋体"/>
          <w:bCs/>
          <w:kern w:val="0"/>
          <w:sz w:val="28"/>
          <w:szCs w:val="28"/>
          <w:u w:val="single"/>
        </w:rPr>
        <w:t xml:space="preserve">   </w:t>
      </w:r>
      <w:r>
        <w:rPr>
          <w:rFonts w:ascii="宋体" w:hAnsi="宋体"/>
          <w:bCs/>
          <w:w w:val="99"/>
          <w:kern w:val="0"/>
          <w:sz w:val="28"/>
          <w:szCs w:val="28"/>
        </w:rPr>
        <w:t>（盖单位法人章）</w:t>
      </w:r>
    </w:p>
    <w:p>
      <w:pPr>
        <w:autoSpaceDE w:val="0"/>
        <w:autoSpaceDN w:val="0"/>
        <w:adjustRightInd w:val="0"/>
        <w:snapToGrid w:val="0"/>
        <w:spacing w:line="360" w:lineRule="auto"/>
        <w:jc w:val="center"/>
        <w:rPr>
          <w:rFonts w:ascii="宋体" w:hAnsi="宋体"/>
          <w:bCs/>
          <w:kern w:val="0"/>
          <w:sz w:val="20"/>
          <w:szCs w:val="20"/>
        </w:rPr>
      </w:pPr>
    </w:p>
    <w:p>
      <w:pPr>
        <w:autoSpaceDE w:val="0"/>
        <w:autoSpaceDN w:val="0"/>
        <w:adjustRightInd w:val="0"/>
        <w:snapToGrid w:val="0"/>
        <w:spacing w:line="360" w:lineRule="auto"/>
        <w:jc w:val="center"/>
        <w:rPr>
          <w:rFonts w:ascii="宋体" w:hAnsi="宋体"/>
          <w:bCs/>
          <w:kern w:val="0"/>
          <w:sz w:val="28"/>
          <w:szCs w:val="28"/>
        </w:rPr>
      </w:pPr>
    </w:p>
    <w:p>
      <w:pPr>
        <w:autoSpaceDE w:val="0"/>
        <w:autoSpaceDN w:val="0"/>
        <w:adjustRightInd w:val="0"/>
        <w:snapToGrid w:val="0"/>
        <w:spacing w:line="360" w:lineRule="auto"/>
        <w:jc w:val="center"/>
        <w:rPr>
          <w:rFonts w:ascii="宋体" w:hAnsi="宋体"/>
          <w:bCs/>
          <w:kern w:val="0"/>
          <w:sz w:val="28"/>
          <w:szCs w:val="28"/>
        </w:rPr>
      </w:pPr>
    </w:p>
    <w:p>
      <w:pPr>
        <w:autoSpaceDE w:val="0"/>
        <w:autoSpaceDN w:val="0"/>
        <w:adjustRightInd w:val="0"/>
        <w:snapToGrid w:val="0"/>
        <w:spacing w:line="360" w:lineRule="auto"/>
        <w:rPr>
          <w:rFonts w:ascii="宋体" w:hAnsi="宋体"/>
          <w:bCs/>
          <w:kern w:val="0"/>
          <w:sz w:val="20"/>
          <w:szCs w:val="20"/>
        </w:rPr>
      </w:pPr>
    </w:p>
    <w:p>
      <w:pPr>
        <w:tabs>
          <w:tab w:val="left" w:pos="6252"/>
        </w:tabs>
        <w:autoSpaceDE w:val="0"/>
        <w:autoSpaceDN w:val="0"/>
        <w:adjustRightInd w:val="0"/>
        <w:snapToGrid w:val="0"/>
        <w:spacing w:line="360" w:lineRule="auto"/>
        <w:jc w:val="center"/>
        <w:rPr>
          <w:rFonts w:ascii="宋体" w:hAnsi="宋体"/>
          <w:bCs/>
          <w:spacing w:val="8"/>
          <w:kern w:val="0"/>
          <w:sz w:val="28"/>
          <w:szCs w:val="28"/>
        </w:rPr>
      </w:pPr>
      <w:bookmarkStart w:id="1" w:name="_Toc536797277"/>
      <w:bookmarkStart w:id="2" w:name="_Toc509218549"/>
      <w:bookmarkStart w:id="3" w:name="_Toc13210649"/>
      <w:bookmarkStart w:id="4" w:name="_Toc536621766"/>
      <w:bookmarkStart w:id="5" w:name="_Toc536796736"/>
      <w:r>
        <w:rPr>
          <w:rFonts w:hint="eastAsia" w:ascii="宋体" w:hAnsi="宋体"/>
          <w:bCs/>
          <w:spacing w:val="8"/>
          <w:kern w:val="0"/>
          <w:sz w:val="28"/>
          <w:szCs w:val="28"/>
          <w:u w:val="single"/>
        </w:rPr>
        <w:t xml:space="preserve">    </w:t>
      </w:r>
      <w:r>
        <w:rPr>
          <w:rFonts w:ascii="宋体" w:hAnsi="宋体"/>
          <w:bCs/>
          <w:spacing w:val="8"/>
          <w:kern w:val="0"/>
          <w:sz w:val="28"/>
          <w:szCs w:val="28"/>
        </w:rPr>
        <w:t>年</w:t>
      </w:r>
      <w:r>
        <w:rPr>
          <w:rFonts w:hint="eastAsia" w:ascii="宋体" w:hAnsi="宋体"/>
          <w:bCs/>
          <w:spacing w:val="8"/>
          <w:kern w:val="0"/>
          <w:sz w:val="28"/>
          <w:szCs w:val="28"/>
          <w:u w:val="single"/>
        </w:rPr>
        <w:t xml:space="preserve">    </w:t>
      </w:r>
      <w:r>
        <w:rPr>
          <w:rFonts w:ascii="宋体" w:hAnsi="宋体"/>
          <w:bCs/>
          <w:spacing w:val="8"/>
          <w:kern w:val="0"/>
          <w:sz w:val="28"/>
          <w:szCs w:val="28"/>
        </w:rPr>
        <w:t>月</w:t>
      </w:r>
      <w:r>
        <w:rPr>
          <w:rFonts w:hint="eastAsia" w:ascii="宋体" w:hAnsi="宋体"/>
          <w:bCs/>
          <w:spacing w:val="8"/>
          <w:kern w:val="0"/>
          <w:sz w:val="28"/>
          <w:szCs w:val="28"/>
          <w:u w:val="single"/>
        </w:rPr>
        <w:t xml:space="preserve">    </w:t>
      </w:r>
      <w:r>
        <w:rPr>
          <w:rFonts w:ascii="宋体" w:hAnsi="宋体"/>
          <w:bCs/>
          <w:spacing w:val="8"/>
          <w:kern w:val="0"/>
          <w:sz w:val="28"/>
          <w:szCs w:val="28"/>
        </w:rPr>
        <w:t>日</w:t>
      </w:r>
      <w:bookmarkEnd w:id="1"/>
      <w:bookmarkEnd w:id="2"/>
      <w:bookmarkEnd w:id="3"/>
      <w:bookmarkEnd w:id="4"/>
      <w:bookmarkEnd w:id="5"/>
    </w:p>
    <w:p>
      <w:pPr>
        <w:pStyle w:val="3"/>
        <w:spacing w:line="360" w:lineRule="auto"/>
        <w:outlineLvl w:val="9"/>
        <w:rPr>
          <w:rFonts w:ascii="宋体" w:hAnsi="宋体"/>
          <w:w w:val="99"/>
          <w:kern w:val="0"/>
          <w:sz w:val="24"/>
        </w:rPr>
        <w:sectPr>
          <w:footerReference r:id="rId7" w:type="default"/>
          <w:pgSz w:w="11907" w:h="16840"/>
          <w:pgMar w:top="1304" w:right="1134" w:bottom="1304" w:left="1304" w:header="851" w:footer="992" w:gutter="0"/>
          <w:pgNumType w:fmt="numberInDash" w:start="1"/>
          <w:cols w:space="720" w:num="1"/>
          <w:docGrid w:linePitch="312" w:charSpace="0"/>
        </w:sectPr>
      </w:pPr>
    </w:p>
    <w:p>
      <w:pPr>
        <w:rPr>
          <w:rFonts w:ascii="宋体" w:hAnsi="宋体"/>
          <w:bCs/>
          <w:szCs w:val="20"/>
          <w:lang w:val="zh-CN"/>
        </w:rPr>
      </w:pPr>
    </w:p>
    <w:sdt>
      <w:sdtPr>
        <w:rPr>
          <w:rFonts w:ascii="宋体" w:hAnsi="宋体" w:eastAsia="宋体" w:cs="Times New Roman"/>
          <w:kern w:val="2"/>
          <w:sz w:val="44"/>
          <w:szCs w:val="52"/>
          <w:lang w:val="en-US" w:eastAsia="zh-CN" w:bidi="ar-SA"/>
        </w:rPr>
        <w:id w:val="147474003"/>
        <w15:color w:val="DBDBDB"/>
      </w:sdtPr>
      <w:sdtEndPr>
        <w:rPr>
          <w:rFonts w:ascii="Times New Roman" w:hAnsi="Times New Roman"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sz w:val="44"/>
              <w:szCs w:val="52"/>
            </w:rPr>
          </w:pPr>
          <w:r>
            <w:rPr>
              <w:rFonts w:ascii="宋体" w:hAnsi="宋体" w:eastAsia="宋体"/>
              <w:sz w:val="44"/>
              <w:szCs w:val="52"/>
            </w:rPr>
            <w:t>目录</w:t>
          </w:r>
        </w:p>
        <w:p>
          <w:pPr>
            <w:pStyle w:val="32"/>
            <w:tabs>
              <w:tab w:val="right" w:leader="dot" w:pos="9469"/>
            </w:tabs>
          </w:pPr>
          <w:r>
            <w:fldChar w:fldCharType="begin"/>
          </w:r>
          <w:r>
            <w:instrText xml:space="preserve">TOC \o "1-2" \h \u </w:instrText>
          </w:r>
          <w:r>
            <w:fldChar w:fldCharType="separate"/>
          </w:r>
          <w:r>
            <w:fldChar w:fldCharType="begin"/>
          </w:r>
          <w:r>
            <w:instrText xml:space="preserve"> HYPERLINK \l _Toc3232 </w:instrText>
          </w:r>
          <w:r>
            <w:fldChar w:fldCharType="separate"/>
          </w:r>
          <w:r>
            <w:rPr>
              <w:rFonts w:hint="eastAsia" w:ascii="宋体" w:hAnsi="宋体"/>
              <w:szCs w:val="52"/>
            </w:rPr>
            <w:t>第 一 卷</w:t>
          </w:r>
          <w:r>
            <w:tab/>
          </w:r>
          <w:r>
            <w:fldChar w:fldCharType="begin"/>
          </w:r>
          <w:r>
            <w:instrText xml:space="preserve"> PAGEREF _Toc3232 \h </w:instrText>
          </w:r>
          <w:r>
            <w:fldChar w:fldCharType="separate"/>
          </w:r>
          <w:r>
            <w:t>4</w:t>
          </w:r>
          <w:r>
            <w:fldChar w:fldCharType="end"/>
          </w:r>
          <w:r>
            <w:fldChar w:fldCharType="end"/>
          </w:r>
        </w:p>
        <w:p>
          <w:pPr>
            <w:pStyle w:val="32"/>
            <w:tabs>
              <w:tab w:val="right" w:leader="dot" w:pos="9469"/>
            </w:tabs>
          </w:pPr>
          <w:r>
            <w:fldChar w:fldCharType="begin"/>
          </w:r>
          <w:r>
            <w:instrText xml:space="preserve"> HYPERLINK \l _Toc5426 </w:instrText>
          </w:r>
          <w:r>
            <w:fldChar w:fldCharType="separate"/>
          </w:r>
          <w:r>
            <w:rPr>
              <w:rFonts w:ascii="宋体" w:hAnsi="宋体"/>
              <w:snapToGrid w:val="0"/>
              <w:kern w:val="0"/>
            </w:rPr>
            <w:t>第一章  招标公告（</w:t>
          </w:r>
          <w:r>
            <w:rPr>
              <w:rFonts w:hint="eastAsia" w:ascii="宋体" w:hAnsi="宋体"/>
              <w:snapToGrid w:val="0"/>
              <w:kern w:val="0"/>
            </w:rPr>
            <w:t>适用于公开招标）</w:t>
          </w:r>
          <w:r>
            <w:tab/>
          </w:r>
          <w:r>
            <w:fldChar w:fldCharType="begin"/>
          </w:r>
          <w:r>
            <w:instrText xml:space="preserve"> PAGEREF _Toc5426 \h </w:instrText>
          </w:r>
          <w:r>
            <w:fldChar w:fldCharType="separate"/>
          </w:r>
          <w:r>
            <w:t>5</w:t>
          </w:r>
          <w:r>
            <w:fldChar w:fldCharType="end"/>
          </w:r>
          <w:r>
            <w:fldChar w:fldCharType="end"/>
          </w:r>
        </w:p>
        <w:p>
          <w:pPr>
            <w:pStyle w:val="38"/>
            <w:tabs>
              <w:tab w:val="right" w:leader="dot" w:pos="9469"/>
            </w:tabs>
          </w:pPr>
          <w:r>
            <w:fldChar w:fldCharType="begin"/>
          </w:r>
          <w:r>
            <w:instrText xml:space="preserve"> HYPERLINK \l _Toc13477 </w:instrText>
          </w:r>
          <w:r>
            <w:fldChar w:fldCharType="separate"/>
          </w:r>
          <w:r>
            <w:rPr>
              <w:rFonts w:ascii="宋体" w:hAnsi="宋体"/>
              <w:snapToGrid w:val="0"/>
              <w:szCs w:val="28"/>
            </w:rPr>
            <w:t xml:space="preserve">1. </w:t>
          </w:r>
          <w:r>
            <w:rPr>
              <w:rFonts w:hint="eastAsia" w:ascii="宋体" w:hAnsi="宋体"/>
              <w:snapToGrid w:val="0"/>
              <w:szCs w:val="28"/>
            </w:rPr>
            <w:t xml:space="preserve"> </w:t>
          </w:r>
          <w:r>
            <w:rPr>
              <w:rFonts w:ascii="宋体" w:hAnsi="宋体"/>
              <w:snapToGrid w:val="0"/>
              <w:szCs w:val="28"/>
            </w:rPr>
            <w:t>招标条件</w:t>
          </w:r>
          <w:r>
            <w:tab/>
          </w:r>
          <w:r>
            <w:fldChar w:fldCharType="begin"/>
          </w:r>
          <w:r>
            <w:instrText xml:space="preserve"> PAGEREF _Toc13477 \h </w:instrText>
          </w:r>
          <w:r>
            <w:fldChar w:fldCharType="separate"/>
          </w:r>
          <w:r>
            <w:t>5</w:t>
          </w:r>
          <w:r>
            <w:fldChar w:fldCharType="end"/>
          </w:r>
          <w:r>
            <w:fldChar w:fldCharType="end"/>
          </w:r>
        </w:p>
        <w:p>
          <w:pPr>
            <w:pStyle w:val="38"/>
            <w:tabs>
              <w:tab w:val="right" w:leader="dot" w:pos="9469"/>
            </w:tabs>
          </w:pPr>
          <w:r>
            <w:fldChar w:fldCharType="begin"/>
          </w:r>
          <w:r>
            <w:instrText xml:space="preserve"> HYPERLINK \l _Toc15168 </w:instrText>
          </w:r>
          <w:r>
            <w:fldChar w:fldCharType="separate"/>
          </w:r>
          <w:r>
            <w:rPr>
              <w:rFonts w:ascii="宋体" w:hAnsi="宋体"/>
              <w:snapToGrid w:val="0"/>
              <w:szCs w:val="28"/>
            </w:rPr>
            <w:t>2.</w:t>
          </w:r>
          <w:r>
            <w:rPr>
              <w:rFonts w:hint="eastAsia" w:ascii="宋体" w:hAnsi="宋体"/>
              <w:snapToGrid w:val="0"/>
              <w:szCs w:val="28"/>
            </w:rPr>
            <w:t xml:space="preserve"> </w:t>
          </w:r>
          <w:r>
            <w:rPr>
              <w:rFonts w:ascii="宋体" w:hAnsi="宋体"/>
              <w:snapToGrid w:val="0"/>
              <w:szCs w:val="28"/>
            </w:rPr>
            <w:t xml:space="preserve"> 项目概况与招标范围</w:t>
          </w:r>
          <w:r>
            <w:tab/>
          </w:r>
          <w:r>
            <w:fldChar w:fldCharType="begin"/>
          </w:r>
          <w:r>
            <w:instrText xml:space="preserve"> PAGEREF _Toc15168 \h </w:instrText>
          </w:r>
          <w:r>
            <w:fldChar w:fldCharType="separate"/>
          </w:r>
          <w:r>
            <w:t>5</w:t>
          </w:r>
          <w:r>
            <w:fldChar w:fldCharType="end"/>
          </w:r>
          <w:r>
            <w:fldChar w:fldCharType="end"/>
          </w:r>
        </w:p>
        <w:p>
          <w:pPr>
            <w:pStyle w:val="38"/>
            <w:tabs>
              <w:tab w:val="right" w:leader="dot" w:pos="9469"/>
            </w:tabs>
          </w:pPr>
          <w:r>
            <w:fldChar w:fldCharType="begin"/>
          </w:r>
          <w:r>
            <w:instrText xml:space="preserve"> HYPERLINK \l _Toc1860 </w:instrText>
          </w:r>
          <w:r>
            <w:fldChar w:fldCharType="separate"/>
          </w:r>
          <w:r>
            <w:rPr>
              <w:rFonts w:ascii="宋体" w:hAnsi="宋体"/>
              <w:snapToGrid w:val="0"/>
              <w:szCs w:val="28"/>
            </w:rPr>
            <w:t xml:space="preserve">3. </w:t>
          </w:r>
          <w:r>
            <w:rPr>
              <w:rFonts w:hint="eastAsia" w:ascii="宋体" w:hAnsi="宋体"/>
              <w:snapToGrid w:val="0"/>
              <w:szCs w:val="28"/>
            </w:rPr>
            <w:t xml:space="preserve"> </w:t>
          </w:r>
          <w:r>
            <w:rPr>
              <w:rFonts w:ascii="宋体" w:hAnsi="宋体"/>
              <w:snapToGrid w:val="0"/>
              <w:szCs w:val="28"/>
            </w:rPr>
            <w:t>投标人资格要求</w:t>
          </w:r>
          <w:r>
            <w:tab/>
          </w:r>
          <w:r>
            <w:fldChar w:fldCharType="begin"/>
          </w:r>
          <w:r>
            <w:instrText xml:space="preserve"> PAGEREF _Toc1860 \h </w:instrText>
          </w:r>
          <w:r>
            <w:fldChar w:fldCharType="separate"/>
          </w:r>
          <w:r>
            <w:t>5</w:t>
          </w:r>
          <w:r>
            <w:fldChar w:fldCharType="end"/>
          </w:r>
          <w:r>
            <w:fldChar w:fldCharType="end"/>
          </w:r>
        </w:p>
        <w:p>
          <w:pPr>
            <w:pStyle w:val="38"/>
            <w:tabs>
              <w:tab w:val="right" w:leader="dot" w:pos="9469"/>
            </w:tabs>
          </w:pPr>
          <w:r>
            <w:fldChar w:fldCharType="begin"/>
          </w:r>
          <w:r>
            <w:instrText xml:space="preserve"> HYPERLINK \l _Toc6062 </w:instrText>
          </w:r>
          <w:r>
            <w:fldChar w:fldCharType="separate"/>
          </w:r>
          <w:r>
            <w:rPr>
              <w:rFonts w:ascii="宋体" w:hAnsi="宋体"/>
              <w:snapToGrid w:val="0"/>
              <w:szCs w:val="28"/>
            </w:rPr>
            <w:t xml:space="preserve">4. </w:t>
          </w:r>
          <w:r>
            <w:rPr>
              <w:rFonts w:hint="eastAsia" w:ascii="宋体" w:hAnsi="宋体"/>
              <w:snapToGrid w:val="0"/>
              <w:szCs w:val="28"/>
            </w:rPr>
            <w:t xml:space="preserve"> </w:t>
          </w:r>
          <w:r>
            <w:rPr>
              <w:rFonts w:ascii="宋体" w:hAnsi="宋体"/>
              <w:snapToGrid w:val="0"/>
              <w:szCs w:val="28"/>
            </w:rPr>
            <w:t>招标文件的获取</w:t>
          </w:r>
          <w:r>
            <w:tab/>
          </w:r>
          <w:r>
            <w:fldChar w:fldCharType="begin"/>
          </w:r>
          <w:r>
            <w:instrText xml:space="preserve"> PAGEREF _Toc6062 \h </w:instrText>
          </w:r>
          <w:r>
            <w:fldChar w:fldCharType="separate"/>
          </w:r>
          <w:r>
            <w:t>6</w:t>
          </w:r>
          <w:r>
            <w:fldChar w:fldCharType="end"/>
          </w:r>
          <w:r>
            <w:fldChar w:fldCharType="end"/>
          </w:r>
        </w:p>
        <w:p>
          <w:pPr>
            <w:pStyle w:val="38"/>
            <w:tabs>
              <w:tab w:val="right" w:leader="dot" w:pos="9469"/>
            </w:tabs>
          </w:pPr>
          <w:r>
            <w:fldChar w:fldCharType="begin"/>
          </w:r>
          <w:r>
            <w:instrText xml:space="preserve"> HYPERLINK \l _Toc3397 </w:instrText>
          </w:r>
          <w:r>
            <w:fldChar w:fldCharType="separate"/>
          </w:r>
          <w:r>
            <w:rPr>
              <w:rFonts w:ascii="宋体" w:hAnsi="宋体"/>
              <w:snapToGrid w:val="0"/>
              <w:szCs w:val="28"/>
            </w:rPr>
            <w:t xml:space="preserve">5. </w:t>
          </w:r>
          <w:r>
            <w:rPr>
              <w:rFonts w:hint="eastAsia" w:ascii="宋体" w:hAnsi="宋体"/>
              <w:snapToGrid w:val="0"/>
              <w:szCs w:val="28"/>
            </w:rPr>
            <w:t xml:space="preserve"> </w:t>
          </w:r>
          <w:r>
            <w:rPr>
              <w:rFonts w:ascii="宋体" w:hAnsi="宋体"/>
              <w:snapToGrid w:val="0"/>
              <w:szCs w:val="28"/>
            </w:rPr>
            <w:t>投标文件的递交</w:t>
          </w:r>
          <w:r>
            <w:tab/>
          </w:r>
          <w:r>
            <w:fldChar w:fldCharType="begin"/>
          </w:r>
          <w:r>
            <w:instrText xml:space="preserve"> PAGEREF _Toc3397 \h </w:instrText>
          </w:r>
          <w:r>
            <w:fldChar w:fldCharType="separate"/>
          </w:r>
          <w:r>
            <w:t>6</w:t>
          </w:r>
          <w:r>
            <w:fldChar w:fldCharType="end"/>
          </w:r>
          <w:r>
            <w:fldChar w:fldCharType="end"/>
          </w:r>
        </w:p>
        <w:p>
          <w:pPr>
            <w:pStyle w:val="38"/>
            <w:tabs>
              <w:tab w:val="right" w:leader="dot" w:pos="9469"/>
            </w:tabs>
          </w:pPr>
          <w:r>
            <w:fldChar w:fldCharType="begin"/>
          </w:r>
          <w:r>
            <w:instrText xml:space="preserve"> HYPERLINK \l _Toc27500 </w:instrText>
          </w:r>
          <w:r>
            <w:fldChar w:fldCharType="separate"/>
          </w:r>
          <w:r>
            <w:rPr>
              <w:rFonts w:ascii="宋体" w:hAnsi="宋体"/>
              <w:snapToGrid w:val="0"/>
              <w:szCs w:val="28"/>
            </w:rPr>
            <w:t xml:space="preserve">6. </w:t>
          </w:r>
          <w:r>
            <w:rPr>
              <w:rFonts w:hint="eastAsia" w:ascii="宋体" w:hAnsi="宋体"/>
              <w:snapToGrid w:val="0"/>
              <w:szCs w:val="28"/>
            </w:rPr>
            <w:t xml:space="preserve"> </w:t>
          </w:r>
          <w:r>
            <w:rPr>
              <w:rFonts w:ascii="宋体" w:hAnsi="宋体"/>
              <w:snapToGrid w:val="0"/>
              <w:szCs w:val="28"/>
            </w:rPr>
            <w:t>发布公告的媒介</w:t>
          </w:r>
          <w:r>
            <w:tab/>
          </w:r>
          <w:r>
            <w:fldChar w:fldCharType="begin"/>
          </w:r>
          <w:r>
            <w:instrText xml:space="preserve"> PAGEREF _Toc27500 \h </w:instrText>
          </w:r>
          <w:r>
            <w:fldChar w:fldCharType="separate"/>
          </w:r>
          <w:r>
            <w:t>6</w:t>
          </w:r>
          <w:r>
            <w:fldChar w:fldCharType="end"/>
          </w:r>
          <w:r>
            <w:fldChar w:fldCharType="end"/>
          </w:r>
        </w:p>
        <w:p>
          <w:pPr>
            <w:pStyle w:val="38"/>
            <w:tabs>
              <w:tab w:val="right" w:leader="dot" w:pos="9469"/>
            </w:tabs>
          </w:pPr>
          <w:r>
            <w:fldChar w:fldCharType="begin"/>
          </w:r>
          <w:r>
            <w:instrText xml:space="preserve"> HYPERLINK \l _Toc14815 </w:instrText>
          </w:r>
          <w:r>
            <w:fldChar w:fldCharType="separate"/>
          </w:r>
          <w:r>
            <w:rPr>
              <w:rFonts w:ascii="宋体" w:hAnsi="宋体"/>
              <w:snapToGrid w:val="0"/>
              <w:szCs w:val="28"/>
            </w:rPr>
            <w:t xml:space="preserve">7. </w:t>
          </w:r>
          <w:r>
            <w:rPr>
              <w:rFonts w:hint="eastAsia" w:ascii="宋体" w:hAnsi="宋体"/>
              <w:snapToGrid w:val="0"/>
              <w:szCs w:val="28"/>
            </w:rPr>
            <w:t xml:space="preserve"> </w:t>
          </w:r>
          <w:r>
            <w:rPr>
              <w:rFonts w:ascii="宋体" w:hAnsi="宋体"/>
              <w:snapToGrid w:val="0"/>
              <w:szCs w:val="28"/>
            </w:rPr>
            <w:t>联系方式</w:t>
          </w:r>
          <w:r>
            <w:tab/>
          </w:r>
          <w:r>
            <w:fldChar w:fldCharType="begin"/>
          </w:r>
          <w:r>
            <w:instrText xml:space="preserve"> PAGEREF _Toc14815 \h </w:instrText>
          </w:r>
          <w:r>
            <w:fldChar w:fldCharType="separate"/>
          </w:r>
          <w:r>
            <w:t>6</w:t>
          </w:r>
          <w:r>
            <w:fldChar w:fldCharType="end"/>
          </w:r>
          <w:r>
            <w:fldChar w:fldCharType="end"/>
          </w:r>
        </w:p>
        <w:p>
          <w:pPr>
            <w:pStyle w:val="32"/>
            <w:tabs>
              <w:tab w:val="right" w:leader="dot" w:pos="9469"/>
            </w:tabs>
          </w:pPr>
          <w:r>
            <w:fldChar w:fldCharType="begin"/>
          </w:r>
          <w:r>
            <w:instrText xml:space="preserve"> HYPERLINK \l _Toc25281 </w:instrText>
          </w:r>
          <w:r>
            <w:fldChar w:fldCharType="separate"/>
          </w:r>
          <w:r>
            <w:rPr>
              <w:rFonts w:ascii="宋体" w:hAnsi="宋体"/>
              <w:snapToGrid w:val="0"/>
            </w:rPr>
            <w:t>第一章  投标邀请书（</w:t>
          </w:r>
          <w:r>
            <w:rPr>
              <w:rFonts w:hint="eastAsia" w:ascii="宋体" w:hAnsi="宋体"/>
              <w:snapToGrid w:val="0"/>
            </w:rPr>
            <w:t>适用于邀请招标</w:t>
          </w:r>
          <w:r>
            <w:rPr>
              <w:rFonts w:ascii="宋体" w:hAnsi="宋体"/>
              <w:snapToGrid w:val="0"/>
            </w:rPr>
            <w:t>）</w:t>
          </w:r>
          <w:r>
            <w:tab/>
          </w:r>
          <w:r>
            <w:fldChar w:fldCharType="begin"/>
          </w:r>
          <w:r>
            <w:instrText xml:space="preserve"> PAGEREF _Toc25281 \h </w:instrText>
          </w:r>
          <w:r>
            <w:fldChar w:fldCharType="separate"/>
          </w:r>
          <w:r>
            <w:t>7</w:t>
          </w:r>
          <w:r>
            <w:fldChar w:fldCharType="end"/>
          </w:r>
          <w:r>
            <w:fldChar w:fldCharType="end"/>
          </w:r>
        </w:p>
        <w:p>
          <w:pPr>
            <w:pStyle w:val="38"/>
            <w:tabs>
              <w:tab w:val="right" w:leader="dot" w:pos="9469"/>
            </w:tabs>
          </w:pPr>
          <w:r>
            <w:fldChar w:fldCharType="begin"/>
          </w:r>
          <w:r>
            <w:instrText xml:space="preserve"> HYPERLINK \l _Toc32409 </w:instrText>
          </w:r>
          <w:r>
            <w:fldChar w:fldCharType="separate"/>
          </w:r>
          <w:r>
            <w:rPr>
              <w:rFonts w:ascii="宋体" w:hAnsi="宋体"/>
              <w:snapToGrid w:val="0"/>
              <w:szCs w:val="28"/>
            </w:rPr>
            <w:t>1.  招标条件</w:t>
          </w:r>
          <w:r>
            <w:tab/>
          </w:r>
          <w:r>
            <w:fldChar w:fldCharType="begin"/>
          </w:r>
          <w:r>
            <w:instrText xml:space="preserve"> PAGEREF _Toc32409 \h </w:instrText>
          </w:r>
          <w:r>
            <w:fldChar w:fldCharType="separate"/>
          </w:r>
          <w:r>
            <w:t>7</w:t>
          </w:r>
          <w:r>
            <w:fldChar w:fldCharType="end"/>
          </w:r>
          <w:r>
            <w:fldChar w:fldCharType="end"/>
          </w:r>
        </w:p>
        <w:p>
          <w:pPr>
            <w:pStyle w:val="38"/>
            <w:tabs>
              <w:tab w:val="right" w:leader="dot" w:pos="9469"/>
            </w:tabs>
          </w:pPr>
          <w:r>
            <w:fldChar w:fldCharType="begin"/>
          </w:r>
          <w:r>
            <w:instrText xml:space="preserve"> HYPERLINK \l _Toc11782 </w:instrText>
          </w:r>
          <w:r>
            <w:fldChar w:fldCharType="separate"/>
          </w:r>
          <w:r>
            <w:rPr>
              <w:rFonts w:ascii="宋体" w:hAnsi="宋体"/>
              <w:snapToGrid w:val="0"/>
              <w:szCs w:val="28"/>
            </w:rPr>
            <w:t>2.  项目概况与招标范围</w:t>
          </w:r>
          <w:r>
            <w:tab/>
          </w:r>
          <w:r>
            <w:fldChar w:fldCharType="begin"/>
          </w:r>
          <w:r>
            <w:instrText xml:space="preserve"> PAGEREF _Toc11782 \h </w:instrText>
          </w:r>
          <w:r>
            <w:fldChar w:fldCharType="separate"/>
          </w:r>
          <w:r>
            <w:t>7</w:t>
          </w:r>
          <w:r>
            <w:fldChar w:fldCharType="end"/>
          </w:r>
          <w:r>
            <w:fldChar w:fldCharType="end"/>
          </w:r>
        </w:p>
        <w:p>
          <w:pPr>
            <w:pStyle w:val="38"/>
            <w:tabs>
              <w:tab w:val="right" w:leader="dot" w:pos="9469"/>
            </w:tabs>
          </w:pPr>
          <w:r>
            <w:fldChar w:fldCharType="begin"/>
          </w:r>
          <w:r>
            <w:instrText xml:space="preserve"> HYPERLINK \l _Toc916 </w:instrText>
          </w:r>
          <w:r>
            <w:fldChar w:fldCharType="separate"/>
          </w:r>
          <w:r>
            <w:rPr>
              <w:rFonts w:ascii="宋体" w:hAnsi="宋体"/>
              <w:snapToGrid w:val="0"/>
              <w:szCs w:val="28"/>
            </w:rPr>
            <w:t>3.  投标人资格要求</w:t>
          </w:r>
          <w:r>
            <w:tab/>
          </w:r>
          <w:r>
            <w:fldChar w:fldCharType="begin"/>
          </w:r>
          <w:r>
            <w:instrText xml:space="preserve"> PAGEREF _Toc916 \h </w:instrText>
          </w:r>
          <w:r>
            <w:fldChar w:fldCharType="separate"/>
          </w:r>
          <w:r>
            <w:t>7</w:t>
          </w:r>
          <w:r>
            <w:fldChar w:fldCharType="end"/>
          </w:r>
          <w:r>
            <w:fldChar w:fldCharType="end"/>
          </w:r>
        </w:p>
        <w:p>
          <w:pPr>
            <w:pStyle w:val="38"/>
            <w:tabs>
              <w:tab w:val="right" w:leader="dot" w:pos="9469"/>
            </w:tabs>
          </w:pPr>
          <w:r>
            <w:fldChar w:fldCharType="begin"/>
          </w:r>
          <w:r>
            <w:instrText xml:space="preserve"> HYPERLINK \l _Toc20824 </w:instrText>
          </w:r>
          <w:r>
            <w:fldChar w:fldCharType="separate"/>
          </w:r>
          <w:r>
            <w:rPr>
              <w:rFonts w:ascii="宋体" w:hAnsi="宋体"/>
              <w:snapToGrid w:val="0"/>
              <w:szCs w:val="28"/>
            </w:rPr>
            <w:t>4.  招标文件的获取</w:t>
          </w:r>
          <w:r>
            <w:tab/>
          </w:r>
          <w:r>
            <w:fldChar w:fldCharType="begin"/>
          </w:r>
          <w:r>
            <w:instrText xml:space="preserve"> PAGEREF _Toc20824 \h </w:instrText>
          </w:r>
          <w:r>
            <w:fldChar w:fldCharType="separate"/>
          </w:r>
          <w:r>
            <w:t>8</w:t>
          </w:r>
          <w:r>
            <w:fldChar w:fldCharType="end"/>
          </w:r>
          <w:r>
            <w:fldChar w:fldCharType="end"/>
          </w:r>
        </w:p>
        <w:p>
          <w:pPr>
            <w:pStyle w:val="38"/>
            <w:tabs>
              <w:tab w:val="right" w:leader="dot" w:pos="9469"/>
            </w:tabs>
          </w:pPr>
          <w:r>
            <w:fldChar w:fldCharType="begin"/>
          </w:r>
          <w:r>
            <w:instrText xml:space="preserve"> HYPERLINK \l _Toc20208 </w:instrText>
          </w:r>
          <w:r>
            <w:fldChar w:fldCharType="separate"/>
          </w:r>
          <w:r>
            <w:rPr>
              <w:rFonts w:ascii="宋体" w:hAnsi="宋体"/>
              <w:snapToGrid w:val="0"/>
              <w:szCs w:val="28"/>
            </w:rPr>
            <w:t>5.  投标文件的递交</w:t>
          </w:r>
          <w:r>
            <w:tab/>
          </w:r>
          <w:r>
            <w:fldChar w:fldCharType="begin"/>
          </w:r>
          <w:r>
            <w:instrText xml:space="preserve"> PAGEREF _Toc20208 \h </w:instrText>
          </w:r>
          <w:r>
            <w:fldChar w:fldCharType="separate"/>
          </w:r>
          <w:r>
            <w:t>8</w:t>
          </w:r>
          <w:r>
            <w:fldChar w:fldCharType="end"/>
          </w:r>
          <w:r>
            <w:fldChar w:fldCharType="end"/>
          </w:r>
        </w:p>
        <w:p>
          <w:pPr>
            <w:pStyle w:val="38"/>
            <w:tabs>
              <w:tab w:val="right" w:leader="dot" w:pos="9469"/>
            </w:tabs>
          </w:pPr>
          <w:r>
            <w:fldChar w:fldCharType="begin"/>
          </w:r>
          <w:r>
            <w:instrText xml:space="preserve"> HYPERLINK \l _Toc27373 </w:instrText>
          </w:r>
          <w:r>
            <w:fldChar w:fldCharType="separate"/>
          </w:r>
          <w:r>
            <w:rPr>
              <w:rFonts w:ascii="宋体" w:hAnsi="宋体"/>
              <w:snapToGrid w:val="0"/>
              <w:szCs w:val="28"/>
            </w:rPr>
            <w:t>6.  确认</w:t>
          </w:r>
          <w:r>
            <w:tab/>
          </w:r>
          <w:r>
            <w:fldChar w:fldCharType="begin"/>
          </w:r>
          <w:r>
            <w:instrText xml:space="preserve"> PAGEREF _Toc27373 \h </w:instrText>
          </w:r>
          <w:r>
            <w:fldChar w:fldCharType="separate"/>
          </w:r>
          <w:r>
            <w:t>8</w:t>
          </w:r>
          <w:r>
            <w:fldChar w:fldCharType="end"/>
          </w:r>
          <w:r>
            <w:fldChar w:fldCharType="end"/>
          </w:r>
        </w:p>
        <w:p>
          <w:pPr>
            <w:pStyle w:val="38"/>
            <w:tabs>
              <w:tab w:val="right" w:leader="dot" w:pos="9469"/>
            </w:tabs>
          </w:pPr>
          <w:r>
            <w:fldChar w:fldCharType="begin"/>
          </w:r>
          <w:r>
            <w:instrText xml:space="preserve"> HYPERLINK \l _Toc15448 </w:instrText>
          </w:r>
          <w:r>
            <w:fldChar w:fldCharType="separate"/>
          </w:r>
          <w:r>
            <w:rPr>
              <w:rFonts w:hint="eastAsia" w:ascii="宋体" w:hAnsi="宋体"/>
              <w:snapToGrid w:val="0"/>
              <w:szCs w:val="28"/>
            </w:rPr>
            <w:t>7</w:t>
          </w:r>
          <w:r>
            <w:rPr>
              <w:rFonts w:ascii="宋体" w:hAnsi="宋体"/>
              <w:snapToGrid w:val="0"/>
              <w:szCs w:val="28"/>
            </w:rPr>
            <w:t>.  联系方式</w:t>
          </w:r>
          <w:r>
            <w:tab/>
          </w:r>
          <w:r>
            <w:fldChar w:fldCharType="begin"/>
          </w:r>
          <w:r>
            <w:instrText xml:space="preserve"> PAGEREF _Toc15448 \h </w:instrText>
          </w:r>
          <w:r>
            <w:fldChar w:fldCharType="separate"/>
          </w:r>
          <w:r>
            <w:t>8</w:t>
          </w:r>
          <w:r>
            <w:fldChar w:fldCharType="end"/>
          </w:r>
          <w:r>
            <w:fldChar w:fldCharType="end"/>
          </w:r>
        </w:p>
        <w:p>
          <w:pPr>
            <w:pStyle w:val="32"/>
            <w:tabs>
              <w:tab w:val="right" w:leader="dot" w:pos="9469"/>
            </w:tabs>
          </w:pPr>
          <w:r>
            <w:fldChar w:fldCharType="begin"/>
          </w:r>
          <w:r>
            <w:instrText xml:space="preserve"> HYPERLINK \l _Toc27878 </w:instrText>
          </w:r>
          <w:r>
            <w:fldChar w:fldCharType="separate"/>
          </w:r>
          <w:r>
            <w:rPr>
              <w:rFonts w:ascii="宋体" w:hAnsi="宋体"/>
              <w:snapToGrid w:val="0"/>
              <w:kern w:val="0"/>
            </w:rPr>
            <w:t>第二章  投标人须知</w:t>
          </w:r>
          <w:r>
            <w:tab/>
          </w:r>
          <w:r>
            <w:fldChar w:fldCharType="begin"/>
          </w:r>
          <w:r>
            <w:instrText xml:space="preserve"> PAGEREF _Toc27878 \h </w:instrText>
          </w:r>
          <w:r>
            <w:fldChar w:fldCharType="separate"/>
          </w:r>
          <w:r>
            <w:t>9</w:t>
          </w:r>
          <w:r>
            <w:fldChar w:fldCharType="end"/>
          </w:r>
          <w:r>
            <w:fldChar w:fldCharType="end"/>
          </w:r>
        </w:p>
        <w:p>
          <w:pPr>
            <w:pStyle w:val="38"/>
            <w:tabs>
              <w:tab w:val="right" w:leader="dot" w:pos="9469"/>
            </w:tabs>
          </w:pPr>
          <w:r>
            <w:fldChar w:fldCharType="begin"/>
          </w:r>
          <w:r>
            <w:instrText xml:space="preserve"> HYPERLINK \l _Toc28160 </w:instrText>
          </w:r>
          <w:r>
            <w:fldChar w:fldCharType="separate"/>
          </w:r>
          <w:r>
            <w:rPr>
              <w:rFonts w:hint="eastAsia" w:ascii="宋体" w:hAnsi="宋体"/>
            </w:rPr>
            <w:t>投标人须知前附表</w:t>
          </w:r>
          <w:r>
            <w:tab/>
          </w:r>
          <w:r>
            <w:fldChar w:fldCharType="begin"/>
          </w:r>
          <w:r>
            <w:instrText xml:space="preserve"> PAGEREF _Toc28160 \h </w:instrText>
          </w:r>
          <w:r>
            <w:fldChar w:fldCharType="separate"/>
          </w:r>
          <w:r>
            <w:t>9</w:t>
          </w:r>
          <w:r>
            <w:fldChar w:fldCharType="end"/>
          </w:r>
          <w:r>
            <w:fldChar w:fldCharType="end"/>
          </w:r>
        </w:p>
        <w:p>
          <w:pPr>
            <w:pStyle w:val="38"/>
            <w:tabs>
              <w:tab w:val="right" w:leader="dot" w:pos="9469"/>
            </w:tabs>
          </w:pPr>
          <w:r>
            <w:fldChar w:fldCharType="begin"/>
          </w:r>
          <w:r>
            <w:instrText xml:space="preserve"> HYPERLINK \l _Toc28371 </w:instrText>
          </w:r>
          <w:r>
            <w:fldChar w:fldCharType="separate"/>
          </w:r>
          <w:r>
            <w:rPr>
              <w:rFonts w:ascii="宋体" w:hAnsi="宋体"/>
              <w:bCs w:val="0"/>
              <w:snapToGrid w:val="0"/>
            </w:rPr>
            <w:t>1.  总则</w:t>
          </w:r>
          <w:r>
            <w:tab/>
          </w:r>
          <w:r>
            <w:fldChar w:fldCharType="begin"/>
          </w:r>
          <w:r>
            <w:instrText xml:space="preserve"> PAGEREF _Toc28371 \h </w:instrText>
          </w:r>
          <w:r>
            <w:fldChar w:fldCharType="separate"/>
          </w:r>
          <w:r>
            <w:t>37</w:t>
          </w:r>
          <w:r>
            <w:fldChar w:fldCharType="end"/>
          </w:r>
          <w:r>
            <w:fldChar w:fldCharType="end"/>
          </w:r>
        </w:p>
        <w:p>
          <w:pPr>
            <w:pStyle w:val="38"/>
            <w:tabs>
              <w:tab w:val="right" w:leader="dot" w:pos="9469"/>
            </w:tabs>
          </w:pPr>
          <w:r>
            <w:fldChar w:fldCharType="begin"/>
          </w:r>
          <w:r>
            <w:instrText xml:space="preserve"> HYPERLINK \l _Toc27300 </w:instrText>
          </w:r>
          <w:r>
            <w:fldChar w:fldCharType="separate"/>
          </w:r>
          <w:r>
            <w:rPr>
              <w:rFonts w:ascii="宋体" w:hAnsi="宋体"/>
              <w:bCs w:val="0"/>
              <w:snapToGrid w:val="0"/>
            </w:rPr>
            <w:t>2.  招标文件</w:t>
          </w:r>
          <w:r>
            <w:tab/>
          </w:r>
          <w:r>
            <w:fldChar w:fldCharType="begin"/>
          </w:r>
          <w:r>
            <w:instrText xml:space="preserve"> PAGEREF _Toc27300 \h </w:instrText>
          </w:r>
          <w:r>
            <w:fldChar w:fldCharType="separate"/>
          </w:r>
          <w:r>
            <w:t>39</w:t>
          </w:r>
          <w:r>
            <w:fldChar w:fldCharType="end"/>
          </w:r>
          <w:r>
            <w:fldChar w:fldCharType="end"/>
          </w:r>
        </w:p>
        <w:p>
          <w:pPr>
            <w:pStyle w:val="38"/>
            <w:tabs>
              <w:tab w:val="right" w:leader="dot" w:pos="9469"/>
            </w:tabs>
          </w:pPr>
          <w:r>
            <w:fldChar w:fldCharType="begin"/>
          </w:r>
          <w:r>
            <w:instrText xml:space="preserve"> HYPERLINK \l _Toc7243 </w:instrText>
          </w:r>
          <w:r>
            <w:fldChar w:fldCharType="separate"/>
          </w:r>
          <w:r>
            <w:rPr>
              <w:rFonts w:ascii="宋体" w:hAnsi="宋体"/>
              <w:bCs w:val="0"/>
              <w:snapToGrid w:val="0"/>
            </w:rPr>
            <w:t>3.  投标文件</w:t>
          </w:r>
          <w:r>
            <w:tab/>
          </w:r>
          <w:r>
            <w:fldChar w:fldCharType="begin"/>
          </w:r>
          <w:r>
            <w:instrText xml:space="preserve"> PAGEREF _Toc7243 \h </w:instrText>
          </w:r>
          <w:r>
            <w:fldChar w:fldCharType="separate"/>
          </w:r>
          <w:r>
            <w:t>40</w:t>
          </w:r>
          <w:r>
            <w:fldChar w:fldCharType="end"/>
          </w:r>
          <w:r>
            <w:fldChar w:fldCharType="end"/>
          </w:r>
        </w:p>
        <w:p>
          <w:pPr>
            <w:pStyle w:val="38"/>
            <w:tabs>
              <w:tab w:val="right" w:leader="dot" w:pos="9469"/>
            </w:tabs>
          </w:pPr>
          <w:r>
            <w:fldChar w:fldCharType="begin"/>
          </w:r>
          <w:r>
            <w:instrText xml:space="preserve"> HYPERLINK \l _Toc30774 </w:instrText>
          </w:r>
          <w:r>
            <w:fldChar w:fldCharType="separate"/>
          </w:r>
          <w:r>
            <w:rPr>
              <w:rFonts w:ascii="宋体" w:hAnsi="宋体"/>
              <w:bCs w:val="0"/>
              <w:snapToGrid w:val="0"/>
            </w:rPr>
            <w:t>4.  投标</w:t>
          </w:r>
          <w:r>
            <w:tab/>
          </w:r>
          <w:r>
            <w:fldChar w:fldCharType="begin"/>
          </w:r>
          <w:r>
            <w:instrText xml:space="preserve"> PAGEREF _Toc30774 \h </w:instrText>
          </w:r>
          <w:r>
            <w:fldChar w:fldCharType="separate"/>
          </w:r>
          <w:r>
            <w:t>42</w:t>
          </w:r>
          <w:r>
            <w:fldChar w:fldCharType="end"/>
          </w:r>
          <w:r>
            <w:fldChar w:fldCharType="end"/>
          </w:r>
        </w:p>
        <w:p>
          <w:pPr>
            <w:pStyle w:val="38"/>
            <w:tabs>
              <w:tab w:val="right" w:leader="dot" w:pos="9469"/>
            </w:tabs>
          </w:pPr>
          <w:r>
            <w:fldChar w:fldCharType="begin"/>
          </w:r>
          <w:r>
            <w:instrText xml:space="preserve"> HYPERLINK \l _Toc12608 </w:instrText>
          </w:r>
          <w:r>
            <w:fldChar w:fldCharType="separate"/>
          </w:r>
          <w:r>
            <w:rPr>
              <w:rFonts w:ascii="宋体" w:hAnsi="宋体"/>
              <w:bCs w:val="0"/>
              <w:snapToGrid w:val="0"/>
            </w:rPr>
            <w:t>5.  开标</w:t>
          </w:r>
          <w:r>
            <w:tab/>
          </w:r>
          <w:r>
            <w:fldChar w:fldCharType="begin"/>
          </w:r>
          <w:r>
            <w:instrText xml:space="preserve"> PAGEREF _Toc12608 \h </w:instrText>
          </w:r>
          <w:r>
            <w:fldChar w:fldCharType="separate"/>
          </w:r>
          <w:r>
            <w:t>42</w:t>
          </w:r>
          <w:r>
            <w:fldChar w:fldCharType="end"/>
          </w:r>
          <w:r>
            <w:fldChar w:fldCharType="end"/>
          </w:r>
        </w:p>
        <w:p>
          <w:pPr>
            <w:pStyle w:val="38"/>
            <w:tabs>
              <w:tab w:val="right" w:leader="dot" w:pos="9469"/>
            </w:tabs>
          </w:pPr>
          <w:r>
            <w:fldChar w:fldCharType="begin"/>
          </w:r>
          <w:r>
            <w:instrText xml:space="preserve"> HYPERLINK \l _Toc364 </w:instrText>
          </w:r>
          <w:r>
            <w:fldChar w:fldCharType="separate"/>
          </w:r>
          <w:r>
            <w:rPr>
              <w:rFonts w:ascii="宋体" w:hAnsi="宋体"/>
              <w:bCs w:val="0"/>
              <w:snapToGrid w:val="0"/>
            </w:rPr>
            <w:t>6.  评标</w:t>
          </w:r>
          <w:r>
            <w:tab/>
          </w:r>
          <w:r>
            <w:fldChar w:fldCharType="begin"/>
          </w:r>
          <w:r>
            <w:instrText xml:space="preserve"> PAGEREF _Toc364 \h </w:instrText>
          </w:r>
          <w:r>
            <w:fldChar w:fldCharType="separate"/>
          </w:r>
          <w:r>
            <w:t>43</w:t>
          </w:r>
          <w:r>
            <w:fldChar w:fldCharType="end"/>
          </w:r>
          <w:r>
            <w:fldChar w:fldCharType="end"/>
          </w:r>
        </w:p>
        <w:p>
          <w:pPr>
            <w:pStyle w:val="38"/>
            <w:tabs>
              <w:tab w:val="right" w:leader="dot" w:pos="9469"/>
            </w:tabs>
          </w:pPr>
          <w:r>
            <w:fldChar w:fldCharType="begin"/>
          </w:r>
          <w:r>
            <w:instrText xml:space="preserve"> HYPERLINK \l _Toc14842 </w:instrText>
          </w:r>
          <w:r>
            <w:fldChar w:fldCharType="separate"/>
          </w:r>
          <w:r>
            <w:rPr>
              <w:rFonts w:ascii="宋体" w:hAnsi="宋体"/>
              <w:bCs w:val="0"/>
              <w:snapToGrid w:val="0"/>
            </w:rPr>
            <w:t>7.  合同授予</w:t>
          </w:r>
          <w:r>
            <w:tab/>
          </w:r>
          <w:r>
            <w:fldChar w:fldCharType="begin"/>
          </w:r>
          <w:r>
            <w:instrText xml:space="preserve"> PAGEREF _Toc14842 \h </w:instrText>
          </w:r>
          <w:r>
            <w:fldChar w:fldCharType="separate"/>
          </w:r>
          <w:r>
            <w:t>43</w:t>
          </w:r>
          <w:r>
            <w:fldChar w:fldCharType="end"/>
          </w:r>
          <w:r>
            <w:fldChar w:fldCharType="end"/>
          </w:r>
        </w:p>
        <w:p>
          <w:pPr>
            <w:pStyle w:val="38"/>
            <w:tabs>
              <w:tab w:val="right" w:leader="dot" w:pos="9469"/>
            </w:tabs>
          </w:pPr>
          <w:r>
            <w:fldChar w:fldCharType="begin"/>
          </w:r>
          <w:r>
            <w:instrText xml:space="preserve"> HYPERLINK \l _Toc1099 </w:instrText>
          </w:r>
          <w:r>
            <w:fldChar w:fldCharType="separate"/>
          </w:r>
          <w:r>
            <w:rPr>
              <w:rFonts w:ascii="宋体" w:hAnsi="宋体"/>
              <w:bCs w:val="0"/>
              <w:snapToGrid w:val="0"/>
            </w:rPr>
            <w:t>8.  重新招标和不再招标</w:t>
          </w:r>
          <w:r>
            <w:tab/>
          </w:r>
          <w:r>
            <w:fldChar w:fldCharType="begin"/>
          </w:r>
          <w:r>
            <w:instrText xml:space="preserve"> PAGEREF _Toc1099 \h </w:instrText>
          </w:r>
          <w:r>
            <w:fldChar w:fldCharType="separate"/>
          </w:r>
          <w:r>
            <w:t>44</w:t>
          </w:r>
          <w:r>
            <w:fldChar w:fldCharType="end"/>
          </w:r>
          <w:r>
            <w:fldChar w:fldCharType="end"/>
          </w:r>
        </w:p>
        <w:p>
          <w:pPr>
            <w:pStyle w:val="38"/>
            <w:tabs>
              <w:tab w:val="right" w:leader="dot" w:pos="9469"/>
            </w:tabs>
          </w:pPr>
          <w:r>
            <w:fldChar w:fldCharType="begin"/>
          </w:r>
          <w:r>
            <w:instrText xml:space="preserve"> HYPERLINK \l _Toc15322 </w:instrText>
          </w:r>
          <w:r>
            <w:fldChar w:fldCharType="separate"/>
          </w:r>
          <w:r>
            <w:rPr>
              <w:rFonts w:ascii="宋体" w:hAnsi="宋体"/>
              <w:bCs w:val="0"/>
              <w:snapToGrid w:val="0"/>
            </w:rPr>
            <w:t>9.  纪律和监督</w:t>
          </w:r>
          <w:r>
            <w:tab/>
          </w:r>
          <w:r>
            <w:fldChar w:fldCharType="begin"/>
          </w:r>
          <w:r>
            <w:instrText xml:space="preserve"> PAGEREF _Toc15322 \h </w:instrText>
          </w:r>
          <w:r>
            <w:fldChar w:fldCharType="separate"/>
          </w:r>
          <w:r>
            <w:t>45</w:t>
          </w:r>
          <w:r>
            <w:fldChar w:fldCharType="end"/>
          </w:r>
          <w:r>
            <w:fldChar w:fldCharType="end"/>
          </w:r>
        </w:p>
        <w:p>
          <w:pPr>
            <w:pStyle w:val="38"/>
            <w:tabs>
              <w:tab w:val="right" w:leader="dot" w:pos="9469"/>
            </w:tabs>
          </w:pPr>
          <w:r>
            <w:fldChar w:fldCharType="begin"/>
          </w:r>
          <w:r>
            <w:instrText xml:space="preserve"> HYPERLINK \l _Toc14933 </w:instrText>
          </w:r>
          <w:r>
            <w:fldChar w:fldCharType="separate"/>
          </w:r>
          <w:r>
            <w:rPr>
              <w:rFonts w:ascii="宋体" w:hAnsi="宋体"/>
              <w:bCs w:val="0"/>
              <w:snapToGrid w:val="0"/>
            </w:rPr>
            <w:t>10. 需要补充的其他内容</w:t>
          </w:r>
          <w:r>
            <w:tab/>
          </w:r>
          <w:r>
            <w:fldChar w:fldCharType="begin"/>
          </w:r>
          <w:r>
            <w:instrText xml:space="preserve"> PAGEREF _Toc14933 \h </w:instrText>
          </w:r>
          <w:r>
            <w:fldChar w:fldCharType="separate"/>
          </w:r>
          <w:r>
            <w:t>46</w:t>
          </w:r>
          <w:r>
            <w:fldChar w:fldCharType="end"/>
          </w:r>
          <w:r>
            <w:fldChar w:fldCharType="end"/>
          </w:r>
        </w:p>
        <w:p>
          <w:pPr>
            <w:pStyle w:val="32"/>
            <w:tabs>
              <w:tab w:val="right" w:leader="dot" w:pos="9469"/>
            </w:tabs>
          </w:pPr>
          <w:r>
            <w:fldChar w:fldCharType="begin"/>
          </w:r>
          <w:r>
            <w:instrText xml:space="preserve"> HYPERLINK \l _Toc21851 </w:instrText>
          </w:r>
          <w:r>
            <w:fldChar w:fldCharType="separate"/>
          </w:r>
          <w:r>
            <w:rPr>
              <w:rFonts w:ascii="宋体" w:hAnsi="宋体"/>
            </w:rPr>
            <w:t xml:space="preserve">第三章 </w:t>
          </w:r>
          <w:r>
            <w:rPr>
              <w:rFonts w:hint="eastAsia" w:ascii="宋体" w:hAnsi="宋体"/>
            </w:rPr>
            <w:t xml:space="preserve"> </w:t>
          </w:r>
          <w:r>
            <w:rPr>
              <w:rFonts w:ascii="宋体" w:hAnsi="宋体"/>
            </w:rPr>
            <w:t>评标办法（综合评估法）</w:t>
          </w:r>
          <w:r>
            <w:tab/>
          </w:r>
          <w:r>
            <w:fldChar w:fldCharType="begin"/>
          </w:r>
          <w:r>
            <w:instrText xml:space="preserve"> PAGEREF _Toc21851 \h </w:instrText>
          </w:r>
          <w:r>
            <w:fldChar w:fldCharType="separate"/>
          </w:r>
          <w:r>
            <w:t>52</w:t>
          </w:r>
          <w:r>
            <w:fldChar w:fldCharType="end"/>
          </w:r>
          <w:r>
            <w:fldChar w:fldCharType="end"/>
          </w:r>
        </w:p>
        <w:p>
          <w:pPr>
            <w:pStyle w:val="38"/>
            <w:tabs>
              <w:tab w:val="right" w:leader="dot" w:pos="9469"/>
            </w:tabs>
          </w:pPr>
          <w:r>
            <w:fldChar w:fldCharType="begin"/>
          </w:r>
          <w:r>
            <w:instrText xml:space="preserve"> HYPERLINK \l _Toc28440 </w:instrText>
          </w:r>
          <w:r>
            <w:fldChar w:fldCharType="separate"/>
          </w:r>
          <w:r>
            <w:rPr>
              <w:rFonts w:hint="eastAsia" w:ascii="宋体" w:hAnsi="宋体"/>
            </w:rPr>
            <w:t>评标办法前附表</w:t>
          </w:r>
          <w:r>
            <w:tab/>
          </w:r>
          <w:r>
            <w:fldChar w:fldCharType="begin"/>
          </w:r>
          <w:r>
            <w:instrText xml:space="preserve"> PAGEREF _Toc28440 \h </w:instrText>
          </w:r>
          <w:r>
            <w:fldChar w:fldCharType="separate"/>
          </w:r>
          <w:r>
            <w:t>52</w:t>
          </w:r>
          <w:r>
            <w:fldChar w:fldCharType="end"/>
          </w:r>
          <w:r>
            <w:fldChar w:fldCharType="end"/>
          </w:r>
        </w:p>
        <w:p>
          <w:pPr>
            <w:pStyle w:val="38"/>
            <w:tabs>
              <w:tab w:val="right" w:leader="dot" w:pos="9469"/>
            </w:tabs>
          </w:pPr>
          <w:r>
            <w:fldChar w:fldCharType="begin"/>
          </w:r>
          <w:r>
            <w:instrText xml:space="preserve"> HYPERLINK \l _Toc5861 </w:instrText>
          </w:r>
          <w:r>
            <w:fldChar w:fldCharType="separate"/>
          </w:r>
          <w:r>
            <w:rPr>
              <w:rFonts w:ascii="宋体" w:hAnsi="宋体"/>
              <w:bCs w:val="0"/>
              <w:snapToGrid w:val="0"/>
            </w:rPr>
            <w:t>1.  评标方法</w:t>
          </w:r>
          <w:r>
            <w:tab/>
          </w:r>
          <w:r>
            <w:fldChar w:fldCharType="begin"/>
          </w:r>
          <w:r>
            <w:instrText xml:space="preserve"> PAGEREF _Toc5861 \h </w:instrText>
          </w:r>
          <w:r>
            <w:fldChar w:fldCharType="separate"/>
          </w:r>
          <w:r>
            <w:t>59</w:t>
          </w:r>
          <w:r>
            <w:fldChar w:fldCharType="end"/>
          </w:r>
          <w:r>
            <w:fldChar w:fldCharType="end"/>
          </w:r>
        </w:p>
        <w:p>
          <w:pPr>
            <w:pStyle w:val="38"/>
            <w:tabs>
              <w:tab w:val="right" w:leader="dot" w:pos="9469"/>
            </w:tabs>
          </w:pPr>
          <w:r>
            <w:fldChar w:fldCharType="begin"/>
          </w:r>
          <w:r>
            <w:instrText xml:space="preserve"> HYPERLINK \l _Toc24611 </w:instrText>
          </w:r>
          <w:r>
            <w:fldChar w:fldCharType="separate"/>
          </w:r>
          <w:r>
            <w:rPr>
              <w:rFonts w:ascii="宋体" w:hAnsi="宋体"/>
              <w:bCs w:val="0"/>
              <w:snapToGrid w:val="0"/>
            </w:rPr>
            <w:t>2.  评审标准</w:t>
          </w:r>
          <w:r>
            <w:tab/>
          </w:r>
          <w:r>
            <w:fldChar w:fldCharType="begin"/>
          </w:r>
          <w:r>
            <w:instrText xml:space="preserve"> PAGEREF _Toc24611 \h </w:instrText>
          </w:r>
          <w:r>
            <w:fldChar w:fldCharType="separate"/>
          </w:r>
          <w:r>
            <w:t>59</w:t>
          </w:r>
          <w:r>
            <w:fldChar w:fldCharType="end"/>
          </w:r>
          <w:r>
            <w:fldChar w:fldCharType="end"/>
          </w:r>
        </w:p>
        <w:p>
          <w:pPr>
            <w:pStyle w:val="38"/>
            <w:tabs>
              <w:tab w:val="right" w:leader="dot" w:pos="9469"/>
            </w:tabs>
          </w:pPr>
          <w:r>
            <w:fldChar w:fldCharType="begin"/>
          </w:r>
          <w:r>
            <w:instrText xml:space="preserve"> HYPERLINK \l _Toc9070 </w:instrText>
          </w:r>
          <w:r>
            <w:fldChar w:fldCharType="separate"/>
          </w:r>
          <w:r>
            <w:rPr>
              <w:rFonts w:ascii="宋体" w:hAnsi="宋体"/>
              <w:bCs w:val="0"/>
              <w:snapToGrid w:val="0"/>
            </w:rPr>
            <w:t>3.  评标程序</w:t>
          </w:r>
          <w:r>
            <w:tab/>
          </w:r>
          <w:r>
            <w:fldChar w:fldCharType="begin"/>
          </w:r>
          <w:r>
            <w:instrText xml:space="preserve"> PAGEREF _Toc9070 \h </w:instrText>
          </w:r>
          <w:r>
            <w:fldChar w:fldCharType="separate"/>
          </w:r>
          <w:r>
            <w:t>59</w:t>
          </w:r>
          <w:r>
            <w:fldChar w:fldCharType="end"/>
          </w:r>
          <w:r>
            <w:fldChar w:fldCharType="end"/>
          </w:r>
        </w:p>
        <w:p>
          <w:pPr>
            <w:pStyle w:val="32"/>
            <w:tabs>
              <w:tab w:val="right" w:leader="dot" w:pos="9469"/>
            </w:tabs>
          </w:pPr>
          <w:r>
            <w:fldChar w:fldCharType="begin"/>
          </w:r>
          <w:r>
            <w:instrText xml:space="preserve"> HYPERLINK \l _Toc6571 </w:instrText>
          </w:r>
          <w:r>
            <w:fldChar w:fldCharType="separate"/>
          </w:r>
          <w:r>
            <w:rPr>
              <w:rFonts w:ascii="宋体" w:hAnsi="宋体"/>
              <w:snapToGrid w:val="0"/>
              <w:kern w:val="0"/>
            </w:rPr>
            <w:t xml:space="preserve">第三章 </w:t>
          </w:r>
          <w:r>
            <w:rPr>
              <w:rFonts w:hint="eastAsia" w:ascii="宋体" w:hAnsi="宋体"/>
              <w:snapToGrid w:val="0"/>
              <w:kern w:val="0"/>
            </w:rPr>
            <w:t xml:space="preserve"> </w:t>
          </w:r>
          <w:r>
            <w:rPr>
              <w:rFonts w:ascii="宋体" w:hAnsi="宋体"/>
              <w:snapToGrid w:val="0"/>
              <w:kern w:val="0"/>
            </w:rPr>
            <w:t>评标办法（</w:t>
          </w:r>
          <w:r>
            <w:rPr>
              <w:rFonts w:hint="eastAsia" w:ascii="宋体" w:hAnsi="宋体"/>
              <w:snapToGrid w:val="0"/>
              <w:kern w:val="0"/>
            </w:rPr>
            <w:t>经评审的最低投标价法</w:t>
          </w:r>
          <w:r>
            <w:rPr>
              <w:rFonts w:ascii="宋体" w:hAnsi="宋体"/>
              <w:snapToGrid w:val="0"/>
              <w:kern w:val="0"/>
            </w:rPr>
            <w:t>）</w:t>
          </w:r>
          <w:r>
            <w:tab/>
          </w:r>
          <w:r>
            <w:fldChar w:fldCharType="begin"/>
          </w:r>
          <w:r>
            <w:instrText xml:space="preserve"> PAGEREF _Toc6571 \h </w:instrText>
          </w:r>
          <w:r>
            <w:fldChar w:fldCharType="separate"/>
          </w:r>
          <w:r>
            <w:t>64</w:t>
          </w:r>
          <w:r>
            <w:fldChar w:fldCharType="end"/>
          </w:r>
          <w:r>
            <w:fldChar w:fldCharType="end"/>
          </w:r>
        </w:p>
        <w:p>
          <w:pPr>
            <w:pStyle w:val="38"/>
            <w:tabs>
              <w:tab w:val="right" w:leader="dot" w:pos="9469"/>
            </w:tabs>
          </w:pPr>
          <w:r>
            <w:fldChar w:fldCharType="begin"/>
          </w:r>
          <w:r>
            <w:instrText xml:space="preserve"> HYPERLINK \l _Toc24326 </w:instrText>
          </w:r>
          <w:r>
            <w:fldChar w:fldCharType="separate"/>
          </w:r>
          <w:r>
            <w:rPr>
              <w:rFonts w:hint="eastAsia" w:ascii="宋体" w:hAnsi="宋体"/>
              <w:szCs w:val="32"/>
            </w:rPr>
            <w:t>评标办法前附表</w:t>
          </w:r>
          <w:r>
            <w:tab/>
          </w:r>
          <w:r>
            <w:fldChar w:fldCharType="begin"/>
          </w:r>
          <w:r>
            <w:instrText xml:space="preserve"> PAGEREF _Toc24326 \h </w:instrText>
          </w:r>
          <w:r>
            <w:fldChar w:fldCharType="separate"/>
          </w:r>
          <w:r>
            <w:t>64</w:t>
          </w:r>
          <w:r>
            <w:fldChar w:fldCharType="end"/>
          </w:r>
          <w:r>
            <w:fldChar w:fldCharType="end"/>
          </w:r>
        </w:p>
        <w:p>
          <w:pPr>
            <w:pStyle w:val="38"/>
            <w:tabs>
              <w:tab w:val="right" w:leader="dot" w:pos="9469"/>
            </w:tabs>
          </w:pPr>
          <w:r>
            <w:fldChar w:fldCharType="begin"/>
          </w:r>
          <w:r>
            <w:instrText xml:space="preserve"> HYPERLINK \l _Toc7536 </w:instrText>
          </w:r>
          <w:r>
            <w:fldChar w:fldCharType="separate"/>
          </w:r>
          <w:r>
            <w:rPr>
              <w:rFonts w:ascii="宋体" w:hAnsi="宋体"/>
              <w:snapToGrid w:val="0"/>
            </w:rPr>
            <w:t>1.  评标方法</w:t>
          </w:r>
          <w:r>
            <w:tab/>
          </w:r>
          <w:r>
            <w:fldChar w:fldCharType="begin"/>
          </w:r>
          <w:r>
            <w:instrText xml:space="preserve"> PAGEREF _Toc7536 \h </w:instrText>
          </w:r>
          <w:r>
            <w:fldChar w:fldCharType="separate"/>
          </w:r>
          <w:r>
            <w:t>69</w:t>
          </w:r>
          <w:r>
            <w:fldChar w:fldCharType="end"/>
          </w:r>
          <w:r>
            <w:fldChar w:fldCharType="end"/>
          </w:r>
        </w:p>
        <w:p>
          <w:pPr>
            <w:pStyle w:val="38"/>
            <w:tabs>
              <w:tab w:val="right" w:leader="dot" w:pos="9469"/>
            </w:tabs>
          </w:pPr>
          <w:r>
            <w:fldChar w:fldCharType="begin"/>
          </w:r>
          <w:r>
            <w:instrText xml:space="preserve"> HYPERLINK \l _Toc25266 </w:instrText>
          </w:r>
          <w:r>
            <w:fldChar w:fldCharType="separate"/>
          </w:r>
          <w:r>
            <w:rPr>
              <w:rFonts w:ascii="宋体" w:hAnsi="宋体"/>
              <w:snapToGrid w:val="0"/>
            </w:rPr>
            <w:t>2.  评审标准</w:t>
          </w:r>
          <w:r>
            <w:tab/>
          </w:r>
          <w:r>
            <w:fldChar w:fldCharType="begin"/>
          </w:r>
          <w:r>
            <w:instrText xml:space="preserve"> PAGEREF _Toc25266 \h </w:instrText>
          </w:r>
          <w:r>
            <w:fldChar w:fldCharType="separate"/>
          </w:r>
          <w:r>
            <w:t>69</w:t>
          </w:r>
          <w:r>
            <w:fldChar w:fldCharType="end"/>
          </w:r>
          <w:r>
            <w:fldChar w:fldCharType="end"/>
          </w:r>
        </w:p>
        <w:p>
          <w:pPr>
            <w:pStyle w:val="38"/>
            <w:tabs>
              <w:tab w:val="right" w:leader="dot" w:pos="9469"/>
            </w:tabs>
          </w:pPr>
          <w:r>
            <w:fldChar w:fldCharType="begin"/>
          </w:r>
          <w:r>
            <w:instrText xml:space="preserve"> HYPERLINK \l _Toc19866 </w:instrText>
          </w:r>
          <w:r>
            <w:fldChar w:fldCharType="separate"/>
          </w:r>
          <w:r>
            <w:rPr>
              <w:rFonts w:ascii="宋体" w:hAnsi="宋体"/>
              <w:snapToGrid w:val="0"/>
            </w:rPr>
            <w:t>3.  评标程序</w:t>
          </w:r>
          <w:r>
            <w:tab/>
          </w:r>
          <w:r>
            <w:fldChar w:fldCharType="begin"/>
          </w:r>
          <w:r>
            <w:instrText xml:space="preserve"> PAGEREF _Toc19866 \h </w:instrText>
          </w:r>
          <w:r>
            <w:fldChar w:fldCharType="separate"/>
          </w:r>
          <w:r>
            <w:t>69</w:t>
          </w:r>
          <w:r>
            <w:fldChar w:fldCharType="end"/>
          </w:r>
          <w:r>
            <w:fldChar w:fldCharType="end"/>
          </w:r>
        </w:p>
        <w:p>
          <w:pPr>
            <w:pStyle w:val="32"/>
            <w:tabs>
              <w:tab w:val="right" w:leader="dot" w:pos="9469"/>
            </w:tabs>
          </w:pPr>
          <w:r>
            <w:fldChar w:fldCharType="begin"/>
          </w:r>
          <w:r>
            <w:instrText xml:space="preserve"> HYPERLINK \l _Toc26700 </w:instrText>
          </w:r>
          <w:r>
            <w:fldChar w:fldCharType="separate"/>
          </w:r>
          <w:r>
            <w:rPr>
              <w:rFonts w:hint="eastAsia" w:ascii="宋体" w:hAnsi="宋体"/>
              <w:kern w:val="0"/>
            </w:rPr>
            <w:t>第四章  合同条款及格式</w:t>
          </w:r>
          <w:r>
            <w:tab/>
          </w:r>
          <w:r>
            <w:fldChar w:fldCharType="begin"/>
          </w:r>
          <w:r>
            <w:instrText xml:space="preserve"> PAGEREF _Toc26700 \h </w:instrText>
          </w:r>
          <w:r>
            <w:fldChar w:fldCharType="separate"/>
          </w:r>
          <w:r>
            <w:t>75</w:t>
          </w:r>
          <w:r>
            <w:fldChar w:fldCharType="end"/>
          </w:r>
          <w:r>
            <w:fldChar w:fldCharType="end"/>
          </w:r>
        </w:p>
        <w:p>
          <w:pPr>
            <w:pStyle w:val="32"/>
            <w:tabs>
              <w:tab w:val="right" w:leader="dot" w:pos="9469"/>
            </w:tabs>
          </w:pPr>
          <w:r>
            <w:fldChar w:fldCharType="begin"/>
          </w:r>
          <w:r>
            <w:instrText xml:space="preserve"> HYPERLINK \l _Toc9124 </w:instrText>
          </w:r>
          <w:r>
            <w:fldChar w:fldCharType="separate"/>
          </w:r>
          <w:r>
            <w:rPr>
              <w:rFonts w:hint="eastAsia" w:ascii="宋体" w:hAnsi="宋体"/>
            </w:rPr>
            <w:t>第五章  工程量清单</w:t>
          </w:r>
          <w:r>
            <w:tab/>
          </w:r>
          <w:r>
            <w:fldChar w:fldCharType="begin"/>
          </w:r>
          <w:r>
            <w:instrText xml:space="preserve"> PAGEREF _Toc9124 \h </w:instrText>
          </w:r>
          <w:r>
            <w:fldChar w:fldCharType="separate"/>
          </w:r>
          <w:r>
            <w:t>137</w:t>
          </w:r>
          <w:r>
            <w:fldChar w:fldCharType="end"/>
          </w:r>
          <w:r>
            <w:fldChar w:fldCharType="end"/>
          </w:r>
        </w:p>
        <w:p>
          <w:pPr>
            <w:pStyle w:val="32"/>
            <w:tabs>
              <w:tab w:val="right" w:leader="dot" w:pos="9469"/>
            </w:tabs>
          </w:pPr>
          <w:r>
            <w:fldChar w:fldCharType="begin"/>
          </w:r>
          <w:r>
            <w:instrText xml:space="preserve"> HYPERLINK \l _Toc13893 </w:instrText>
          </w:r>
          <w:r>
            <w:fldChar w:fldCharType="separate"/>
          </w:r>
          <w:r>
            <w:rPr>
              <w:rFonts w:ascii="宋体" w:hAnsi="宋体"/>
              <w:szCs w:val="52"/>
            </w:rPr>
            <w:t>第 二 卷</w:t>
          </w:r>
          <w:r>
            <w:tab/>
          </w:r>
          <w:r>
            <w:fldChar w:fldCharType="begin"/>
          </w:r>
          <w:r>
            <w:instrText xml:space="preserve"> PAGEREF _Toc13893 \h </w:instrText>
          </w:r>
          <w:r>
            <w:fldChar w:fldCharType="separate"/>
          </w:r>
          <w:r>
            <w:t>138</w:t>
          </w:r>
          <w:r>
            <w:fldChar w:fldCharType="end"/>
          </w:r>
          <w:r>
            <w:fldChar w:fldCharType="end"/>
          </w:r>
        </w:p>
        <w:p>
          <w:pPr>
            <w:pStyle w:val="32"/>
            <w:tabs>
              <w:tab w:val="right" w:leader="dot" w:pos="9469"/>
            </w:tabs>
          </w:pPr>
          <w:r>
            <w:fldChar w:fldCharType="begin"/>
          </w:r>
          <w:r>
            <w:instrText xml:space="preserve"> HYPERLINK \l _Toc15255 </w:instrText>
          </w:r>
          <w:r>
            <w:fldChar w:fldCharType="separate"/>
          </w:r>
          <w:r>
            <w:rPr>
              <w:rFonts w:hint="eastAsia" w:ascii="宋体" w:hAnsi="宋体"/>
            </w:rPr>
            <w:t>第六章  图纸</w:t>
          </w:r>
          <w:r>
            <w:tab/>
          </w:r>
          <w:r>
            <w:fldChar w:fldCharType="begin"/>
          </w:r>
          <w:r>
            <w:instrText xml:space="preserve"> PAGEREF _Toc15255 \h </w:instrText>
          </w:r>
          <w:r>
            <w:fldChar w:fldCharType="separate"/>
          </w:r>
          <w:r>
            <w:t>139</w:t>
          </w:r>
          <w:r>
            <w:fldChar w:fldCharType="end"/>
          </w:r>
          <w:r>
            <w:fldChar w:fldCharType="end"/>
          </w:r>
        </w:p>
        <w:p>
          <w:pPr>
            <w:pStyle w:val="32"/>
            <w:tabs>
              <w:tab w:val="right" w:leader="dot" w:pos="9469"/>
            </w:tabs>
          </w:pPr>
          <w:r>
            <w:fldChar w:fldCharType="begin"/>
          </w:r>
          <w:r>
            <w:instrText xml:space="preserve"> HYPERLINK \l _Toc4720 </w:instrText>
          </w:r>
          <w:r>
            <w:fldChar w:fldCharType="separate"/>
          </w:r>
          <w:r>
            <w:rPr>
              <w:rFonts w:hint="eastAsia" w:ascii="宋体" w:hAnsi="宋体"/>
              <w:szCs w:val="52"/>
            </w:rPr>
            <w:t>第 三 卷</w:t>
          </w:r>
          <w:r>
            <w:tab/>
          </w:r>
          <w:r>
            <w:fldChar w:fldCharType="begin"/>
          </w:r>
          <w:r>
            <w:instrText xml:space="preserve"> PAGEREF _Toc4720 \h </w:instrText>
          </w:r>
          <w:r>
            <w:fldChar w:fldCharType="separate"/>
          </w:r>
          <w:r>
            <w:t>140</w:t>
          </w:r>
          <w:r>
            <w:fldChar w:fldCharType="end"/>
          </w:r>
          <w:r>
            <w:fldChar w:fldCharType="end"/>
          </w:r>
        </w:p>
        <w:p>
          <w:pPr>
            <w:pStyle w:val="32"/>
            <w:tabs>
              <w:tab w:val="right" w:leader="dot" w:pos="9469"/>
            </w:tabs>
          </w:pPr>
          <w:r>
            <w:fldChar w:fldCharType="begin"/>
          </w:r>
          <w:r>
            <w:instrText xml:space="preserve"> HYPERLINK \l _Toc15905 </w:instrText>
          </w:r>
          <w:r>
            <w:fldChar w:fldCharType="separate"/>
          </w:r>
          <w:r>
            <w:rPr>
              <w:rFonts w:ascii="宋体" w:hAnsi="宋体"/>
            </w:rPr>
            <w:t>第七章</w:t>
          </w:r>
          <w:r>
            <w:rPr>
              <w:rFonts w:hint="eastAsia" w:ascii="宋体" w:hAnsi="宋体"/>
            </w:rPr>
            <w:t xml:space="preserve">  </w:t>
          </w:r>
          <w:r>
            <w:rPr>
              <w:rFonts w:ascii="宋体" w:hAnsi="宋体"/>
            </w:rPr>
            <w:t>技术标准和要求</w:t>
          </w:r>
          <w:r>
            <w:tab/>
          </w:r>
          <w:r>
            <w:fldChar w:fldCharType="begin"/>
          </w:r>
          <w:r>
            <w:instrText xml:space="preserve"> PAGEREF _Toc15905 \h </w:instrText>
          </w:r>
          <w:r>
            <w:fldChar w:fldCharType="separate"/>
          </w:r>
          <w:r>
            <w:t>141</w:t>
          </w:r>
          <w:r>
            <w:fldChar w:fldCharType="end"/>
          </w:r>
          <w:r>
            <w:fldChar w:fldCharType="end"/>
          </w:r>
        </w:p>
        <w:p>
          <w:pPr>
            <w:pStyle w:val="32"/>
            <w:tabs>
              <w:tab w:val="right" w:leader="dot" w:pos="9469"/>
            </w:tabs>
          </w:pPr>
          <w:r>
            <w:fldChar w:fldCharType="begin"/>
          </w:r>
          <w:r>
            <w:instrText xml:space="preserve"> HYPERLINK \l _Toc15436 </w:instrText>
          </w:r>
          <w:r>
            <w:fldChar w:fldCharType="separate"/>
          </w:r>
          <w:r>
            <w:rPr>
              <w:rFonts w:ascii="宋体" w:hAnsi="宋体"/>
              <w:szCs w:val="52"/>
            </w:rPr>
            <w:t>第 四 卷</w:t>
          </w:r>
          <w:r>
            <w:tab/>
          </w:r>
          <w:r>
            <w:fldChar w:fldCharType="begin"/>
          </w:r>
          <w:r>
            <w:instrText xml:space="preserve"> PAGEREF _Toc15436 \h </w:instrText>
          </w:r>
          <w:r>
            <w:fldChar w:fldCharType="separate"/>
          </w:r>
          <w:r>
            <w:t>142</w:t>
          </w:r>
          <w:r>
            <w:fldChar w:fldCharType="end"/>
          </w:r>
          <w:r>
            <w:fldChar w:fldCharType="end"/>
          </w:r>
        </w:p>
        <w:p>
          <w:pPr>
            <w:pStyle w:val="32"/>
            <w:tabs>
              <w:tab w:val="right" w:leader="dot" w:pos="9469"/>
            </w:tabs>
          </w:pPr>
          <w:r>
            <w:fldChar w:fldCharType="begin"/>
          </w:r>
          <w:r>
            <w:instrText xml:space="preserve"> HYPERLINK \l _Toc18501 </w:instrText>
          </w:r>
          <w:r>
            <w:fldChar w:fldCharType="separate"/>
          </w:r>
          <w:r>
            <w:rPr>
              <w:rFonts w:hint="eastAsia" w:ascii="宋体" w:hAnsi="宋体"/>
            </w:rPr>
            <w:t>第八章  投标文件格式</w:t>
          </w:r>
          <w:r>
            <w:tab/>
          </w:r>
          <w:r>
            <w:fldChar w:fldCharType="begin"/>
          </w:r>
          <w:r>
            <w:instrText xml:space="preserve"> PAGEREF _Toc18501 \h </w:instrText>
          </w:r>
          <w:r>
            <w:fldChar w:fldCharType="separate"/>
          </w:r>
          <w:r>
            <w:t>143</w:t>
          </w:r>
          <w:r>
            <w:fldChar w:fldCharType="end"/>
          </w:r>
          <w:r>
            <w:fldChar w:fldCharType="end"/>
          </w:r>
        </w:p>
        <w:p>
          <w:pPr>
            <w:pStyle w:val="32"/>
            <w:tabs>
              <w:tab w:val="right" w:leader="dot" w:pos="9469"/>
            </w:tabs>
          </w:pPr>
          <w:r>
            <w:fldChar w:fldCharType="begin"/>
          </w:r>
          <w:r>
            <w:instrText xml:space="preserve"> HYPERLINK \l _Toc12892 </w:instrText>
          </w:r>
          <w:r>
            <w:fldChar w:fldCharType="separate"/>
          </w:r>
          <w:r>
            <w:rPr>
              <w:rFonts w:hint="eastAsia" w:ascii="宋体" w:hAnsi="宋体"/>
              <w:szCs w:val="36"/>
            </w:rPr>
            <w:t>目  录</w:t>
          </w:r>
          <w:r>
            <w:tab/>
          </w:r>
          <w:r>
            <w:fldChar w:fldCharType="begin"/>
          </w:r>
          <w:r>
            <w:instrText xml:space="preserve"> PAGEREF _Toc12892 \h </w:instrText>
          </w:r>
          <w:r>
            <w:fldChar w:fldCharType="separate"/>
          </w:r>
          <w:r>
            <w:t>144</w:t>
          </w:r>
          <w:r>
            <w:fldChar w:fldCharType="end"/>
          </w:r>
          <w:r>
            <w:fldChar w:fldCharType="end"/>
          </w:r>
        </w:p>
        <w:p>
          <w:pPr>
            <w:pStyle w:val="32"/>
            <w:tabs>
              <w:tab w:val="right" w:leader="dot" w:pos="9469"/>
            </w:tabs>
          </w:pPr>
          <w:r>
            <w:fldChar w:fldCharType="begin"/>
          </w:r>
          <w:r>
            <w:instrText xml:space="preserve"> HYPERLINK \l _Toc9662 </w:instrText>
          </w:r>
          <w:r>
            <w:fldChar w:fldCharType="separate"/>
          </w:r>
          <w:r>
            <w:rPr>
              <w:rFonts w:hint="eastAsia" w:ascii="宋体" w:hAnsi="宋体"/>
            </w:rPr>
            <w:t>一</w:t>
          </w:r>
          <w:r>
            <w:rPr>
              <w:rFonts w:ascii="宋体" w:hAnsi="宋体"/>
            </w:rPr>
            <w:t>、投标函部分</w:t>
          </w:r>
          <w:r>
            <w:tab/>
          </w:r>
          <w:r>
            <w:fldChar w:fldCharType="begin"/>
          </w:r>
          <w:r>
            <w:instrText xml:space="preserve"> PAGEREF _Toc9662 \h </w:instrText>
          </w:r>
          <w:r>
            <w:fldChar w:fldCharType="separate"/>
          </w:r>
          <w:r>
            <w:t>144</w:t>
          </w:r>
          <w:r>
            <w:fldChar w:fldCharType="end"/>
          </w:r>
          <w:r>
            <w:fldChar w:fldCharType="end"/>
          </w:r>
        </w:p>
        <w:p>
          <w:pPr>
            <w:pStyle w:val="32"/>
            <w:tabs>
              <w:tab w:val="right" w:leader="dot" w:pos="9469"/>
            </w:tabs>
          </w:pPr>
          <w:r>
            <w:fldChar w:fldCharType="begin"/>
          </w:r>
          <w:r>
            <w:instrText xml:space="preserve"> HYPERLINK \l _Toc25493 </w:instrText>
          </w:r>
          <w:r>
            <w:fldChar w:fldCharType="separate"/>
          </w:r>
          <w:r>
            <w:rPr>
              <w:rFonts w:hint="eastAsia" w:ascii="宋体" w:hAnsi="宋体"/>
            </w:rPr>
            <w:t>二</w:t>
          </w:r>
          <w:r>
            <w:rPr>
              <w:rFonts w:ascii="宋体" w:hAnsi="宋体"/>
            </w:rPr>
            <w:t>、</w:t>
          </w:r>
          <w:r>
            <w:rPr>
              <w:rFonts w:hint="eastAsia" w:ascii="宋体" w:hAnsi="宋体"/>
            </w:rPr>
            <w:t>经济</w:t>
          </w:r>
          <w:r>
            <w:rPr>
              <w:rFonts w:ascii="宋体" w:hAnsi="宋体"/>
            </w:rPr>
            <w:t>部分</w:t>
          </w:r>
          <w:r>
            <w:tab/>
          </w:r>
          <w:r>
            <w:fldChar w:fldCharType="begin"/>
          </w:r>
          <w:r>
            <w:instrText xml:space="preserve"> PAGEREF _Toc25493 \h </w:instrText>
          </w:r>
          <w:r>
            <w:fldChar w:fldCharType="separate"/>
          </w:r>
          <w:r>
            <w:t>144</w:t>
          </w:r>
          <w:r>
            <w:fldChar w:fldCharType="end"/>
          </w:r>
          <w:r>
            <w:fldChar w:fldCharType="end"/>
          </w:r>
        </w:p>
        <w:p>
          <w:pPr>
            <w:pStyle w:val="32"/>
            <w:tabs>
              <w:tab w:val="right" w:leader="dot" w:pos="9469"/>
            </w:tabs>
          </w:pPr>
          <w:r>
            <w:fldChar w:fldCharType="begin"/>
          </w:r>
          <w:r>
            <w:instrText xml:space="preserve"> HYPERLINK \l _Toc6987 </w:instrText>
          </w:r>
          <w:r>
            <w:fldChar w:fldCharType="separate"/>
          </w:r>
          <w:r>
            <w:rPr>
              <w:rFonts w:hint="eastAsia" w:ascii="宋体" w:hAnsi="宋体"/>
              <w:highlight w:val="none"/>
            </w:rPr>
            <w:t>三</w:t>
          </w:r>
          <w:r>
            <w:rPr>
              <w:rFonts w:ascii="宋体" w:hAnsi="宋体"/>
              <w:highlight w:val="none"/>
            </w:rPr>
            <w:t>、</w:t>
          </w:r>
          <w:r>
            <w:rPr>
              <w:rFonts w:hint="eastAsia" w:ascii="宋体" w:hAnsi="宋体"/>
              <w:highlight w:val="none"/>
            </w:rPr>
            <w:t>商务</w:t>
          </w:r>
          <w:r>
            <w:rPr>
              <w:rFonts w:ascii="宋体" w:hAnsi="宋体"/>
              <w:highlight w:val="none"/>
            </w:rPr>
            <w:t>部分（不设置</w:t>
          </w:r>
          <w:r>
            <w:rPr>
              <w:rFonts w:hint="eastAsia" w:ascii="宋体" w:hAnsi="宋体"/>
              <w:highlight w:val="none"/>
            </w:rPr>
            <w:t>商务部分</w:t>
          </w:r>
          <w:r>
            <w:rPr>
              <w:rFonts w:ascii="宋体" w:hAnsi="宋体"/>
              <w:highlight w:val="none"/>
            </w:rPr>
            <w:t>评审的不设此部分）</w:t>
          </w:r>
          <w:r>
            <w:tab/>
          </w:r>
          <w:r>
            <w:fldChar w:fldCharType="begin"/>
          </w:r>
          <w:r>
            <w:instrText xml:space="preserve"> PAGEREF _Toc6987 \h </w:instrText>
          </w:r>
          <w:r>
            <w:fldChar w:fldCharType="separate"/>
          </w:r>
          <w:r>
            <w:t>144</w:t>
          </w:r>
          <w:r>
            <w:fldChar w:fldCharType="end"/>
          </w:r>
          <w:r>
            <w:fldChar w:fldCharType="end"/>
          </w:r>
        </w:p>
        <w:p>
          <w:pPr>
            <w:pStyle w:val="32"/>
            <w:tabs>
              <w:tab w:val="right" w:leader="dot" w:pos="9469"/>
            </w:tabs>
          </w:pPr>
          <w:r>
            <w:fldChar w:fldCharType="begin"/>
          </w:r>
          <w:r>
            <w:instrText xml:space="preserve"> HYPERLINK \l _Toc13547 </w:instrText>
          </w:r>
          <w:r>
            <w:fldChar w:fldCharType="separate"/>
          </w:r>
          <w:r>
            <w:rPr>
              <w:rFonts w:hint="eastAsia" w:ascii="宋体" w:hAnsi="宋体"/>
              <w:lang w:val="en-US" w:eastAsia="zh-CN"/>
            </w:rPr>
            <w:t>四</w:t>
          </w:r>
          <w:r>
            <w:rPr>
              <w:rFonts w:ascii="宋体" w:hAnsi="宋体"/>
            </w:rPr>
            <w:t>、技术部分（不设置</w:t>
          </w:r>
          <w:r>
            <w:rPr>
              <w:rFonts w:hint="eastAsia" w:ascii="宋体" w:hAnsi="宋体"/>
            </w:rPr>
            <w:t>技术方案</w:t>
          </w:r>
          <w:r>
            <w:rPr>
              <w:rFonts w:ascii="宋体" w:hAnsi="宋体"/>
            </w:rPr>
            <w:t>评审的不设此部分）</w:t>
          </w:r>
          <w:r>
            <w:tab/>
          </w:r>
          <w:r>
            <w:fldChar w:fldCharType="begin"/>
          </w:r>
          <w:r>
            <w:instrText xml:space="preserve"> PAGEREF _Toc13547 \h </w:instrText>
          </w:r>
          <w:r>
            <w:fldChar w:fldCharType="separate"/>
          </w:r>
          <w:r>
            <w:t>144</w:t>
          </w:r>
          <w:r>
            <w:fldChar w:fldCharType="end"/>
          </w:r>
          <w:r>
            <w:fldChar w:fldCharType="end"/>
          </w:r>
        </w:p>
        <w:p>
          <w:pPr>
            <w:pStyle w:val="32"/>
            <w:tabs>
              <w:tab w:val="right" w:leader="dot" w:pos="9469"/>
            </w:tabs>
          </w:pPr>
          <w:r>
            <w:fldChar w:fldCharType="begin"/>
          </w:r>
          <w:r>
            <w:instrText xml:space="preserve"> HYPERLINK \l _Toc10359 </w:instrText>
          </w:r>
          <w:r>
            <w:fldChar w:fldCharType="separate"/>
          </w:r>
          <w:r>
            <w:rPr>
              <w:rFonts w:hint="eastAsia" w:ascii="宋体" w:hAnsi="宋体"/>
              <w:lang w:val="en-US" w:eastAsia="zh-CN"/>
            </w:rPr>
            <w:t>五</w:t>
          </w:r>
          <w:r>
            <w:rPr>
              <w:rFonts w:ascii="宋体" w:hAnsi="宋体"/>
            </w:rPr>
            <w:t>、</w:t>
          </w:r>
          <w:r>
            <w:rPr>
              <w:rFonts w:hint="eastAsia" w:ascii="宋体" w:hAnsi="宋体"/>
            </w:rPr>
            <w:t>资格审查部分</w:t>
          </w:r>
          <w:r>
            <w:tab/>
          </w:r>
          <w:r>
            <w:fldChar w:fldCharType="begin"/>
          </w:r>
          <w:r>
            <w:instrText xml:space="preserve"> PAGEREF _Toc10359 \h </w:instrText>
          </w:r>
          <w:r>
            <w:fldChar w:fldCharType="separate"/>
          </w:r>
          <w:r>
            <w:t>144</w:t>
          </w:r>
          <w:r>
            <w:fldChar w:fldCharType="end"/>
          </w:r>
          <w:r>
            <w:fldChar w:fldCharType="end"/>
          </w:r>
        </w:p>
        <w:p>
          <w:pPr>
            <w:pStyle w:val="38"/>
            <w:tabs>
              <w:tab w:val="right" w:leader="dot" w:pos="9469"/>
            </w:tabs>
          </w:pPr>
          <w:r>
            <w:fldChar w:fldCharType="begin"/>
          </w:r>
          <w:r>
            <w:instrText xml:space="preserve"> HYPERLINK \l _Toc17531 </w:instrText>
          </w:r>
          <w:r>
            <w:fldChar w:fldCharType="separate"/>
          </w:r>
          <w:r>
            <w:rPr>
              <w:rFonts w:hint="eastAsia" w:ascii="宋体" w:hAnsi="宋体"/>
              <w:bCs w:val="0"/>
              <w:szCs w:val="44"/>
            </w:rPr>
            <w:t>一、投标函部分</w:t>
          </w:r>
          <w:r>
            <w:tab/>
          </w:r>
          <w:r>
            <w:fldChar w:fldCharType="begin"/>
          </w:r>
          <w:r>
            <w:instrText xml:space="preserve"> PAGEREF _Toc17531 \h </w:instrText>
          </w:r>
          <w:r>
            <w:fldChar w:fldCharType="separate"/>
          </w:r>
          <w:r>
            <w:t>145</w:t>
          </w:r>
          <w:r>
            <w:fldChar w:fldCharType="end"/>
          </w:r>
          <w:r>
            <w:fldChar w:fldCharType="end"/>
          </w:r>
        </w:p>
        <w:p>
          <w:pPr>
            <w:pStyle w:val="32"/>
            <w:tabs>
              <w:tab w:val="right" w:leader="dot" w:pos="9469"/>
            </w:tabs>
          </w:pPr>
          <w:r>
            <w:fldChar w:fldCharType="begin"/>
          </w:r>
          <w:r>
            <w:instrText xml:space="preserve"> HYPERLINK \l _Toc9382 </w:instrText>
          </w:r>
          <w:r>
            <w:fldChar w:fldCharType="separate"/>
          </w:r>
          <w:r>
            <w:rPr>
              <w:rFonts w:hint="eastAsia" w:ascii="宋体" w:hAnsi="宋体"/>
              <w:kern w:val="0"/>
              <w:szCs w:val="36"/>
            </w:rPr>
            <w:t>投标函部分</w:t>
          </w:r>
          <w:r>
            <w:tab/>
          </w:r>
          <w:r>
            <w:fldChar w:fldCharType="begin"/>
          </w:r>
          <w:r>
            <w:instrText xml:space="preserve"> PAGEREF _Toc9382 \h </w:instrText>
          </w:r>
          <w:r>
            <w:fldChar w:fldCharType="separate"/>
          </w:r>
          <w:r>
            <w:t>146</w:t>
          </w:r>
          <w:r>
            <w:fldChar w:fldCharType="end"/>
          </w:r>
          <w:r>
            <w:fldChar w:fldCharType="end"/>
          </w:r>
        </w:p>
        <w:p>
          <w:pPr>
            <w:pStyle w:val="32"/>
            <w:tabs>
              <w:tab w:val="right" w:leader="dot" w:pos="9469"/>
            </w:tabs>
          </w:pPr>
          <w:r>
            <w:fldChar w:fldCharType="begin"/>
          </w:r>
          <w:r>
            <w:instrText xml:space="preserve"> HYPERLINK \l _Toc24304 </w:instrText>
          </w:r>
          <w:r>
            <w:fldChar w:fldCharType="separate"/>
          </w:r>
          <w:r>
            <w:rPr>
              <w:rFonts w:hint="eastAsia" w:ascii="宋体" w:hAnsi="宋体"/>
              <w:kern w:val="0"/>
              <w:szCs w:val="36"/>
            </w:rPr>
            <w:t>目  录</w:t>
          </w:r>
          <w:r>
            <w:tab/>
          </w:r>
          <w:r>
            <w:fldChar w:fldCharType="begin"/>
          </w:r>
          <w:r>
            <w:instrText xml:space="preserve"> PAGEREF _Toc24304 \h </w:instrText>
          </w:r>
          <w:r>
            <w:fldChar w:fldCharType="separate"/>
          </w:r>
          <w:r>
            <w:t>147</w:t>
          </w:r>
          <w:r>
            <w:fldChar w:fldCharType="end"/>
          </w:r>
          <w:r>
            <w:fldChar w:fldCharType="end"/>
          </w:r>
        </w:p>
        <w:p>
          <w:pPr>
            <w:pStyle w:val="32"/>
            <w:tabs>
              <w:tab w:val="right" w:leader="dot" w:pos="9469"/>
            </w:tabs>
          </w:pPr>
          <w:r>
            <w:fldChar w:fldCharType="begin"/>
          </w:r>
          <w:r>
            <w:instrText xml:space="preserve"> HYPERLINK \l _Toc31075 </w:instrText>
          </w:r>
          <w:r>
            <w:fldChar w:fldCharType="separate"/>
          </w:r>
          <w:r>
            <w:rPr>
              <w:rFonts w:ascii="宋体" w:hAnsi="宋体"/>
              <w:kern w:val="0"/>
            </w:rPr>
            <w:t>（一）投标函</w:t>
          </w:r>
          <w:r>
            <w:tab/>
          </w:r>
          <w:r>
            <w:fldChar w:fldCharType="begin"/>
          </w:r>
          <w:r>
            <w:instrText xml:space="preserve"> PAGEREF _Toc31075 \h </w:instrText>
          </w:r>
          <w:r>
            <w:fldChar w:fldCharType="separate"/>
          </w:r>
          <w:r>
            <w:t>147</w:t>
          </w:r>
          <w:r>
            <w:fldChar w:fldCharType="end"/>
          </w:r>
          <w:r>
            <w:fldChar w:fldCharType="end"/>
          </w:r>
        </w:p>
        <w:p>
          <w:pPr>
            <w:pStyle w:val="32"/>
            <w:tabs>
              <w:tab w:val="right" w:leader="dot" w:pos="9469"/>
            </w:tabs>
          </w:pPr>
          <w:r>
            <w:fldChar w:fldCharType="begin"/>
          </w:r>
          <w:r>
            <w:instrText xml:space="preserve"> HYPERLINK \l _Toc266 </w:instrText>
          </w:r>
          <w:r>
            <w:fldChar w:fldCharType="separate"/>
          </w:r>
          <w:r>
            <w:rPr>
              <w:rFonts w:ascii="宋体" w:hAnsi="宋体"/>
              <w:kern w:val="0"/>
            </w:rPr>
            <w:t>（二）投标函附录</w:t>
          </w:r>
          <w:r>
            <w:tab/>
          </w:r>
          <w:r>
            <w:fldChar w:fldCharType="begin"/>
          </w:r>
          <w:r>
            <w:instrText xml:space="preserve"> PAGEREF _Toc266 \h </w:instrText>
          </w:r>
          <w:r>
            <w:fldChar w:fldCharType="separate"/>
          </w:r>
          <w:r>
            <w:t>147</w:t>
          </w:r>
          <w:r>
            <w:fldChar w:fldCharType="end"/>
          </w:r>
          <w:r>
            <w:fldChar w:fldCharType="end"/>
          </w:r>
        </w:p>
        <w:p>
          <w:pPr>
            <w:pStyle w:val="32"/>
            <w:tabs>
              <w:tab w:val="right" w:leader="dot" w:pos="9469"/>
            </w:tabs>
          </w:pPr>
          <w:r>
            <w:fldChar w:fldCharType="begin"/>
          </w:r>
          <w:r>
            <w:instrText xml:space="preserve"> HYPERLINK \l _Toc3139 </w:instrText>
          </w:r>
          <w:r>
            <w:fldChar w:fldCharType="separate"/>
          </w:r>
          <w:r>
            <w:rPr>
              <w:rFonts w:ascii="宋体" w:hAnsi="宋体"/>
              <w:kern w:val="0"/>
            </w:rPr>
            <w:t>（三）</w:t>
          </w:r>
          <w:r>
            <w:rPr>
              <w:rFonts w:hint="eastAsia" w:ascii="宋体" w:hAnsi="宋体"/>
              <w:kern w:val="0"/>
            </w:rPr>
            <w:t>法定代表人身份证明或附有法定代表人身份证明的授权委托书</w:t>
          </w:r>
          <w:r>
            <w:tab/>
          </w:r>
          <w:r>
            <w:fldChar w:fldCharType="begin"/>
          </w:r>
          <w:r>
            <w:instrText xml:space="preserve"> PAGEREF _Toc3139 \h </w:instrText>
          </w:r>
          <w:r>
            <w:fldChar w:fldCharType="separate"/>
          </w:r>
          <w:r>
            <w:t>147</w:t>
          </w:r>
          <w:r>
            <w:fldChar w:fldCharType="end"/>
          </w:r>
          <w:r>
            <w:fldChar w:fldCharType="end"/>
          </w:r>
        </w:p>
        <w:p>
          <w:pPr>
            <w:pStyle w:val="32"/>
            <w:tabs>
              <w:tab w:val="right" w:leader="dot" w:pos="9469"/>
            </w:tabs>
          </w:pPr>
          <w:r>
            <w:fldChar w:fldCharType="begin"/>
          </w:r>
          <w:r>
            <w:instrText xml:space="preserve"> HYPERLINK \l _Toc20089 </w:instrText>
          </w:r>
          <w:r>
            <w:fldChar w:fldCharType="separate"/>
          </w:r>
          <w:r>
            <w:rPr>
              <w:rFonts w:ascii="宋体" w:hAnsi="宋体"/>
              <w:kern w:val="0"/>
            </w:rPr>
            <w:t>（四）</w:t>
          </w:r>
          <w:r>
            <w:rPr>
              <w:rFonts w:hint="eastAsia" w:ascii="宋体" w:hAnsi="宋体"/>
              <w:kern w:val="0"/>
            </w:rPr>
            <w:t>低价风险担保提交承诺书（如有）</w:t>
          </w:r>
          <w:r>
            <w:tab/>
          </w:r>
          <w:r>
            <w:fldChar w:fldCharType="begin"/>
          </w:r>
          <w:r>
            <w:instrText xml:space="preserve"> PAGEREF _Toc20089 \h </w:instrText>
          </w:r>
          <w:r>
            <w:fldChar w:fldCharType="separate"/>
          </w:r>
          <w:r>
            <w:t>147</w:t>
          </w:r>
          <w:r>
            <w:fldChar w:fldCharType="end"/>
          </w:r>
          <w:r>
            <w:fldChar w:fldCharType="end"/>
          </w:r>
        </w:p>
        <w:p>
          <w:pPr>
            <w:pStyle w:val="32"/>
            <w:tabs>
              <w:tab w:val="right" w:leader="dot" w:pos="9469"/>
            </w:tabs>
          </w:pPr>
          <w:r>
            <w:fldChar w:fldCharType="begin"/>
          </w:r>
          <w:r>
            <w:instrText xml:space="preserve"> HYPERLINK \l _Toc15590 </w:instrText>
          </w:r>
          <w:r>
            <w:fldChar w:fldCharType="separate"/>
          </w:r>
          <w:r>
            <w:rPr>
              <w:rFonts w:hint="eastAsia" w:ascii="宋体" w:hAnsi="宋体"/>
              <w:bCs w:val="0"/>
            </w:rPr>
            <w:t>（一）投标函</w:t>
          </w:r>
          <w:r>
            <w:tab/>
          </w:r>
          <w:r>
            <w:fldChar w:fldCharType="begin"/>
          </w:r>
          <w:r>
            <w:instrText xml:space="preserve"> PAGEREF _Toc15590 \h </w:instrText>
          </w:r>
          <w:r>
            <w:fldChar w:fldCharType="separate"/>
          </w:r>
          <w:r>
            <w:t>148</w:t>
          </w:r>
          <w:r>
            <w:fldChar w:fldCharType="end"/>
          </w:r>
          <w:r>
            <w:fldChar w:fldCharType="end"/>
          </w:r>
        </w:p>
        <w:p>
          <w:pPr>
            <w:pStyle w:val="32"/>
            <w:tabs>
              <w:tab w:val="right" w:leader="dot" w:pos="9469"/>
            </w:tabs>
          </w:pPr>
          <w:r>
            <w:fldChar w:fldCharType="begin"/>
          </w:r>
          <w:r>
            <w:instrText xml:space="preserve"> HYPERLINK \l _Toc28772 </w:instrText>
          </w:r>
          <w:r>
            <w:fldChar w:fldCharType="separate"/>
          </w:r>
          <w:r>
            <w:rPr>
              <w:rFonts w:ascii="宋体" w:hAnsi="宋体"/>
              <w:bCs w:val="0"/>
            </w:rPr>
            <w:t>（二）投标函附录</w:t>
          </w:r>
          <w:r>
            <w:tab/>
          </w:r>
          <w:r>
            <w:fldChar w:fldCharType="begin"/>
          </w:r>
          <w:r>
            <w:instrText xml:space="preserve"> PAGEREF _Toc28772 \h </w:instrText>
          </w:r>
          <w:r>
            <w:fldChar w:fldCharType="separate"/>
          </w:r>
          <w:r>
            <w:t>149</w:t>
          </w:r>
          <w:r>
            <w:fldChar w:fldCharType="end"/>
          </w:r>
          <w:r>
            <w:fldChar w:fldCharType="end"/>
          </w:r>
        </w:p>
        <w:p>
          <w:pPr>
            <w:pStyle w:val="32"/>
            <w:tabs>
              <w:tab w:val="right" w:leader="dot" w:pos="9469"/>
            </w:tabs>
          </w:pPr>
          <w:r>
            <w:fldChar w:fldCharType="begin"/>
          </w:r>
          <w:r>
            <w:instrText xml:space="preserve"> HYPERLINK \l _Toc16333 </w:instrText>
          </w:r>
          <w:r>
            <w:fldChar w:fldCharType="separate"/>
          </w:r>
          <w:r>
            <w:rPr>
              <w:rFonts w:ascii="宋体" w:hAnsi="宋体"/>
              <w:bCs w:val="0"/>
            </w:rPr>
            <w:t>（三）</w:t>
          </w:r>
          <w:r>
            <w:rPr>
              <w:rFonts w:hint="eastAsia" w:ascii="宋体" w:hAnsi="宋体"/>
              <w:bCs w:val="0"/>
            </w:rPr>
            <w:t>法定代表人身份证明或附有法定代表人身份证明的授权委托书</w:t>
          </w:r>
          <w:r>
            <w:tab/>
          </w:r>
          <w:r>
            <w:fldChar w:fldCharType="begin"/>
          </w:r>
          <w:r>
            <w:instrText xml:space="preserve"> PAGEREF _Toc16333 \h </w:instrText>
          </w:r>
          <w:r>
            <w:fldChar w:fldCharType="separate"/>
          </w:r>
          <w:r>
            <w:t>150</w:t>
          </w:r>
          <w:r>
            <w:fldChar w:fldCharType="end"/>
          </w:r>
          <w:r>
            <w:fldChar w:fldCharType="end"/>
          </w:r>
        </w:p>
        <w:p>
          <w:pPr>
            <w:pStyle w:val="38"/>
            <w:tabs>
              <w:tab w:val="right" w:leader="dot" w:pos="9469"/>
            </w:tabs>
          </w:pPr>
          <w:r>
            <w:fldChar w:fldCharType="begin"/>
          </w:r>
          <w:r>
            <w:instrText xml:space="preserve"> HYPERLINK \l _Toc8533 </w:instrText>
          </w:r>
          <w:r>
            <w:fldChar w:fldCharType="separate"/>
          </w:r>
          <w:r>
            <w:rPr>
              <w:rFonts w:hint="eastAsia" w:ascii="宋体" w:hAnsi="宋体"/>
            </w:rPr>
            <w:t>法定代表人身份证明</w:t>
          </w:r>
          <w:r>
            <w:tab/>
          </w:r>
          <w:r>
            <w:fldChar w:fldCharType="begin"/>
          </w:r>
          <w:r>
            <w:instrText xml:space="preserve"> PAGEREF _Toc8533 \h </w:instrText>
          </w:r>
          <w:r>
            <w:fldChar w:fldCharType="separate"/>
          </w:r>
          <w:r>
            <w:t>150</w:t>
          </w:r>
          <w:r>
            <w:fldChar w:fldCharType="end"/>
          </w:r>
          <w:r>
            <w:fldChar w:fldCharType="end"/>
          </w:r>
        </w:p>
        <w:p>
          <w:pPr>
            <w:pStyle w:val="38"/>
            <w:tabs>
              <w:tab w:val="right" w:leader="dot" w:pos="9469"/>
            </w:tabs>
          </w:pPr>
          <w:r>
            <w:fldChar w:fldCharType="begin"/>
          </w:r>
          <w:r>
            <w:instrText xml:space="preserve"> HYPERLINK \l _Toc9511 </w:instrText>
          </w:r>
          <w:r>
            <w:fldChar w:fldCharType="separate"/>
          </w:r>
          <w:r>
            <w:rPr>
              <w:rFonts w:ascii="宋体" w:hAnsi="宋体"/>
              <w:snapToGrid w:val="0"/>
              <w:kern w:val="0"/>
              <w:szCs w:val="32"/>
            </w:rPr>
            <w:t>授权委托书</w:t>
          </w:r>
          <w:r>
            <w:tab/>
          </w:r>
          <w:r>
            <w:fldChar w:fldCharType="begin"/>
          </w:r>
          <w:r>
            <w:instrText xml:space="preserve"> PAGEREF _Toc9511 \h </w:instrText>
          </w:r>
          <w:r>
            <w:fldChar w:fldCharType="separate"/>
          </w:r>
          <w:r>
            <w:t>151</w:t>
          </w:r>
          <w:r>
            <w:fldChar w:fldCharType="end"/>
          </w:r>
          <w:r>
            <w:fldChar w:fldCharType="end"/>
          </w:r>
        </w:p>
        <w:p>
          <w:pPr>
            <w:pStyle w:val="32"/>
            <w:tabs>
              <w:tab w:val="right" w:leader="dot" w:pos="9469"/>
            </w:tabs>
          </w:pPr>
          <w:r>
            <w:fldChar w:fldCharType="begin"/>
          </w:r>
          <w:r>
            <w:instrText xml:space="preserve"> HYPERLINK \l _Toc6499 </w:instrText>
          </w:r>
          <w:r>
            <w:fldChar w:fldCharType="separate"/>
          </w:r>
          <w:r>
            <w:rPr>
              <w:rFonts w:ascii="宋体" w:hAnsi="宋体"/>
              <w:bCs w:val="0"/>
            </w:rPr>
            <w:t>（四）</w:t>
          </w:r>
          <w:r>
            <w:rPr>
              <w:rFonts w:hint="eastAsia" w:ascii="宋体" w:hAnsi="宋体"/>
              <w:bCs w:val="0"/>
            </w:rPr>
            <w:t>低价风险担保提交承诺书</w:t>
          </w:r>
          <w:r>
            <w:rPr>
              <w:rFonts w:hint="eastAsia" w:ascii="宋体" w:hAnsi="宋体"/>
              <w:bCs w:val="0"/>
              <w:lang w:eastAsia="zh-CN"/>
            </w:rPr>
            <w:t>（</w:t>
          </w:r>
          <w:r>
            <w:rPr>
              <w:rFonts w:hint="eastAsia" w:ascii="宋体" w:hAnsi="宋体"/>
              <w:bCs w:val="0"/>
              <w:lang w:val="en-US" w:eastAsia="zh-CN"/>
            </w:rPr>
            <w:t>如有）</w:t>
          </w:r>
          <w:r>
            <w:tab/>
          </w:r>
          <w:r>
            <w:fldChar w:fldCharType="begin"/>
          </w:r>
          <w:r>
            <w:instrText xml:space="preserve"> PAGEREF _Toc6499 \h </w:instrText>
          </w:r>
          <w:r>
            <w:fldChar w:fldCharType="separate"/>
          </w:r>
          <w:r>
            <w:t>152</w:t>
          </w:r>
          <w:r>
            <w:fldChar w:fldCharType="end"/>
          </w:r>
          <w:r>
            <w:fldChar w:fldCharType="end"/>
          </w:r>
        </w:p>
        <w:p>
          <w:pPr>
            <w:pStyle w:val="38"/>
            <w:tabs>
              <w:tab w:val="right" w:leader="dot" w:pos="9469"/>
            </w:tabs>
          </w:pPr>
          <w:r>
            <w:fldChar w:fldCharType="begin"/>
          </w:r>
          <w:r>
            <w:instrText xml:space="preserve"> HYPERLINK \l _Toc4804 </w:instrText>
          </w:r>
          <w:r>
            <w:fldChar w:fldCharType="separate"/>
          </w:r>
          <w:r>
            <w:rPr>
              <w:rFonts w:hint="eastAsia" w:ascii="宋体" w:hAnsi="宋体"/>
              <w:bCs w:val="0"/>
              <w:szCs w:val="44"/>
            </w:rPr>
            <w:t>二、经济部分</w:t>
          </w:r>
          <w:r>
            <w:tab/>
          </w:r>
          <w:r>
            <w:fldChar w:fldCharType="begin"/>
          </w:r>
          <w:r>
            <w:instrText xml:space="preserve"> PAGEREF _Toc4804 \h </w:instrText>
          </w:r>
          <w:r>
            <w:fldChar w:fldCharType="separate"/>
          </w:r>
          <w:r>
            <w:t>153</w:t>
          </w:r>
          <w:r>
            <w:fldChar w:fldCharType="end"/>
          </w:r>
          <w:r>
            <w:fldChar w:fldCharType="end"/>
          </w:r>
        </w:p>
        <w:p>
          <w:pPr>
            <w:pStyle w:val="32"/>
            <w:tabs>
              <w:tab w:val="right" w:leader="dot" w:pos="9469"/>
            </w:tabs>
          </w:pPr>
          <w:r>
            <w:fldChar w:fldCharType="begin"/>
          </w:r>
          <w:r>
            <w:instrText xml:space="preserve"> HYPERLINK \l _Toc25811 </w:instrText>
          </w:r>
          <w:r>
            <w:fldChar w:fldCharType="separate"/>
          </w:r>
          <w:r>
            <w:rPr>
              <w:rFonts w:hint="eastAsia" w:ascii="宋体" w:hAnsi="宋体"/>
              <w:kern w:val="0"/>
              <w:szCs w:val="36"/>
            </w:rPr>
            <w:t>经济部分</w:t>
          </w:r>
          <w:r>
            <w:tab/>
          </w:r>
          <w:r>
            <w:fldChar w:fldCharType="begin"/>
          </w:r>
          <w:r>
            <w:instrText xml:space="preserve"> PAGEREF _Toc25811 \h </w:instrText>
          </w:r>
          <w:r>
            <w:fldChar w:fldCharType="separate"/>
          </w:r>
          <w:r>
            <w:t>154</w:t>
          </w:r>
          <w:r>
            <w:fldChar w:fldCharType="end"/>
          </w:r>
          <w:r>
            <w:fldChar w:fldCharType="end"/>
          </w:r>
        </w:p>
        <w:p>
          <w:pPr>
            <w:pStyle w:val="32"/>
            <w:tabs>
              <w:tab w:val="right" w:leader="dot" w:pos="9469"/>
            </w:tabs>
          </w:pPr>
          <w:r>
            <w:fldChar w:fldCharType="begin"/>
          </w:r>
          <w:r>
            <w:instrText xml:space="preserve"> HYPERLINK \l _Toc12996 </w:instrText>
          </w:r>
          <w:r>
            <w:fldChar w:fldCharType="separate"/>
          </w:r>
          <w:r>
            <w:rPr>
              <w:rFonts w:hint="eastAsia" w:ascii="宋体" w:hAnsi="宋体"/>
              <w:kern w:val="0"/>
              <w:szCs w:val="36"/>
            </w:rPr>
            <w:t>目  录</w:t>
          </w:r>
          <w:r>
            <w:tab/>
          </w:r>
          <w:r>
            <w:fldChar w:fldCharType="begin"/>
          </w:r>
          <w:r>
            <w:instrText xml:space="preserve"> PAGEREF _Toc12996 \h </w:instrText>
          </w:r>
          <w:r>
            <w:fldChar w:fldCharType="separate"/>
          </w:r>
          <w:r>
            <w:t>155</w:t>
          </w:r>
          <w:r>
            <w:fldChar w:fldCharType="end"/>
          </w:r>
          <w:r>
            <w:fldChar w:fldCharType="end"/>
          </w:r>
        </w:p>
        <w:p>
          <w:pPr>
            <w:pStyle w:val="32"/>
            <w:tabs>
              <w:tab w:val="right" w:leader="dot" w:pos="9469"/>
            </w:tabs>
          </w:pPr>
          <w:r>
            <w:fldChar w:fldCharType="begin"/>
          </w:r>
          <w:r>
            <w:instrText xml:space="preserve"> HYPERLINK \l _Toc16512 </w:instrText>
          </w:r>
          <w:r>
            <w:fldChar w:fldCharType="separate"/>
          </w:r>
          <w:r>
            <w:rPr>
              <w:rFonts w:hint="eastAsia" w:ascii="宋体" w:hAnsi="宋体"/>
              <w:bCs w:val="0"/>
            </w:rPr>
            <w:t>（一）已标价工程量清单</w:t>
          </w:r>
          <w:r>
            <w:tab/>
          </w:r>
          <w:r>
            <w:fldChar w:fldCharType="begin"/>
          </w:r>
          <w:r>
            <w:instrText xml:space="preserve"> PAGEREF _Toc16512 \h </w:instrText>
          </w:r>
          <w:r>
            <w:fldChar w:fldCharType="separate"/>
          </w:r>
          <w:r>
            <w:t>156</w:t>
          </w:r>
          <w:r>
            <w:fldChar w:fldCharType="end"/>
          </w:r>
          <w:r>
            <w:fldChar w:fldCharType="end"/>
          </w:r>
        </w:p>
        <w:p>
          <w:pPr>
            <w:pStyle w:val="38"/>
            <w:tabs>
              <w:tab w:val="right" w:leader="dot" w:pos="9469"/>
            </w:tabs>
          </w:pPr>
          <w:r>
            <w:fldChar w:fldCharType="begin"/>
          </w:r>
          <w:r>
            <w:instrText xml:space="preserve"> HYPERLINK \l _Toc9423 </w:instrText>
          </w:r>
          <w:r>
            <w:fldChar w:fldCharType="separate"/>
          </w:r>
          <w:r>
            <w:rPr>
              <w:rFonts w:hint="eastAsia" w:ascii="宋体" w:hAnsi="宋体"/>
              <w:bCs w:val="0"/>
              <w:szCs w:val="44"/>
              <w:highlight w:val="none"/>
            </w:rPr>
            <w:t>三、商务部分</w:t>
          </w:r>
          <w:r>
            <w:tab/>
          </w:r>
          <w:r>
            <w:fldChar w:fldCharType="begin"/>
          </w:r>
          <w:r>
            <w:instrText xml:space="preserve"> PAGEREF _Toc9423 \h </w:instrText>
          </w:r>
          <w:r>
            <w:fldChar w:fldCharType="separate"/>
          </w:r>
          <w:r>
            <w:t>157</w:t>
          </w:r>
          <w:r>
            <w:fldChar w:fldCharType="end"/>
          </w:r>
          <w:r>
            <w:fldChar w:fldCharType="end"/>
          </w:r>
        </w:p>
        <w:p>
          <w:pPr>
            <w:pStyle w:val="38"/>
            <w:tabs>
              <w:tab w:val="right" w:leader="dot" w:pos="9469"/>
            </w:tabs>
          </w:pPr>
          <w:r>
            <w:fldChar w:fldCharType="begin"/>
          </w:r>
          <w:r>
            <w:instrText xml:space="preserve"> HYPERLINK \l _Toc13005 </w:instrText>
          </w:r>
          <w:r>
            <w:fldChar w:fldCharType="separate"/>
          </w:r>
          <w:r>
            <w:rPr>
              <w:rFonts w:hint="eastAsia" w:ascii="宋体" w:hAnsi="宋体"/>
              <w:bCs w:val="0"/>
              <w:szCs w:val="44"/>
              <w:lang w:val="en-US" w:eastAsia="zh-CN"/>
            </w:rPr>
            <w:t>四</w:t>
          </w:r>
          <w:r>
            <w:rPr>
              <w:rFonts w:hint="eastAsia" w:ascii="宋体" w:hAnsi="宋体"/>
              <w:bCs w:val="0"/>
              <w:szCs w:val="44"/>
            </w:rPr>
            <w:t>、技术部分</w:t>
          </w:r>
          <w:r>
            <w:tab/>
          </w:r>
          <w:r>
            <w:fldChar w:fldCharType="begin"/>
          </w:r>
          <w:r>
            <w:instrText xml:space="preserve"> PAGEREF _Toc13005 \h </w:instrText>
          </w:r>
          <w:r>
            <w:fldChar w:fldCharType="separate"/>
          </w:r>
          <w:r>
            <w:t>158</w:t>
          </w:r>
          <w:r>
            <w:fldChar w:fldCharType="end"/>
          </w:r>
          <w:r>
            <w:fldChar w:fldCharType="end"/>
          </w:r>
        </w:p>
        <w:p>
          <w:pPr>
            <w:pStyle w:val="32"/>
            <w:tabs>
              <w:tab w:val="right" w:leader="dot" w:pos="9469"/>
            </w:tabs>
          </w:pPr>
          <w:r>
            <w:fldChar w:fldCharType="begin"/>
          </w:r>
          <w:r>
            <w:instrText xml:space="preserve"> HYPERLINK \l _Toc28101 </w:instrText>
          </w:r>
          <w:r>
            <w:fldChar w:fldCharType="separate"/>
          </w:r>
          <w:r>
            <w:rPr>
              <w:rFonts w:hint="eastAsia" w:ascii="宋体" w:hAnsi="宋体"/>
              <w:kern w:val="0"/>
              <w:szCs w:val="36"/>
            </w:rPr>
            <w:t>目  录</w:t>
          </w:r>
          <w:r>
            <w:tab/>
          </w:r>
          <w:r>
            <w:fldChar w:fldCharType="begin"/>
          </w:r>
          <w:r>
            <w:instrText xml:space="preserve"> PAGEREF _Toc28101 \h </w:instrText>
          </w:r>
          <w:r>
            <w:fldChar w:fldCharType="separate"/>
          </w:r>
          <w:r>
            <w:t>159</w:t>
          </w:r>
          <w:r>
            <w:fldChar w:fldCharType="end"/>
          </w:r>
          <w:r>
            <w:fldChar w:fldCharType="end"/>
          </w:r>
        </w:p>
        <w:p>
          <w:pPr>
            <w:pStyle w:val="32"/>
            <w:tabs>
              <w:tab w:val="right" w:leader="dot" w:pos="9469"/>
            </w:tabs>
          </w:pPr>
          <w:r>
            <w:fldChar w:fldCharType="begin"/>
          </w:r>
          <w:r>
            <w:instrText xml:space="preserve"> HYPERLINK \l _Toc3316 </w:instrText>
          </w:r>
          <w:r>
            <w:fldChar w:fldCharType="separate"/>
          </w:r>
          <w:r>
            <w:rPr>
              <w:rFonts w:hint="eastAsia" w:ascii="宋体" w:hAnsi="宋体"/>
            </w:rPr>
            <w:t>（一）</w:t>
          </w:r>
          <w:r>
            <w:rPr>
              <w:rFonts w:hint="eastAsia" w:ascii="宋体" w:hAnsi="宋体"/>
              <w:bCs w:val="0"/>
            </w:rPr>
            <w:t>技术方案</w:t>
          </w:r>
          <w:r>
            <w:tab/>
          </w:r>
          <w:r>
            <w:fldChar w:fldCharType="begin"/>
          </w:r>
          <w:r>
            <w:instrText xml:space="preserve"> PAGEREF _Toc3316 \h </w:instrText>
          </w:r>
          <w:r>
            <w:fldChar w:fldCharType="separate"/>
          </w:r>
          <w:r>
            <w:t>160</w:t>
          </w:r>
          <w:r>
            <w:fldChar w:fldCharType="end"/>
          </w:r>
          <w:r>
            <w:fldChar w:fldCharType="end"/>
          </w:r>
        </w:p>
        <w:p>
          <w:pPr>
            <w:pStyle w:val="32"/>
            <w:tabs>
              <w:tab w:val="right" w:leader="dot" w:pos="9469"/>
            </w:tabs>
          </w:pPr>
          <w:r>
            <w:fldChar w:fldCharType="begin"/>
          </w:r>
          <w:r>
            <w:instrText xml:space="preserve"> HYPERLINK \l _Toc595 </w:instrText>
          </w:r>
          <w:r>
            <w:fldChar w:fldCharType="separate"/>
          </w:r>
          <w:r>
            <w:rPr>
              <w:rFonts w:hint="eastAsia"/>
              <w:szCs w:val="32"/>
            </w:rPr>
            <w:t>附表一：拟投入本标段的主要施工设备表</w:t>
          </w:r>
          <w:r>
            <w:tab/>
          </w:r>
          <w:r>
            <w:fldChar w:fldCharType="begin"/>
          </w:r>
          <w:r>
            <w:instrText xml:space="preserve"> PAGEREF _Toc595 \h </w:instrText>
          </w:r>
          <w:r>
            <w:fldChar w:fldCharType="separate"/>
          </w:r>
          <w:r>
            <w:t>161</w:t>
          </w:r>
          <w:r>
            <w:fldChar w:fldCharType="end"/>
          </w:r>
          <w:r>
            <w:fldChar w:fldCharType="end"/>
          </w:r>
        </w:p>
        <w:p>
          <w:pPr>
            <w:pStyle w:val="32"/>
            <w:tabs>
              <w:tab w:val="right" w:leader="dot" w:pos="9469"/>
            </w:tabs>
          </w:pPr>
          <w:r>
            <w:fldChar w:fldCharType="begin"/>
          </w:r>
          <w:r>
            <w:instrText xml:space="preserve"> HYPERLINK \l _Toc8165 </w:instrText>
          </w:r>
          <w:r>
            <w:fldChar w:fldCharType="separate"/>
          </w:r>
          <w:r>
            <w:rPr>
              <w:szCs w:val="32"/>
            </w:rPr>
            <w:t>附表二：拟配备本标段的试验和检测仪器设备表</w:t>
          </w:r>
          <w:r>
            <w:tab/>
          </w:r>
          <w:r>
            <w:fldChar w:fldCharType="begin"/>
          </w:r>
          <w:r>
            <w:instrText xml:space="preserve"> PAGEREF _Toc8165 \h </w:instrText>
          </w:r>
          <w:r>
            <w:fldChar w:fldCharType="separate"/>
          </w:r>
          <w:r>
            <w:t>162</w:t>
          </w:r>
          <w:r>
            <w:fldChar w:fldCharType="end"/>
          </w:r>
          <w:r>
            <w:fldChar w:fldCharType="end"/>
          </w:r>
        </w:p>
        <w:p>
          <w:pPr>
            <w:pStyle w:val="32"/>
            <w:tabs>
              <w:tab w:val="right" w:leader="dot" w:pos="9469"/>
            </w:tabs>
          </w:pPr>
          <w:r>
            <w:fldChar w:fldCharType="begin"/>
          </w:r>
          <w:r>
            <w:instrText xml:space="preserve"> HYPERLINK \l _Toc10959 </w:instrText>
          </w:r>
          <w:r>
            <w:fldChar w:fldCharType="separate"/>
          </w:r>
          <w:r>
            <w:rPr>
              <w:szCs w:val="32"/>
            </w:rPr>
            <w:t>附表三：劳动力计划表</w:t>
          </w:r>
          <w:r>
            <w:tab/>
          </w:r>
          <w:r>
            <w:fldChar w:fldCharType="begin"/>
          </w:r>
          <w:r>
            <w:instrText xml:space="preserve"> PAGEREF _Toc10959 \h </w:instrText>
          </w:r>
          <w:r>
            <w:fldChar w:fldCharType="separate"/>
          </w:r>
          <w:r>
            <w:t>163</w:t>
          </w:r>
          <w:r>
            <w:fldChar w:fldCharType="end"/>
          </w:r>
          <w:r>
            <w:fldChar w:fldCharType="end"/>
          </w:r>
        </w:p>
        <w:p>
          <w:pPr>
            <w:pStyle w:val="32"/>
            <w:tabs>
              <w:tab w:val="right" w:leader="dot" w:pos="9469"/>
            </w:tabs>
          </w:pPr>
          <w:r>
            <w:fldChar w:fldCharType="begin"/>
          </w:r>
          <w:r>
            <w:instrText xml:space="preserve"> HYPERLINK \l _Toc2333 </w:instrText>
          </w:r>
          <w:r>
            <w:fldChar w:fldCharType="separate"/>
          </w:r>
          <w:r>
            <w:rPr>
              <w:szCs w:val="32"/>
            </w:rPr>
            <w:t>附表四：计划开、竣工日期和施工进度网络图</w:t>
          </w:r>
          <w:r>
            <w:tab/>
          </w:r>
          <w:r>
            <w:fldChar w:fldCharType="begin"/>
          </w:r>
          <w:r>
            <w:instrText xml:space="preserve"> PAGEREF _Toc2333 \h </w:instrText>
          </w:r>
          <w:r>
            <w:fldChar w:fldCharType="separate"/>
          </w:r>
          <w:r>
            <w:t>164</w:t>
          </w:r>
          <w:r>
            <w:fldChar w:fldCharType="end"/>
          </w:r>
          <w:r>
            <w:fldChar w:fldCharType="end"/>
          </w:r>
        </w:p>
        <w:p>
          <w:pPr>
            <w:pStyle w:val="32"/>
            <w:tabs>
              <w:tab w:val="right" w:leader="dot" w:pos="9469"/>
            </w:tabs>
          </w:pPr>
          <w:r>
            <w:fldChar w:fldCharType="begin"/>
          </w:r>
          <w:r>
            <w:instrText xml:space="preserve"> HYPERLINK \l _Toc13124 </w:instrText>
          </w:r>
          <w:r>
            <w:fldChar w:fldCharType="separate"/>
          </w:r>
          <w:r>
            <w:rPr>
              <w:szCs w:val="32"/>
            </w:rPr>
            <w:t>附表五：施工总平面图</w:t>
          </w:r>
          <w:r>
            <w:tab/>
          </w:r>
          <w:r>
            <w:fldChar w:fldCharType="begin"/>
          </w:r>
          <w:r>
            <w:instrText xml:space="preserve"> PAGEREF _Toc13124 \h </w:instrText>
          </w:r>
          <w:r>
            <w:fldChar w:fldCharType="separate"/>
          </w:r>
          <w:r>
            <w:t>165</w:t>
          </w:r>
          <w:r>
            <w:fldChar w:fldCharType="end"/>
          </w:r>
          <w:r>
            <w:fldChar w:fldCharType="end"/>
          </w:r>
        </w:p>
        <w:p>
          <w:pPr>
            <w:pStyle w:val="32"/>
            <w:tabs>
              <w:tab w:val="right" w:leader="dot" w:pos="9469"/>
            </w:tabs>
          </w:pPr>
          <w:r>
            <w:fldChar w:fldCharType="begin"/>
          </w:r>
          <w:r>
            <w:instrText xml:space="preserve"> HYPERLINK \l _Toc24335 </w:instrText>
          </w:r>
          <w:r>
            <w:fldChar w:fldCharType="separate"/>
          </w:r>
          <w:r>
            <w:rPr>
              <w:rFonts w:hint="eastAsia"/>
              <w:szCs w:val="32"/>
            </w:rPr>
            <w:t>附表六：临时用地表</w:t>
          </w:r>
          <w:r>
            <w:tab/>
          </w:r>
          <w:r>
            <w:fldChar w:fldCharType="begin"/>
          </w:r>
          <w:r>
            <w:instrText xml:space="preserve"> PAGEREF _Toc24335 \h </w:instrText>
          </w:r>
          <w:r>
            <w:fldChar w:fldCharType="separate"/>
          </w:r>
          <w:r>
            <w:t>166</w:t>
          </w:r>
          <w:r>
            <w:fldChar w:fldCharType="end"/>
          </w:r>
          <w:r>
            <w:fldChar w:fldCharType="end"/>
          </w:r>
        </w:p>
        <w:p>
          <w:pPr>
            <w:pStyle w:val="38"/>
            <w:tabs>
              <w:tab w:val="right" w:leader="dot" w:pos="9469"/>
            </w:tabs>
          </w:pPr>
          <w:r>
            <w:fldChar w:fldCharType="begin"/>
          </w:r>
          <w:r>
            <w:instrText xml:space="preserve"> HYPERLINK \l _Toc12442 </w:instrText>
          </w:r>
          <w:r>
            <w:fldChar w:fldCharType="separate"/>
          </w:r>
          <w:r>
            <w:rPr>
              <w:rFonts w:hint="eastAsia" w:ascii="宋体" w:hAnsi="宋体"/>
              <w:bCs w:val="0"/>
              <w:szCs w:val="44"/>
              <w:lang w:val="en-US" w:eastAsia="zh-CN"/>
            </w:rPr>
            <w:t>五</w:t>
          </w:r>
          <w:r>
            <w:rPr>
              <w:rFonts w:hint="eastAsia" w:ascii="宋体" w:hAnsi="宋体"/>
              <w:bCs w:val="0"/>
              <w:szCs w:val="44"/>
            </w:rPr>
            <w:t>、资格审查部分</w:t>
          </w:r>
          <w:r>
            <w:tab/>
          </w:r>
          <w:r>
            <w:fldChar w:fldCharType="begin"/>
          </w:r>
          <w:r>
            <w:instrText xml:space="preserve"> PAGEREF _Toc12442 \h </w:instrText>
          </w:r>
          <w:r>
            <w:fldChar w:fldCharType="separate"/>
          </w:r>
          <w:r>
            <w:t>167</w:t>
          </w:r>
          <w:r>
            <w:fldChar w:fldCharType="end"/>
          </w:r>
          <w:r>
            <w:fldChar w:fldCharType="end"/>
          </w:r>
        </w:p>
        <w:p>
          <w:pPr>
            <w:pStyle w:val="32"/>
            <w:tabs>
              <w:tab w:val="right" w:leader="dot" w:pos="9469"/>
            </w:tabs>
          </w:pPr>
          <w:r>
            <w:fldChar w:fldCharType="begin"/>
          </w:r>
          <w:r>
            <w:instrText xml:space="preserve"> HYPERLINK \l _Toc546 </w:instrText>
          </w:r>
          <w:r>
            <w:fldChar w:fldCharType="separate"/>
          </w:r>
          <w:r>
            <w:rPr>
              <w:rFonts w:hint="eastAsia" w:ascii="宋体" w:hAnsi="宋体"/>
              <w:kern w:val="0"/>
              <w:szCs w:val="36"/>
            </w:rPr>
            <w:t>资格审查部分</w:t>
          </w:r>
          <w:r>
            <w:tab/>
          </w:r>
          <w:r>
            <w:fldChar w:fldCharType="begin"/>
          </w:r>
          <w:r>
            <w:instrText xml:space="preserve"> PAGEREF _Toc546 \h </w:instrText>
          </w:r>
          <w:r>
            <w:fldChar w:fldCharType="separate"/>
          </w:r>
          <w:r>
            <w:t>168</w:t>
          </w:r>
          <w:r>
            <w:fldChar w:fldCharType="end"/>
          </w:r>
          <w:r>
            <w:fldChar w:fldCharType="end"/>
          </w:r>
        </w:p>
        <w:p>
          <w:pPr>
            <w:pStyle w:val="32"/>
            <w:tabs>
              <w:tab w:val="right" w:leader="dot" w:pos="9469"/>
            </w:tabs>
          </w:pPr>
          <w:r>
            <w:fldChar w:fldCharType="begin"/>
          </w:r>
          <w:r>
            <w:instrText xml:space="preserve"> HYPERLINK \l _Toc11323 </w:instrText>
          </w:r>
          <w:r>
            <w:fldChar w:fldCharType="separate"/>
          </w:r>
          <w:r>
            <w:rPr>
              <w:rFonts w:hint="eastAsia" w:ascii="宋体" w:hAnsi="宋体"/>
              <w:kern w:val="0"/>
              <w:szCs w:val="36"/>
            </w:rPr>
            <w:t>目  录</w:t>
          </w:r>
          <w:r>
            <w:tab/>
          </w:r>
          <w:r>
            <w:fldChar w:fldCharType="begin"/>
          </w:r>
          <w:r>
            <w:instrText xml:space="preserve"> PAGEREF _Toc11323 \h </w:instrText>
          </w:r>
          <w:r>
            <w:fldChar w:fldCharType="separate"/>
          </w:r>
          <w:r>
            <w:t>169</w:t>
          </w:r>
          <w:r>
            <w:fldChar w:fldCharType="end"/>
          </w:r>
          <w:r>
            <w:fldChar w:fldCharType="end"/>
          </w:r>
        </w:p>
        <w:p>
          <w:pPr>
            <w:pStyle w:val="32"/>
            <w:tabs>
              <w:tab w:val="right" w:leader="dot" w:pos="9469"/>
            </w:tabs>
          </w:pPr>
          <w:r>
            <w:fldChar w:fldCharType="begin"/>
          </w:r>
          <w:r>
            <w:instrText xml:space="preserve"> HYPERLINK \l _Toc15952 </w:instrText>
          </w:r>
          <w:r>
            <w:fldChar w:fldCharType="separate"/>
          </w:r>
          <w:r>
            <w:rPr>
              <w:rFonts w:hint="eastAsia" w:ascii="宋体" w:hAnsi="宋体"/>
              <w:bCs w:val="0"/>
            </w:rPr>
            <w:t>（一）法定代表人身份证明或附有法定代表人身份证明的授权委托书</w:t>
          </w:r>
          <w:r>
            <w:tab/>
          </w:r>
          <w:r>
            <w:fldChar w:fldCharType="begin"/>
          </w:r>
          <w:r>
            <w:instrText xml:space="preserve"> PAGEREF _Toc15952 \h </w:instrText>
          </w:r>
          <w:r>
            <w:fldChar w:fldCharType="separate"/>
          </w:r>
          <w:r>
            <w:t>170</w:t>
          </w:r>
          <w:r>
            <w:fldChar w:fldCharType="end"/>
          </w:r>
          <w:r>
            <w:fldChar w:fldCharType="end"/>
          </w:r>
        </w:p>
        <w:p>
          <w:pPr>
            <w:pStyle w:val="38"/>
            <w:tabs>
              <w:tab w:val="right" w:leader="dot" w:pos="9469"/>
            </w:tabs>
          </w:pPr>
          <w:r>
            <w:fldChar w:fldCharType="begin"/>
          </w:r>
          <w:r>
            <w:instrText xml:space="preserve"> HYPERLINK \l _Toc20901 </w:instrText>
          </w:r>
          <w:r>
            <w:fldChar w:fldCharType="separate"/>
          </w:r>
          <w:r>
            <w:rPr>
              <w:rFonts w:hint="eastAsia" w:ascii="宋体" w:hAnsi="宋体"/>
            </w:rPr>
            <w:t>法定代表人身份证明</w:t>
          </w:r>
          <w:r>
            <w:tab/>
          </w:r>
          <w:r>
            <w:fldChar w:fldCharType="begin"/>
          </w:r>
          <w:r>
            <w:instrText xml:space="preserve"> PAGEREF _Toc20901 \h </w:instrText>
          </w:r>
          <w:r>
            <w:fldChar w:fldCharType="separate"/>
          </w:r>
          <w:r>
            <w:t>170</w:t>
          </w:r>
          <w:r>
            <w:fldChar w:fldCharType="end"/>
          </w:r>
          <w:r>
            <w:fldChar w:fldCharType="end"/>
          </w:r>
        </w:p>
        <w:p>
          <w:pPr>
            <w:pStyle w:val="38"/>
            <w:tabs>
              <w:tab w:val="right" w:leader="dot" w:pos="9469"/>
            </w:tabs>
          </w:pPr>
          <w:r>
            <w:fldChar w:fldCharType="begin"/>
          </w:r>
          <w:r>
            <w:instrText xml:space="preserve"> HYPERLINK \l _Toc2778 </w:instrText>
          </w:r>
          <w:r>
            <w:fldChar w:fldCharType="separate"/>
          </w:r>
          <w:r>
            <w:rPr>
              <w:rFonts w:ascii="宋体" w:hAnsi="宋体"/>
              <w:snapToGrid w:val="0"/>
              <w:kern w:val="0"/>
              <w:szCs w:val="32"/>
            </w:rPr>
            <w:t>授权委托书</w:t>
          </w:r>
          <w:r>
            <w:tab/>
          </w:r>
          <w:r>
            <w:fldChar w:fldCharType="begin"/>
          </w:r>
          <w:r>
            <w:instrText xml:space="preserve"> PAGEREF _Toc2778 \h </w:instrText>
          </w:r>
          <w:r>
            <w:fldChar w:fldCharType="separate"/>
          </w:r>
          <w:r>
            <w:t>171</w:t>
          </w:r>
          <w:r>
            <w:fldChar w:fldCharType="end"/>
          </w:r>
          <w:r>
            <w:fldChar w:fldCharType="end"/>
          </w:r>
        </w:p>
        <w:p>
          <w:pPr>
            <w:pStyle w:val="32"/>
            <w:tabs>
              <w:tab w:val="right" w:leader="dot" w:pos="9469"/>
            </w:tabs>
          </w:pPr>
          <w:r>
            <w:fldChar w:fldCharType="begin"/>
          </w:r>
          <w:r>
            <w:instrText xml:space="preserve"> HYPERLINK \l _Toc21961 </w:instrText>
          </w:r>
          <w:r>
            <w:fldChar w:fldCharType="separate"/>
          </w:r>
          <w:r>
            <w:rPr>
              <w:rFonts w:hint="eastAsia" w:ascii="宋体" w:hAnsi="宋体"/>
              <w:bCs w:val="0"/>
            </w:rPr>
            <w:t>（二）联合体协议书（如有）</w:t>
          </w:r>
          <w:r>
            <w:tab/>
          </w:r>
          <w:r>
            <w:fldChar w:fldCharType="begin"/>
          </w:r>
          <w:r>
            <w:instrText xml:space="preserve"> PAGEREF _Toc21961 \h </w:instrText>
          </w:r>
          <w:r>
            <w:fldChar w:fldCharType="separate"/>
          </w:r>
          <w:r>
            <w:t>172</w:t>
          </w:r>
          <w:r>
            <w:fldChar w:fldCharType="end"/>
          </w:r>
          <w:r>
            <w:fldChar w:fldCharType="end"/>
          </w:r>
        </w:p>
        <w:p>
          <w:pPr>
            <w:pStyle w:val="32"/>
            <w:tabs>
              <w:tab w:val="right" w:leader="dot" w:pos="9469"/>
            </w:tabs>
          </w:pPr>
          <w:r>
            <w:fldChar w:fldCharType="begin"/>
          </w:r>
          <w:r>
            <w:instrText xml:space="preserve"> HYPERLINK \l _Toc24773 </w:instrText>
          </w:r>
          <w:r>
            <w:fldChar w:fldCharType="separate"/>
          </w:r>
          <w:r>
            <w:rPr>
              <w:rFonts w:hint="eastAsia" w:ascii="宋体" w:hAnsi="宋体"/>
              <w:bCs w:val="0"/>
            </w:rPr>
            <w:t>（三）投标人基本情况表</w:t>
          </w:r>
          <w:r>
            <w:tab/>
          </w:r>
          <w:r>
            <w:fldChar w:fldCharType="begin"/>
          </w:r>
          <w:r>
            <w:instrText xml:space="preserve"> PAGEREF _Toc24773 \h </w:instrText>
          </w:r>
          <w:r>
            <w:fldChar w:fldCharType="separate"/>
          </w:r>
          <w:r>
            <w:t>174</w:t>
          </w:r>
          <w:r>
            <w:fldChar w:fldCharType="end"/>
          </w:r>
          <w:r>
            <w:fldChar w:fldCharType="end"/>
          </w:r>
        </w:p>
        <w:p>
          <w:pPr>
            <w:pStyle w:val="32"/>
            <w:tabs>
              <w:tab w:val="right" w:leader="dot" w:pos="9469"/>
            </w:tabs>
          </w:pPr>
          <w:r>
            <w:fldChar w:fldCharType="begin"/>
          </w:r>
          <w:r>
            <w:instrText xml:space="preserve"> HYPERLINK \l _Toc20009 </w:instrText>
          </w:r>
          <w:r>
            <w:fldChar w:fldCharType="separate"/>
          </w:r>
          <w:r>
            <w:rPr>
              <w:rFonts w:hint="eastAsia" w:ascii="宋体" w:hAnsi="宋体"/>
              <w:bCs w:val="0"/>
            </w:rPr>
            <w:t>（四）项目管理机构</w:t>
          </w:r>
          <w:r>
            <w:tab/>
          </w:r>
          <w:r>
            <w:fldChar w:fldCharType="begin"/>
          </w:r>
          <w:r>
            <w:instrText xml:space="preserve"> PAGEREF _Toc20009 \h </w:instrText>
          </w:r>
          <w:r>
            <w:fldChar w:fldCharType="separate"/>
          </w:r>
          <w:r>
            <w:t>175</w:t>
          </w:r>
          <w:r>
            <w:fldChar w:fldCharType="end"/>
          </w:r>
          <w:r>
            <w:fldChar w:fldCharType="end"/>
          </w:r>
        </w:p>
        <w:p>
          <w:pPr>
            <w:pStyle w:val="38"/>
            <w:tabs>
              <w:tab w:val="right" w:leader="dot" w:pos="9469"/>
            </w:tabs>
          </w:pPr>
          <w:r>
            <w:fldChar w:fldCharType="begin"/>
          </w:r>
          <w:r>
            <w:instrText xml:space="preserve"> HYPERLINK \l _Toc9706 </w:instrText>
          </w:r>
          <w:r>
            <w:fldChar w:fldCharType="separate"/>
          </w:r>
          <w:r>
            <w:rPr>
              <w:rFonts w:hint="eastAsia" w:ascii="宋体" w:hAnsi="宋体" w:cs="MingLiU"/>
              <w:kern w:val="0"/>
              <w:szCs w:val="28"/>
            </w:rPr>
            <w:t>项目管理机构组成表</w:t>
          </w:r>
          <w:r>
            <w:tab/>
          </w:r>
          <w:r>
            <w:fldChar w:fldCharType="begin"/>
          </w:r>
          <w:r>
            <w:instrText xml:space="preserve"> PAGEREF _Toc9706 \h </w:instrText>
          </w:r>
          <w:r>
            <w:fldChar w:fldCharType="separate"/>
          </w:r>
          <w:r>
            <w:t>175</w:t>
          </w:r>
          <w:r>
            <w:fldChar w:fldCharType="end"/>
          </w:r>
          <w:r>
            <w:fldChar w:fldCharType="end"/>
          </w:r>
        </w:p>
        <w:p>
          <w:pPr>
            <w:pStyle w:val="38"/>
            <w:tabs>
              <w:tab w:val="right" w:leader="dot" w:pos="9469"/>
            </w:tabs>
          </w:pPr>
          <w:r>
            <w:fldChar w:fldCharType="begin"/>
          </w:r>
          <w:r>
            <w:instrText xml:space="preserve"> HYPERLINK \l _Toc7692 </w:instrText>
          </w:r>
          <w:r>
            <w:fldChar w:fldCharType="separate"/>
          </w:r>
          <w:r>
            <w:rPr>
              <w:rFonts w:hint="eastAsia" w:ascii="宋体" w:hAnsi="宋体"/>
              <w:szCs w:val="32"/>
            </w:rPr>
            <w:t>项目经理及项目技术负责人简历表</w:t>
          </w:r>
          <w:r>
            <w:tab/>
          </w:r>
          <w:r>
            <w:fldChar w:fldCharType="begin"/>
          </w:r>
          <w:r>
            <w:instrText xml:space="preserve"> PAGEREF _Toc7692 \h </w:instrText>
          </w:r>
          <w:r>
            <w:fldChar w:fldCharType="separate"/>
          </w:r>
          <w:r>
            <w:t>176</w:t>
          </w:r>
          <w:r>
            <w:fldChar w:fldCharType="end"/>
          </w:r>
          <w:r>
            <w:fldChar w:fldCharType="end"/>
          </w:r>
        </w:p>
        <w:p>
          <w:pPr>
            <w:pStyle w:val="32"/>
            <w:tabs>
              <w:tab w:val="right" w:leader="dot" w:pos="9469"/>
            </w:tabs>
          </w:pPr>
          <w:r>
            <w:fldChar w:fldCharType="begin"/>
          </w:r>
          <w:r>
            <w:instrText xml:space="preserve"> HYPERLINK \l _Toc23014 </w:instrText>
          </w:r>
          <w:r>
            <w:fldChar w:fldCharType="separate"/>
          </w:r>
          <w:r>
            <w:rPr>
              <w:rFonts w:hint="eastAsia" w:ascii="宋体" w:hAnsi="宋体"/>
            </w:rPr>
            <w:t>（五）近年财务状况表</w:t>
          </w:r>
          <w:r>
            <w:tab/>
          </w:r>
          <w:r>
            <w:fldChar w:fldCharType="begin"/>
          </w:r>
          <w:r>
            <w:instrText xml:space="preserve"> PAGEREF _Toc23014 \h </w:instrText>
          </w:r>
          <w:r>
            <w:fldChar w:fldCharType="separate"/>
          </w:r>
          <w:r>
            <w:t>177</w:t>
          </w:r>
          <w:r>
            <w:fldChar w:fldCharType="end"/>
          </w:r>
          <w:r>
            <w:fldChar w:fldCharType="end"/>
          </w:r>
        </w:p>
        <w:p>
          <w:pPr>
            <w:pStyle w:val="32"/>
            <w:tabs>
              <w:tab w:val="right" w:leader="dot" w:pos="9469"/>
            </w:tabs>
          </w:pPr>
          <w:r>
            <w:fldChar w:fldCharType="begin"/>
          </w:r>
          <w:r>
            <w:instrText xml:space="preserve"> HYPERLINK \l _Toc4683 </w:instrText>
          </w:r>
          <w:r>
            <w:fldChar w:fldCharType="separate"/>
          </w:r>
          <w:r>
            <w:rPr>
              <w:rFonts w:ascii="宋体" w:hAnsi="宋体"/>
            </w:rPr>
            <w:t>（六）类似项目情况表</w:t>
          </w:r>
          <w:r>
            <w:tab/>
          </w:r>
          <w:r>
            <w:fldChar w:fldCharType="begin"/>
          </w:r>
          <w:r>
            <w:instrText xml:space="preserve"> PAGEREF _Toc4683 \h </w:instrText>
          </w:r>
          <w:r>
            <w:fldChar w:fldCharType="separate"/>
          </w:r>
          <w:r>
            <w:t>178</w:t>
          </w:r>
          <w:r>
            <w:fldChar w:fldCharType="end"/>
          </w:r>
          <w:r>
            <w:fldChar w:fldCharType="end"/>
          </w:r>
        </w:p>
        <w:p>
          <w:pPr>
            <w:pStyle w:val="32"/>
            <w:tabs>
              <w:tab w:val="right" w:leader="dot" w:pos="9469"/>
            </w:tabs>
          </w:pPr>
          <w:r>
            <w:fldChar w:fldCharType="begin"/>
          </w:r>
          <w:r>
            <w:instrText xml:space="preserve"> HYPERLINK \l _Toc23342 </w:instrText>
          </w:r>
          <w:r>
            <w:fldChar w:fldCharType="separate"/>
          </w:r>
          <w:r>
            <w:rPr>
              <w:rFonts w:ascii="宋体" w:hAnsi="宋体"/>
            </w:rPr>
            <w:t>（七）</w:t>
          </w:r>
          <w:r>
            <w:rPr>
              <w:rFonts w:hint="eastAsia" w:ascii="宋体" w:hAnsi="宋体"/>
            </w:rPr>
            <w:t>承诺</w:t>
          </w:r>
          <w:r>
            <w:tab/>
          </w:r>
          <w:r>
            <w:fldChar w:fldCharType="begin"/>
          </w:r>
          <w:r>
            <w:instrText xml:space="preserve"> PAGEREF _Toc23342 \h </w:instrText>
          </w:r>
          <w:r>
            <w:fldChar w:fldCharType="separate"/>
          </w:r>
          <w:r>
            <w:t>179</w:t>
          </w:r>
          <w:r>
            <w:fldChar w:fldCharType="end"/>
          </w:r>
          <w:r>
            <w:fldChar w:fldCharType="end"/>
          </w:r>
        </w:p>
        <w:p>
          <w:pPr>
            <w:pStyle w:val="32"/>
            <w:tabs>
              <w:tab w:val="right" w:leader="dot" w:pos="9469"/>
            </w:tabs>
          </w:pPr>
          <w:r>
            <w:fldChar w:fldCharType="begin"/>
          </w:r>
          <w:r>
            <w:instrText xml:space="preserve"> HYPERLINK \l _Toc18559 </w:instrText>
          </w:r>
          <w:r>
            <w:fldChar w:fldCharType="separate"/>
          </w:r>
          <w:r>
            <w:rPr>
              <w:rFonts w:hint="eastAsia" w:ascii="宋体" w:hAnsi="宋体"/>
            </w:rPr>
            <w:t>（八）其他资料</w:t>
          </w:r>
          <w:r>
            <w:tab/>
          </w:r>
          <w:r>
            <w:fldChar w:fldCharType="begin"/>
          </w:r>
          <w:r>
            <w:instrText xml:space="preserve"> PAGEREF _Toc18559 \h </w:instrText>
          </w:r>
          <w:r>
            <w:fldChar w:fldCharType="separate"/>
          </w:r>
          <w:r>
            <w:t>181</w:t>
          </w:r>
          <w:r>
            <w:fldChar w:fldCharType="end"/>
          </w:r>
          <w:r>
            <w:fldChar w:fldCharType="end"/>
          </w:r>
        </w:p>
        <w:p>
          <w:pPr>
            <w:pStyle w:val="38"/>
            <w:tabs>
              <w:tab w:val="right" w:leader="dot" w:pos="9469"/>
            </w:tabs>
          </w:pPr>
          <w:r>
            <w:fldChar w:fldCharType="begin"/>
          </w:r>
          <w:r>
            <w:instrText xml:space="preserve"> HYPERLINK \l _Toc3596 </w:instrText>
          </w:r>
          <w:r>
            <w:fldChar w:fldCharType="separate"/>
          </w:r>
          <w:r>
            <w:rPr>
              <w:rFonts w:hint="eastAsia" w:ascii="宋体" w:hAnsi="宋体"/>
              <w:szCs w:val="21"/>
            </w:rPr>
            <w:t>1. 投标保证金</w:t>
          </w:r>
          <w:r>
            <w:tab/>
          </w:r>
          <w:r>
            <w:fldChar w:fldCharType="begin"/>
          </w:r>
          <w:r>
            <w:instrText xml:space="preserve"> PAGEREF _Toc3596 \h </w:instrText>
          </w:r>
          <w:r>
            <w:fldChar w:fldCharType="separate"/>
          </w:r>
          <w:r>
            <w:t>181</w:t>
          </w:r>
          <w:r>
            <w:fldChar w:fldCharType="end"/>
          </w:r>
          <w:r>
            <w:fldChar w:fldCharType="end"/>
          </w:r>
        </w:p>
        <w:p>
          <w:pPr>
            <w:pStyle w:val="38"/>
            <w:tabs>
              <w:tab w:val="right" w:leader="dot" w:pos="9469"/>
            </w:tabs>
          </w:pPr>
          <w:r>
            <w:fldChar w:fldCharType="begin"/>
          </w:r>
          <w:r>
            <w:instrText xml:space="preserve"> HYPERLINK \l _Toc9365 </w:instrText>
          </w:r>
          <w:r>
            <w:fldChar w:fldCharType="separate"/>
          </w:r>
          <w:r>
            <w:rPr>
              <w:rFonts w:hint="eastAsia" w:ascii="宋体" w:hAnsi="宋体"/>
              <w:szCs w:val="21"/>
            </w:rPr>
            <w:t>2. 中小微企业声明函（示范格式）</w:t>
          </w:r>
          <w:r>
            <w:tab/>
          </w:r>
          <w:r>
            <w:fldChar w:fldCharType="begin"/>
          </w:r>
          <w:r>
            <w:instrText xml:space="preserve"> PAGEREF _Toc9365 \h </w:instrText>
          </w:r>
          <w:r>
            <w:fldChar w:fldCharType="separate"/>
          </w:r>
          <w:r>
            <w:t>184</w:t>
          </w:r>
          <w:r>
            <w:fldChar w:fldCharType="end"/>
          </w:r>
          <w:r>
            <w:fldChar w:fldCharType="end"/>
          </w:r>
        </w:p>
        <w:p>
          <w:pPr>
            <w:pStyle w:val="32"/>
            <w:tabs>
              <w:tab w:val="right" w:leader="dot" w:pos="9469"/>
            </w:tabs>
          </w:pPr>
          <w:r>
            <w:fldChar w:fldCharType="begin"/>
          </w:r>
          <w:r>
            <w:instrText xml:space="preserve"> HYPERLINK \l _Toc15451 </w:instrText>
          </w:r>
          <w:r>
            <w:fldChar w:fldCharType="separate"/>
          </w:r>
          <w:r>
            <w:rPr>
              <w:rFonts w:hint="eastAsia"/>
            </w:rPr>
            <w:t>中小微企业声明函</w:t>
          </w:r>
          <w:r>
            <w:tab/>
          </w:r>
          <w:r>
            <w:fldChar w:fldCharType="begin"/>
          </w:r>
          <w:r>
            <w:instrText xml:space="preserve"> PAGEREF _Toc15451 \h </w:instrText>
          </w:r>
          <w:r>
            <w:fldChar w:fldCharType="separate"/>
          </w:r>
          <w:r>
            <w:t>184</w:t>
          </w:r>
          <w:r>
            <w:fldChar w:fldCharType="end"/>
          </w:r>
          <w:r>
            <w:fldChar w:fldCharType="end"/>
          </w:r>
        </w:p>
        <w:p>
          <w:pPr>
            <w:pStyle w:val="2"/>
          </w:pPr>
          <w:r>
            <w:rPr>
              <w:b/>
            </w:rPr>
            <w:fldChar w:fldCharType="end"/>
          </w:r>
        </w:p>
      </w:sdtContent>
    </w:sdt>
    <w:bookmarkEnd w:id="0"/>
    <w:p>
      <w:pPr>
        <w:spacing w:line="20" w:lineRule="exact"/>
        <w:rPr>
          <w:rFonts w:ascii="宋体" w:hAnsi="宋体"/>
        </w:rPr>
      </w:pPr>
      <w:bookmarkStart w:id="6" w:name="_Toc430530414"/>
    </w:p>
    <w:p>
      <w:pPr>
        <w:spacing w:line="20" w:lineRule="exact"/>
        <w:jc w:val="left"/>
        <w:rPr>
          <w:rFonts w:ascii="宋体" w:hAnsi="宋体"/>
        </w:rPr>
        <w:sectPr>
          <w:footerReference r:id="rId8" w:type="default"/>
          <w:pgSz w:w="11907" w:h="16840"/>
          <w:pgMar w:top="1304" w:right="1134" w:bottom="1304" w:left="1304" w:header="851" w:footer="992" w:gutter="0"/>
          <w:pgNumType w:fmt="numberInDash" w:start="1"/>
          <w:cols w:space="720" w:num="1"/>
          <w:docGrid w:linePitch="312" w:charSpace="0"/>
        </w:sectPr>
      </w:pPr>
    </w:p>
    <w:bookmarkEnd w:id="6"/>
    <w:p>
      <w:pPr>
        <w:spacing w:line="360" w:lineRule="auto"/>
        <w:rPr>
          <w:rFonts w:ascii="宋体" w:hAnsi="宋体"/>
        </w:rPr>
      </w:pPr>
    </w:p>
    <w:p>
      <w:pPr>
        <w:pStyle w:val="3"/>
        <w:spacing w:before="0" w:after="0" w:line="480" w:lineRule="auto"/>
        <w:jc w:val="center"/>
        <w:rPr>
          <w:rFonts w:ascii="宋体" w:hAnsi="宋体"/>
          <w:sz w:val="52"/>
          <w:szCs w:val="52"/>
        </w:rPr>
      </w:pPr>
      <w:bookmarkStart w:id="7" w:name="_Toc9100"/>
      <w:bookmarkStart w:id="8" w:name="_Toc9775"/>
      <w:bookmarkStart w:id="9" w:name="_Toc3232"/>
      <w:bookmarkStart w:id="10" w:name="_Toc509218690"/>
      <w:r>
        <w:rPr>
          <w:rFonts w:hint="eastAsia" w:ascii="宋体" w:hAnsi="宋体"/>
          <w:sz w:val="52"/>
          <w:szCs w:val="52"/>
        </w:rPr>
        <w:t>第 一 卷</w:t>
      </w:r>
      <w:bookmarkEnd w:id="7"/>
      <w:bookmarkEnd w:id="8"/>
      <w:bookmarkEnd w:id="9"/>
      <w:bookmarkEnd w:id="10"/>
    </w:p>
    <w:p>
      <w:pPr>
        <w:spacing w:line="200" w:lineRule="exact"/>
        <w:rPr>
          <w:rFonts w:ascii="宋体" w:hAnsi="宋体"/>
        </w:rPr>
      </w:pPr>
      <w:r>
        <w:rPr>
          <w:rFonts w:ascii="宋体" w:hAnsi="宋体"/>
        </w:rPr>
        <w:br w:type="page"/>
      </w:r>
    </w:p>
    <w:p>
      <w:pPr>
        <w:pStyle w:val="3"/>
        <w:spacing w:line="360" w:lineRule="auto"/>
        <w:jc w:val="center"/>
        <w:rPr>
          <w:rFonts w:ascii="宋体" w:hAnsi="宋体"/>
          <w:snapToGrid w:val="0"/>
          <w:kern w:val="0"/>
        </w:rPr>
      </w:pPr>
      <w:bookmarkStart w:id="11" w:name="_Toc430530415"/>
      <w:bookmarkStart w:id="12" w:name="_Toc277082535"/>
      <w:bookmarkStart w:id="13" w:name="_Toc224103298"/>
      <w:bookmarkStart w:id="14" w:name="_Toc8097"/>
      <w:bookmarkStart w:id="15" w:name="_Toc287607727"/>
      <w:bookmarkStart w:id="16" w:name="_Toc509218691"/>
      <w:bookmarkStart w:id="17" w:name="_Toc287620666"/>
      <w:bookmarkStart w:id="18" w:name="_Toc5426"/>
      <w:bookmarkStart w:id="19" w:name="_Toc1356"/>
      <w:r>
        <w:rPr>
          <w:rFonts w:ascii="宋体" w:hAnsi="宋体"/>
          <w:snapToGrid w:val="0"/>
          <w:kern w:val="0"/>
        </w:rPr>
        <w:t>第一章  招标公告（</w:t>
      </w:r>
      <w:bookmarkEnd w:id="11"/>
      <w:bookmarkEnd w:id="12"/>
      <w:bookmarkEnd w:id="13"/>
      <w:bookmarkEnd w:id="14"/>
      <w:bookmarkEnd w:id="15"/>
      <w:bookmarkEnd w:id="16"/>
      <w:bookmarkEnd w:id="17"/>
      <w:r>
        <w:rPr>
          <w:rFonts w:hint="eastAsia" w:ascii="宋体" w:hAnsi="宋体"/>
          <w:snapToGrid w:val="0"/>
          <w:kern w:val="0"/>
        </w:rPr>
        <w:t>适用于公开招标）</w:t>
      </w:r>
      <w:bookmarkEnd w:id="18"/>
      <w:bookmarkEnd w:id="19"/>
    </w:p>
    <w:p>
      <w:pPr>
        <w:pageBreakBefore w:val="0"/>
        <w:widowControl w:val="0"/>
        <w:kinsoku/>
        <w:wordWrap/>
        <w:overflowPunct/>
        <w:topLinePunct w:val="0"/>
        <w:autoSpaceDE w:val="0"/>
        <w:autoSpaceDN w:val="0"/>
        <w:bidi w:val="0"/>
        <w:adjustRightInd w:val="0"/>
        <w:snapToGrid w:val="0"/>
        <w:spacing w:line="360" w:lineRule="auto"/>
        <w:jc w:val="center"/>
        <w:textAlignment w:val="auto"/>
        <w:rPr>
          <w:rFonts w:ascii="宋体" w:hAnsi="宋体"/>
          <w:snapToGrid w:val="0"/>
          <w:kern w:val="0"/>
          <w:sz w:val="21"/>
          <w:szCs w:val="21"/>
        </w:rPr>
      </w:pPr>
      <w:r>
        <w:rPr>
          <w:rFonts w:ascii="宋体" w:hAnsi="宋体"/>
          <w:snapToGrid w:val="0"/>
          <w:kern w:val="0"/>
          <w:sz w:val="21"/>
          <w:szCs w:val="21"/>
          <w:u w:val="single"/>
        </w:rPr>
        <w:t xml:space="preserve">                 （项目名称）</w:t>
      </w:r>
      <w:r>
        <w:rPr>
          <w:rFonts w:ascii="宋体" w:hAnsi="宋体"/>
          <w:snapToGrid w:val="0"/>
          <w:w w:val="99"/>
          <w:kern w:val="0"/>
          <w:sz w:val="21"/>
          <w:szCs w:val="21"/>
        </w:rPr>
        <w:t>招标公告</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20" w:name="_Toc200359238"/>
      <w:bookmarkStart w:id="21" w:name="_Toc430530416"/>
      <w:bookmarkStart w:id="22" w:name="_Toc13477"/>
      <w:bookmarkStart w:id="23" w:name="_Toc224103299"/>
      <w:bookmarkStart w:id="24" w:name="_Toc277082536"/>
      <w:bookmarkStart w:id="25" w:name="_Toc509218692"/>
      <w:bookmarkStart w:id="26" w:name="_Toc29926"/>
      <w:bookmarkStart w:id="27" w:name="_Toc287607728"/>
      <w:bookmarkStart w:id="28" w:name="_Toc200359427"/>
      <w:bookmarkStart w:id="29" w:name="_Toc287620667"/>
      <w:bookmarkStart w:id="30" w:name="_Toc26615"/>
      <w:r>
        <w:rPr>
          <w:rFonts w:ascii="宋体" w:hAnsi="宋体"/>
          <w:snapToGrid w:val="0"/>
          <w:sz w:val="21"/>
          <w:szCs w:val="21"/>
        </w:rPr>
        <w:t xml:space="preserve">1. </w:t>
      </w:r>
      <w:r>
        <w:rPr>
          <w:rFonts w:hint="eastAsia" w:ascii="宋体" w:hAnsi="宋体"/>
          <w:snapToGrid w:val="0"/>
          <w:sz w:val="21"/>
          <w:szCs w:val="21"/>
        </w:rPr>
        <w:t xml:space="preserve"> </w:t>
      </w:r>
      <w:r>
        <w:rPr>
          <w:rFonts w:ascii="宋体" w:hAnsi="宋体"/>
          <w:snapToGrid w:val="0"/>
          <w:sz w:val="21"/>
          <w:szCs w:val="21"/>
        </w:rPr>
        <w:t>招标条件</w:t>
      </w:r>
      <w:bookmarkEnd w:id="20"/>
      <w:bookmarkEnd w:id="21"/>
      <w:bookmarkEnd w:id="22"/>
      <w:bookmarkEnd w:id="23"/>
      <w:bookmarkEnd w:id="24"/>
      <w:bookmarkEnd w:id="25"/>
      <w:bookmarkEnd w:id="26"/>
      <w:bookmarkEnd w:id="27"/>
      <w:bookmarkEnd w:id="28"/>
      <w:bookmarkEnd w:id="29"/>
      <w:bookmarkEnd w:id="30"/>
    </w:p>
    <w:p>
      <w:pPr>
        <w:pageBreakBefore w:val="0"/>
        <w:widowControl w:val="0"/>
        <w:tabs>
          <w:tab w:val="left" w:pos="3315"/>
          <w:tab w:val="left" w:pos="3390"/>
          <w:tab w:val="left" w:pos="6120"/>
          <w:tab w:val="left" w:pos="8850"/>
        </w:tabs>
        <w:kinsoku/>
        <w:wordWrap/>
        <w:overflowPunct/>
        <w:topLinePunct w:val="0"/>
        <w:autoSpaceDE w:val="0"/>
        <w:autoSpaceDN w:val="0"/>
        <w:bidi w:val="0"/>
        <w:adjustRightInd w:val="0"/>
        <w:snapToGrid w:val="0"/>
        <w:spacing w:line="360" w:lineRule="auto"/>
        <w:ind w:firstLine="420"/>
        <w:jc w:val="distribute"/>
        <w:textAlignment w:val="auto"/>
        <w:rPr>
          <w:rFonts w:ascii="宋体" w:hAnsi="宋体"/>
          <w:snapToGrid w:val="0"/>
          <w:kern w:val="0"/>
          <w:sz w:val="21"/>
          <w:szCs w:val="21"/>
        </w:rPr>
      </w:pPr>
      <w:r>
        <w:rPr>
          <w:rFonts w:ascii="宋体" w:hAnsi="宋体"/>
          <w:snapToGrid w:val="0"/>
          <w:kern w:val="0"/>
          <w:sz w:val="21"/>
          <w:szCs w:val="21"/>
        </w:rPr>
        <w:t>本招标项目</w:t>
      </w:r>
      <w:r>
        <w:rPr>
          <w:rFonts w:hint="eastAsia" w:ascii="宋体" w:hAnsi="宋体"/>
          <w:snapToGrid w:val="0"/>
          <w:kern w:val="0"/>
          <w:sz w:val="21"/>
          <w:szCs w:val="21"/>
          <w:u w:val="single"/>
        </w:rPr>
        <w:t xml:space="preserve">                 </w:t>
      </w:r>
      <w:r>
        <w:rPr>
          <w:rFonts w:ascii="宋体" w:hAnsi="宋体"/>
          <w:snapToGrid w:val="0"/>
          <w:kern w:val="0"/>
          <w:sz w:val="21"/>
          <w:szCs w:val="21"/>
          <w:u w:val="single"/>
        </w:rPr>
        <w:t>（项目名称）</w:t>
      </w:r>
      <w:r>
        <w:rPr>
          <w:rFonts w:ascii="宋体" w:hAnsi="宋体"/>
          <w:snapToGrid w:val="0"/>
          <w:kern w:val="0"/>
          <w:sz w:val="21"/>
          <w:szCs w:val="21"/>
        </w:rPr>
        <w:t>已由</w:t>
      </w:r>
      <w:r>
        <w:rPr>
          <w:rFonts w:hint="eastAsia" w:ascii="宋体" w:hAnsi="宋体"/>
          <w:snapToGrid w:val="0"/>
          <w:kern w:val="0"/>
          <w:sz w:val="21"/>
          <w:szCs w:val="21"/>
          <w:u w:val="single"/>
        </w:rPr>
        <w:t xml:space="preserve">                 </w:t>
      </w:r>
      <w:r>
        <w:rPr>
          <w:rFonts w:ascii="宋体" w:hAnsi="宋体"/>
          <w:snapToGrid w:val="0"/>
          <w:kern w:val="0"/>
          <w:sz w:val="21"/>
          <w:szCs w:val="21"/>
          <w:u w:val="single"/>
        </w:rPr>
        <w:t>（项目审批、核准或备案机关名称）</w:t>
      </w:r>
      <w:r>
        <w:rPr>
          <w:rFonts w:ascii="宋体" w:hAnsi="宋体"/>
          <w:snapToGrid w:val="0"/>
          <w:kern w:val="0"/>
          <w:sz w:val="21"/>
          <w:szCs w:val="21"/>
        </w:rPr>
        <w:t>以</w:t>
      </w:r>
      <w:r>
        <w:rPr>
          <w:rFonts w:hint="eastAsia" w:ascii="宋体" w:hAnsi="宋体"/>
          <w:snapToGrid w:val="0"/>
          <w:kern w:val="0"/>
          <w:sz w:val="21"/>
          <w:szCs w:val="21"/>
          <w:u w:val="single"/>
        </w:rPr>
        <w:t xml:space="preserve">                 </w:t>
      </w:r>
      <w:r>
        <w:rPr>
          <w:rFonts w:ascii="宋体" w:hAnsi="宋体"/>
          <w:snapToGrid w:val="0"/>
          <w:kern w:val="0"/>
          <w:sz w:val="21"/>
          <w:szCs w:val="21"/>
          <w:u w:val="single"/>
        </w:rPr>
        <w:t>（批文名称及编号）</w:t>
      </w:r>
      <w:r>
        <w:rPr>
          <w:rFonts w:ascii="宋体" w:hAnsi="宋体"/>
          <w:snapToGrid w:val="0"/>
          <w:kern w:val="0"/>
          <w:sz w:val="21"/>
          <w:szCs w:val="21"/>
        </w:rPr>
        <w:t>批准建设，项目业主为</w:t>
      </w:r>
      <w:r>
        <w:rPr>
          <w:rFonts w:hint="eastAsia" w:ascii="宋体" w:hAnsi="宋体"/>
          <w:snapToGrid w:val="0"/>
          <w:kern w:val="0"/>
          <w:sz w:val="21"/>
          <w:szCs w:val="21"/>
          <w:u w:val="single"/>
        </w:rPr>
        <w:t xml:space="preserve">                 </w:t>
      </w:r>
      <w:r>
        <w:rPr>
          <w:rFonts w:ascii="宋体" w:hAnsi="宋体"/>
          <w:snapToGrid w:val="0"/>
          <w:kern w:val="0"/>
          <w:sz w:val="21"/>
          <w:szCs w:val="21"/>
        </w:rPr>
        <w:t>，</w:t>
      </w:r>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60" w:lineRule="auto"/>
        <w:textAlignment w:val="auto"/>
        <w:rPr>
          <w:rFonts w:ascii="宋体" w:hAnsi="宋体"/>
          <w:snapToGrid w:val="0"/>
          <w:kern w:val="0"/>
          <w:sz w:val="21"/>
          <w:szCs w:val="21"/>
        </w:rPr>
      </w:pPr>
      <w:r>
        <w:rPr>
          <w:rFonts w:ascii="宋体" w:hAnsi="宋体"/>
          <w:snapToGrid w:val="0"/>
          <w:kern w:val="0"/>
          <w:sz w:val="21"/>
          <w:szCs w:val="21"/>
        </w:rPr>
        <w:t>建设资金来自</w:t>
      </w:r>
      <w:r>
        <w:rPr>
          <w:rFonts w:hint="eastAsia" w:ascii="宋体" w:hAnsi="宋体"/>
          <w:snapToGrid w:val="0"/>
          <w:kern w:val="0"/>
          <w:sz w:val="21"/>
          <w:szCs w:val="21"/>
          <w:u w:val="single"/>
        </w:rPr>
        <w:t xml:space="preserve">                 </w:t>
      </w:r>
      <w:r>
        <w:rPr>
          <w:rFonts w:ascii="宋体" w:hAnsi="宋体"/>
          <w:snapToGrid w:val="0"/>
          <w:kern w:val="0"/>
          <w:sz w:val="21"/>
          <w:szCs w:val="21"/>
          <w:u w:val="single"/>
        </w:rPr>
        <w:t>（资金来源）</w:t>
      </w:r>
      <w:r>
        <w:rPr>
          <w:rFonts w:ascii="宋体" w:hAnsi="宋体"/>
          <w:snapToGrid w:val="0"/>
          <w:kern w:val="0"/>
          <w:sz w:val="21"/>
          <w:szCs w:val="21"/>
        </w:rPr>
        <w:t>，项目出资比例为</w:t>
      </w:r>
      <w:r>
        <w:rPr>
          <w:rFonts w:hint="eastAsia" w:ascii="宋体" w:hAnsi="宋体"/>
          <w:snapToGrid w:val="0"/>
          <w:kern w:val="0"/>
          <w:sz w:val="21"/>
          <w:szCs w:val="21"/>
          <w:u w:val="single"/>
        </w:rPr>
        <w:t xml:space="preserve">                 </w:t>
      </w:r>
      <w:r>
        <w:rPr>
          <w:rFonts w:ascii="宋体" w:hAnsi="宋体"/>
          <w:snapToGrid w:val="0"/>
          <w:kern w:val="0"/>
          <w:sz w:val="21"/>
          <w:szCs w:val="21"/>
        </w:rPr>
        <w:t>，招标人</w:t>
      </w:r>
      <w:r>
        <w:rPr>
          <w:rFonts w:ascii="宋体" w:hAnsi="宋体"/>
          <w:snapToGrid w:val="0"/>
          <w:kern w:val="0"/>
          <w:position w:val="-2"/>
          <w:sz w:val="21"/>
          <w:szCs w:val="21"/>
        </w:rPr>
        <w:t>为</w:t>
      </w:r>
      <w:r>
        <w:rPr>
          <w:rFonts w:hint="eastAsia" w:ascii="宋体" w:hAnsi="宋体"/>
          <w:snapToGrid w:val="0"/>
          <w:kern w:val="0"/>
          <w:sz w:val="21"/>
          <w:szCs w:val="21"/>
          <w:u w:val="single"/>
        </w:rPr>
        <w:t xml:space="preserve">                 </w:t>
      </w:r>
      <w:r>
        <w:rPr>
          <w:rFonts w:ascii="宋体" w:hAnsi="宋体"/>
          <w:snapToGrid w:val="0"/>
          <w:kern w:val="0"/>
          <w:position w:val="-2"/>
          <w:sz w:val="21"/>
          <w:szCs w:val="21"/>
        </w:rPr>
        <w:t>。项目已具备招标条件，现对</w:t>
      </w:r>
      <w:r>
        <w:rPr>
          <w:rFonts w:hint="eastAsia" w:ascii="宋体" w:hAnsi="宋体"/>
          <w:snapToGrid w:val="0"/>
          <w:kern w:val="0"/>
          <w:position w:val="-2"/>
          <w:sz w:val="21"/>
          <w:szCs w:val="21"/>
          <w:u w:val="single"/>
        </w:rPr>
        <w:t>该项目的施工</w:t>
      </w:r>
      <w:r>
        <w:rPr>
          <w:rFonts w:ascii="宋体" w:hAnsi="宋体"/>
          <w:snapToGrid w:val="0"/>
          <w:kern w:val="0"/>
          <w:position w:val="-2"/>
          <w:sz w:val="21"/>
          <w:szCs w:val="21"/>
        </w:rPr>
        <w:t>进行公开招标。</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31" w:name="_Toc287607729"/>
      <w:bookmarkStart w:id="32" w:name="_Toc10401"/>
      <w:bookmarkStart w:id="33" w:name="_Toc287620668"/>
      <w:bookmarkStart w:id="34" w:name="_Toc430530417"/>
      <w:bookmarkStart w:id="35" w:name="_Toc29813"/>
      <w:bookmarkStart w:id="36" w:name="_Toc277082537"/>
      <w:bookmarkStart w:id="37" w:name="_Toc200359428"/>
      <w:bookmarkStart w:id="38" w:name="_Toc15168"/>
      <w:bookmarkStart w:id="39" w:name="_Toc224103300"/>
      <w:bookmarkStart w:id="40" w:name="_Toc200359239"/>
      <w:bookmarkStart w:id="41" w:name="_Toc509218693"/>
      <w:r>
        <w:rPr>
          <w:rFonts w:ascii="宋体" w:hAnsi="宋体"/>
          <w:snapToGrid w:val="0"/>
          <w:sz w:val="21"/>
          <w:szCs w:val="21"/>
        </w:rPr>
        <w:t>2.</w:t>
      </w:r>
      <w:r>
        <w:rPr>
          <w:rFonts w:hint="eastAsia" w:ascii="宋体" w:hAnsi="宋体"/>
          <w:snapToGrid w:val="0"/>
          <w:sz w:val="21"/>
          <w:szCs w:val="21"/>
        </w:rPr>
        <w:t xml:space="preserve"> </w:t>
      </w:r>
      <w:r>
        <w:rPr>
          <w:rFonts w:ascii="宋体" w:hAnsi="宋体"/>
          <w:snapToGrid w:val="0"/>
          <w:sz w:val="21"/>
          <w:szCs w:val="21"/>
        </w:rPr>
        <w:t xml:space="preserve"> 项目概况与招标范围</w:t>
      </w:r>
      <w:bookmarkEnd w:id="31"/>
      <w:bookmarkEnd w:id="32"/>
      <w:bookmarkEnd w:id="33"/>
      <w:bookmarkEnd w:id="34"/>
      <w:bookmarkEnd w:id="35"/>
      <w:bookmarkEnd w:id="36"/>
      <w:bookmarkEnd w:id="37"/>
      <w:bookmarkEnd w:id="38"/>
      <w:bookmarkEnd w:id="39"/>
      <w:bookmarkEnd w:id="40"/>
      <w:bookmarkEnd w:id="41"/>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hint="eastAsia" w:ascii="宋体" w:hAnsi="宋体"/>
          <w:snapToGrid w:val="0"/>
          <w:kern w:val="0"/>
          <w:sz w:val="21"/>
          <w:szCs w:val="21"/>
        </w:rPr>
        <w:t>2.1 建设地点：</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hint="eastAsia" w:ascii="宋体" w:hAnsi="宋体"/>
          <w:snapToGrid w:val="0"/>
          <w:kern w:val="0"/>
          <w:sz w:val="21"/>
          <w:szCs w:val="21"/>
        </w:rPr>
        <w:t>2.2 项目概况与建设规模：</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2" w:firstLineChars="200"/>
        <w:jc w:val="left"/>
        <w:textAlignment w:val="auto"/>
        <w:rPr>
          <w:rFonts w:ascii="宋体" w:hAnsi="宋体" w:cs="宋体"/>
          <w:b/>
          <w:bCs/>
          <w:i/>
          <w:iCs/>
          <w:sz w:val="21"/>
          <w:szCs w:val="21"/>
        </w:rPr>
      </w:pPr>
      <w:r>
        <w:rPr>
          <w:rFonts w:hint="eastAsia" w:ascii="宋体" w:hAnsi="宋体" w:cs="宋体"/>
          <w:b/>
          <w:bCs/>
          <w:i/>
          <w:iCs/>
          <w:sz w:val="21"/>
          <w:szCs w:val="21"/>
        </w:rPr>
        <w:t>[提示：若设置投标人业绩资质条件，项目建设规模应体现与业绩对应的地质灾害（包括但不限于：山体崩塌、滑坡、泥石流、地面塌陷、地裂缝、地面沉降等与地质作用有关的灾害）分级，根据施工经费、勘察经费、设计经费，灾情和险情的分级。]</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hint="eastAsia" w:ascii="宋体" w:hAnsi="宋体"/>
          <w:snapToGrid w:val="0"/>
          <w:kern w:val="0"/>
          <w:sz w:val="21"/>
          <w:szCs w:val="21"/>
        </w:rPr>
        <w:t>2.3 □本次招标项目工程总投资额：</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840" w:firstLineChars="400"/>
        <w:jc w:val="left"/>
        <w:textAlignment w:val="auto"/>
        <w:rPr>
          <w:rFonts w:ascii="宋体" w:hAnsi="宋体"/>
          <w:snapToGrid w:val="0"/>
          <w:kern w:val="0"/>
          <w:sz w:val="21"/>
          <w:szCs w:val="21"/>
          <w:u w:val="single"/>
        </w:rPr>
      </w:pPr>
      <w:r>
        <w:rPr>
          <w:rFonts w:hint="eastAsia" w:ascii="宋体" w:hAnsi="宋体"/>
          <w:snapToGrid w:val="0"/>
          <w:kern w:val="0"/>
          <w:sz w:val="21"/>
          <w:szCs w:val="21"/>
        </w:rPr>
        <w:t>□本次招标项目合同估算金额：</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hint="eastAsia" w:ascii="宋体" w:hAnsi="宋体"/>
          <w:snapToGrid w:val="0"/>
          <w:kern w:val="0"/>
          <w:sz w:val="21"/>
          <w:szCs w:val="21"/>
        </w:rPr>
        <w:t>2.4 招标范围：</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hint="eastAsia" w:ascii="宋体" w:hAnsi="宋体"/>
          <w:i/>
          <w:snapToGrid w:val="0"/>
          <w:kern w:val="0"/>
          <w:sz w:val="21"/>
          <w:szCs w:val="21"/>
        </w:rPr>
        <w:t>[提示：</w:t>
      </w:r>
      <w:r>
        <w:rPr>
          <w:rFonts w:ascii="宋体" w:hAnsi="宋体"/>
          <w:i/>
          <w:sz w:val="21"/>
          <w:szCs w:val="21"/>
        </w:rPr>
        <w:t>招标范围应准确明了，</w:t>
      </w:r>
      <w:r>
        <w:rPr>
          <w:rFonts w:hint="eastAsia" w:ascii="宋体" w:hAnsi="宋体"/>
          <w:i/>
          <w:sz w:val="21"/>
          <w:szCs w:val="21"/>
        </w:rPr>
        <w:t>按照项目审批、核准、备案文件</w:t>
      </w:r>
      <w:r>
        <w:rPr>
          <w:rFonts w:ascii="宋体" w:hAnsi="宋体"/>
          <w:i/>
          <w:sz w:val="21"/>
          <w:szCs w:val="21"/>
        </w:rPr>
        <w:t>采用工程专业术语</w:t>
      </w:r>
      <w:r>
        <w:rPr>
          <w:rFonts w:hint="eastAsia" w:ascii="宋体" w:hAnsi="宋体"/>
          <w:i/>
          <w:sz w:val="21"/>
          <w:szCs w:val="21"/>
        </w:rPr>
        <w:t>进行</w:t>
      </w:r>
      <w:r>
        <w:rPr>
          <w:rFonts w:ascii="宋体" w:hAnsi="宋体"/>
          <w:i/>
          <w:sz w:val="21"/>
          <w:szCs w:val="21"/>
        </w:rPr>
        <w:t>填写</w:t>
      </w:r>
      <w:r>
        <w:rPr>
          <w:rFonts w:hint="eastAsia" w:ascii="宋体" w:hAnsi="宋体"/>
          <w:i/>
          <w:sz w:val="21"/>
          <w:szCs w:val="21"/>
        </w:rPr>
        <w:t>。</w:t>
      </w:r>
      <w:r>
        <w:rPr>
          <w:rFonts w:hint="eastAsia" w:ascii="宋体" w:hAnsi="宋体"/>
          <w:i/>
          <w:snapToGrid w:val="0"/>
          <w:kern w:val="0"/>
          <w:sz w:val="21"/>
          <w:szCs w:val="21"/>
        </w:rPr>
        <w:t>]</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hint="eastAsia" w:ascii="宋体" w:hAnsi="宋体"/>
          <w:snapToGrid w:val="0"/>
          <w:kern w:val="0"/>
          <w:sz w:val="21"/>
          <w:szCs w:val="21"/>
        </w:rPr>
        <w:t>2.5 工期要求：</w:t>
      </w:r>
      <w:r>
        <w:rPr>
          <w:rFonts w:hint="eastAsia" w:ascii="宋体" w:hAnsi="宋体"/>
          <w:snapToGrid w:val="0"/>
          <w:kern w:val="0"/>
          <w:sz w:val="21"/>
          <w:szCs w:val="21"/>
          <w:u w:val="single"/>
        </w:rPr>
        <w:t xml:space="preserve">        日历天</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hint="eastAsia" w:ascii="宋体" w:hAnsi="宋体"/>
          <w:snapToGrid w:val="0"/>
          <w:kern w:val="0"/>
          <w:sz w:val="21"/>
          <w:szCs w:val="21"/>
        </w:rPr>
        <w:t xml:space="preserve">    缺陷责任期要求：</w:t>
      </w:r>
      <w:r>
        <w:rPr>
          <w:rFonts w:hint="eastAsia" w:ascii="宋体" w:hAnsi="宋体"/>
          <w:snapToGrid w:val="0"/>
          <w:kern w:val="0"/>
          <w:sz w:val="21"/>
          <w:szCs w:val="21"/>
          <w:u w:val="single"/>
        </w:rPr>
        <w:t xml:space="preserve">        个月</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hint="eastAsia" w:ascii="宋体" w:hAnsi="宋体"/>
          <w:snapToGrid w:val="0"/>
          <w:kern w:val="0"/>
          <w:sz w:val="21"/>
          <w:szCs w:val="21"/>
        </w:rPr>
        <w:t>2.6 标段划分（如有）：</w:t>
      </w:r>
      <w:r>
        <w:rPr>
          <w:rFonts w:hint="eastAsia" w:ascii="宋体" w:hAnsi="宋体"/>
          <w:snapToGrid w:val="0"/>
          <w:kern w:val="0"/>
          <w:sz w:val="21"/>
          <w:szCs w:val="21"/>
          <w:u w:val="single"/>
        </w:rPr>
        <w:t xml:space="preserve">        </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hint="eastAsia" w:ascii="宋体" w:hAnsi="宋体"/>
          <w:snapToGrid w:val="0"/>
          <w:kern w:val="0"/>
          <w:sz w:val="21"/>
          <w:szCs w:val="21"/>
        </w:rPr>
        <w:t>2.7 其他：</w:t>
      </w:r>
      <w:r>
        <w:rPr>
          <w:rFonts w:hint="eastAsia" w:ascii="宋体" w:hAnsi="宋体"/>
          <w:snapToGrid w:val="0"/>
          <w:kern w:val="0"/>
          <w:sz w:val="21"/>
          <w:szCs w:val="21"/>
          <w:u w:val="single"/>
        </w:rPr>
        <w:t xml:space="preserve">        </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42" w:name="_Toc200359429"/>
      <w:bookmarkStart w:id="43" w:name="_Toc430530418"/>
      <w:bookmarkStart w:id="44" w:name="_Toc277082538"/>
      <w:bookmarkStart w:id="45" w:name="_Toc9184"/>
      <w:bookmarkStart w:id="46" w:name="_Toc509218694"/>
      <w:bookmarkStart w:id="47" w:name="_Toc12952"/>
      <w:bookmarkStart w:id="48" w:name="_Toc287607730"/>
      <w:bookmarkStart w:id="49" w:name="_Toc1860"/>
      <w:bookmarkStart w:id="50" w:name="_Toc200359240"/>
      <w:bookmarkStart w:id="51" w:name="_Toc224103301"/>
      <w:bookmarkStart w:id="52" w:name="_Toc287620669"/>
      <w:r>
        <w:rPr>
          <w:rFonts w:ascii="宋体" w:hAnsi="宋体"/>
          <w:snapToGrid w:val="0"/>
          <w:sz w:val="21"/>
          <w:szCs w:val="21"/>
        </w:rPr>
        <w:t xml:space="preserve">3. </w:t>
      </w:r>
      <w:r>
        <w:rPr>
          <w:rFonts w:hint="eastAsia" w:ascii="宋体" w:hAnsi="宋体"/>
          <w:snapToGrid w:val="0"/>
          <w:sz w:val="21"/>
          <w:szCs w:val="21"/>
        </w:rPr>
        <w:t xml:space="preserve"> </w:t>
      </w:r>
      <w:r>
        <w:rPr>
          <w:rFonts w:ascii="宋体" w:hAnsi="宋体"/>
          <w:snapToGrid w:val="0"/>
          <w:sz w:val="21"/>
          <w:szCs w:val="21"/>
        </w:rPr>
        <w:t>投标人资格要求</w:t>
      </w:r>
      <w:bookmarkEnd w:id="42"/>
      <w:bookmarkEnd w:id="43"/>
      <w:bookmarkEnd w:id="44"/>
      <w:bookmarkEnd w:id="45"/>
      <w:bookmarkEnd w:id="46"/>
      <w:bookmarkEnd w:id="47"/>
      <w:bookmarkEnd w:id="48"/>
      <w:bookmarkEnd w:id="49"/>
      <w:bookmarkEnd w:id="50"/>
      <w:bookmarkEnd w:id="51"/>
      <w:bookmarkEnd w:id="52"/>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3.1  本次招标要求投标人须具备</w:t>
      </w:r>
      <w:r>
        <w:rPr>
          <w:rFonts w:hint="eastAsia" w:ascii="宋体" w:hAnsi="宋体"/>
          <w:snapToGrid w:val="0"/>
          <w:kern w:val="0"/>
          <w:sz w:val="21"/>
          <w:szCs w:val="21"/>
        </w:rPr>
        <w:t>以下条件：</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hint="eastAsia" w:ascii="宋体" w:hAnsi="宋体"/>
          <w:snapToGrid w:val="0"/>
          <w:kern w:val="0"/>
          <w:sz w:val="21"/>
          <w:szCs w:val="21"/>
        </w:rPr>
        <w:t>3.1.1 本次招标要求投标人具备的资质条件：</w:t>
      </w:r>
      <w:r>
        <w:rPr>
          <w:rFonts w:hint="eastAsia" w:ascii="宋体" w:hAnsi="宋体"/>
          <w:snapToGrid w:val="0"/>
          <w:kern w:val="0"/>
          <w:sz w:val="21"/>
          <w:szCs w:val="21"/>
          <w:u w:val="single"/>
        </w:rPr>
        <w:t xml:space="preserve">                   </w:t>
      </w:r>
      <w:r>
        <w:rPr>
          <w:rFonts w:hint="eastAsia" w:ascii="宋体" w:hAnsi="宋体"/>
          <w:snapToGrid w:val="0"/>
          <w:kern w:val="0"/>
          <w:sz w:val="21"/>
          <w:szCs w:val="21"/>
        </w:rPr>
        <w:t>；</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2" w:firstLineChars="200"/>
        <w:jc w:val="left"/>
        <w:textAlignment w:val="auto"/>
        <w:rPr>
          <w:rFonts w:ascii="宋体" w:hAnsi="宋体" w:cs="宋体"/>
          <w:b/>
          <w:bCs/>
          <w:i/>
          <w:iCs/>
          <w:sz w:val="21"/>
          <w:szCs w:val="21"/>
        </w:rPr>
      </w:pPr>
      <w:r>
        <w:rPr>
          <w:rFonts w:hint="eastAsia" w:ascii="宋体" w:hAnsi="宋体" w:cs="宋体"/>
          <w:b/>
          <w:bCs/>
          <w:i/>
          <w:iCs/>
          <w:sz w:val="21"/>
          <w:szCs w:val="21"/>
        </w:rPr>
        <w:t>[提示：资质的设定应执行</w:t>
      </w:r>
      <w:r>
        <w:rPr>
          <w:rFonts w:ascii="宋体" w:hAnsi="宋体" w:cs="宋体"/>
          <w:b/>
          <w:bCs/>
          <w:i/>
          <w:iCs/>
          <w:sz w:val="21"/>
          <w:szCs w:val="21"/>
        </w:rPr>
        <w:t>《地质灾害防治理单位资质管理办法》《中华人民共和国自然资源部令第</w:t>
      </w:r>
      <w:r>
        <w:rPr>
          <w:rFonts w:hint="eastAsia" w:ascii="宋体" w:hAnsi="宋体" w:cs="宋体"/>
          <w:b/>
          <w:bCs/>
          <w:i/>
          <w:iCs/>
          <w:sz w:val="21"/>
          <w:szCs w:val="21"/>
        </w:rPr>
        <w:t>8</w:t>
      </w:r>
      <w:r>
        <w:rPr>
          <w:rFonts w:ascii="宋体" w:hAnsi="宋体" w:cs="宋体"/>
          <w:b/>
          <w:bCs/>
          <w:i/>
          <w:iCs/>
          <w:sz w:val="21"/>
          <w:szCs w:val="21"/>
        </w:rPr>
        <w:t>号》</w:t>
      </w:r>
    </w:p>
    <w:p>
      <w:pPr>
        <w:pageBreakBefore w:val="0"/>
        <w:widowControl w:val="0"/>
        <w:tabs>
          <w:tab w:val="left" w:pos="3840"/>
          <w:tab w:val="left" w:pos="5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z w:val="21"/>
          <w:szCs w:val="21"/>
        </w:rPr>
      </w:pPr>
      <w:r>
        <w:rPr>
          <w:rFonts w:hint="eastAsia" w:ascii="宋体" w:hAnsi="宋体"/>
          <w:snapToGrid w:val="0"/>
          <w:kern w:val="0"/>
          <w:sz w:val="21"/>
          <w:szCs w:val="21"/>
        </w:rPr>
        <w:t>3.1.</w:t>
      </w:r>
      <w:r>
        <w:rPr>
          <w:rFonts w:hint="eastAsia" w:ascii="宋体" w:hAnsi="宋体"/>
          <w:snapToGrid w:val="0"/>
          <w:kern w:val="0"/>
          <w:sz w:val="21"/>
          <w:szCs w:val="21"/>
          <w:lang w:val="en-US" w:eastAsia="zh-CN"/>
        </w:rPr>
        <w:t>2</w:t>
      </w:r>
      <w:r>
        <w:rPr>
          <w:rFonts w:hint="eastAsia" w:ascii="宋体" w:hAnsi="宋体"/>
          <w:snapToGrid w:val="0"/>
          <w:kern w:val="0"/>
          <w:sz w:val="21"/>
          <w:szCs w:val="21"/>
        </w:rPr>
        <w:t xml:space="preserve"> 投标人还应在人员、</w:t>
      </w:r>
      <w:r>
        <w:rPr>
          <w:rFonts w:hint="eastAsia" w:ascii="宋体" w:hAnsi="宋体"/>
          <w:snapToGrid w:val="0"/>
          <w:kern w:val="0"/>
          <w:sz w:val="21"/>
          <w:szCs w:val="21"/>
          <w:lang w:val="en-US" w:eastAsia="zh-CN"/>
        </w:rPr>
        <w:t>业绩、</w:t>
      </w:r>
      <w:r>
        <w:rPr>
          <w:rFonts w:hint="eastAsia" w:ascii="宋体" w:hAnsi="宋体"/>
          <w:snapToGrid w:val="0"/>
          <w:kern w:val="0"/>
          <w:sz w:val="21"/>
          <w:szCs w:val="21"/>
        </w:rPr>
        <w:t>设备、资金等方面具有相应的施工能力，详见招标文件第二章投标人须知前附表第1.4.1项内容。</w:t>
      </w:r>
    </w:p>
    <w:p>
      <w:pPr>
        <w:pageBreakBefore w:val="0"/>
        <w:widowControl w:val="0"/>
        <w:tabs>
          <w:tab w:val="left" w:pos="3045"/>
          <w:tab w:val="left" w:pos="8310"/>
        </w:tabs>
        <w:kinsoku/>
        <w:wordWrap/>
        <w:overflowPunct/>
        <w:topLinePunct w:val="0"/>
        <w:autoSpaceDE w:val="0"/>
        <w:autoSpaceDN w:val="0"/>
        <w:bidi w:val="0"/>
        <w:adjustRightInd w:val="0"/>
        <w:snapToGrid w:val="0"/>
        <w:spacing w:line="360" w:lineRule="auto"/>
        <w:ind w:firstLine="420" w:firstLineChars="200"/>
        <w:textAlignment w:val="auto"/>
        <w:rPr>
          <w:rFonts w:ascii="宋体" w:hAnsi="宋体"/>
          <w:snapToGrid w:val="0"/>
          <w:kern w:val="0"/>
          <w:sz w:val="21"/>
          <w:szCs w:val="21"/>
        </w:rPr>
      </w:pPr>
      <w:r>
        <w:rPr>
          <w:rFonts w:ascii="宋体" w:hAnsi="宋体"/>
          <w:snapToGrid w:val="0"/>
          <w:kern w:val="0"/>
          <w:sz w:val="21"/>
          <w:szCs w:val="21"/>
        </w:rPr>
        <w:t>3.2  本次招标</w:t>
      </w:r>
      <w:r>
        <w:rPr>
          <w:rFonts w:hint="eastAsia" w:ascii="宋体" w:hAnsi="宋体"/>
          <w:snapToGrid w:val="0"/>
          <w:kern w:val="0"/>
          <w:sz w:val="21"/>
          <w:szCs w:val="21"/>
        </w:rPr>
        <w:t>□接受 □不接受</w:t>
      </w:r>
      <w:r>
        <w:rPr>
          <w:rFonts w:ascii="宋体" w:hAnsi="宋体"/>
          <w:snapToGrid w:val="0"/>
          <w:kern w:val="0"/>
          <w:sz w:val="21"/>
          <w:szCs w:val="21"/>
        </w:rPr>
        <w:t>联合体投标。联合体投标的，应满足下列要求：</w:t>
      </w:r>
      <w:r>
        <w:rPr>
          <w:rFonts w:hint="eastAsia" w:ascii="宋体" w:hAnsi="宋体"/>
          <w:snapToGrid w:val="0"/>
          <w:kern w:val="0"/>
          <w:sz w:val="21"/>
          <w:szCs w:val="21"/>
          <w:u w:val="single"/>
        </w:rPr>
        <w:t xml:space="preserve">                 </w:t>
      </w:r>
      <w:r>
        <w:rPr>
          <w:rFonts w:ascii="宋体" w:hAnsi="宋体"/>
          <w:snapToGrid w:val="0"/>
          <w:kern w:val="0"/>
          <w:sz w:val="21"/>
          <w:szCs w:val="21"/>
        </w:rPr>
        <w:t>。</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53" w:name="_Toc287607731"/>
      <w:bookmarkStart w:id="54" w:name="_Toc509218695"/>
      <w:bookmarkStart w:id="55" w:name="_Toc6062"/>
      <w:bookmarkStart w:id="56" w:name="_Toc224103302"/>
      <w:bookmarkStart w:id="57" w:name="_Toc24320"/>
      <w:bookmarkStart w:id="58" w:name="_Toc200359241"/>
      <w:bookmarkStart w:id="59" w:name="_Toc277082539"/>
      <w:bookmarkStart w:id="60" w:name="_Toc287620670"/>
      <w:bookmarkStart w:id="61" w:name="_Toc200359430"/>
      <w:bookmarkStart w:id="62" w:name="_Toc18119"/>
      <w:bookmarkStart w:id="63" w:name="_Toc430530419"/>
      <w:r>
        <w:rPr>
          <w:rFonts w:ascii="宋体" w:hAnsi="宋体"/>
          <w:snapToGrid w:val="0"/>
          <w:sz w:val="21"/>
          <w:szCs w:val="21"/>
        </w:rPr>
        <w:t xml:space="preserve">4. </w:t>
      </w:r>
      <w:r>
        <w:rPr>
          <w:rFonts w:hint="eastAsia" w:ascii="宋体" w:hAnsi="宋体"/>
          <w:snapToGrid w:val="0"/>
          <w:sz w:val="21"/>
          <w:szCs w:val="21"/>
        </w:rPr>
        <w:t xml:space="preserve"> </w:t>
      </w:r>
      <w:r>
        <w:rPr>
          <w:rFonts w:ascii="宋体" w:hAnsi="宋体"/>
          <w:snapToGrid w:val="0"/>
          <w:sz w:val="21"/>
          <w:szCs w:val="21"/>
        </w:rPr>
        <w:t>招标文件的获取</w:t>
      </w:r>
      <w:bookmarkEnd w:id="53"/>
      <w:bookmarkEnd w:id="54"/>
      <w:bookmarkEnd w:id="55"/>
      <w:bookmarkEnd w:id="56"/>
      <w:bookmarkEnd w:id="57"/>
      <w:bookmarkEnd w:id="58"/>
      <w:bookmarkEnd w:id="59"/>
      <w:bookmarkEnd w:id="60"/>
      <w:bookmarkEnd w:id="61"/>
      <w:bookmarkEnd w:id="62"/>
      <w:bookmarkEnd w:id="63"/>
    </w:p>
    <w:p>
      <w:pPr>
        <w:pageBreakBefore w:val="0"/>
        <w:widowControl w:val="0"/>
        <w:tabs>
          <w:tab w:val="left" w:pos="2420"/>
          <w:tab w:val="left" w:pos="5445"/>
        </w:tabs>
        <w:kinsoku/>
        <w:wordWrap/>
        <w:overflowPunct/>
        <w:topLinePunct w:val="0"/>
        <w:autoSpaceDE w:val="0"/>
        <w:autoSpaceDN w:val="0"/>
        <w:bidi w:val="0"/>
        <w:adjustRightInd w:val="0"/>
        <w:snapToGrid w:val="0"/>
        <w:spacing w:line="360" w:lineRule="auto"/>
        <w:ind w:firstLine="420"/>
        <w:textAlignment w:val="auto"/>
        <w:rPr>
          <w:rFonts w:ascii="宋体" w:hAnsi="宋体"/>
          <w:snapToGrid w:val="0"/>
          <w:kern w:val="0"/>
          <w:sz w:val="21"/>
          <w:szCs w:val="21"/>
        </w:rPr>
      </w:pPr>
      <w:r>
        <w:rPr>
          <w:rFonts w:hint="eastAsia" w:ascii="宋体" w:hAnsi="宋体"/>
          <w:snapToGrid w:val="0"/>
          <w:kern w:val="0"/>
          <w:sz w:val="21"/>
          <w:szCs w:val="21"/>
        </w:rPr>
        <w:t xml:space="preserve">4.1  </w:t>
      </w:r>
      <w:r>
        <w:rPr>
          <w:rFonts w:ascii="宋体" w:hAnsi="宋体"/>
          <w:snapToGrid w:val="0"/>
          <w:kern w:val="0"/>
          <w:sz w:val="21"/>
          <w:szCs w:val="21"/>
        </w:rPr>
        <w:t>本招标项目采用</w:t>
      </w:r>
      <w:r>
        <w:rPr>
          <w:rFonts w:hint="eastAsia" w:ascii="宋体" w:hAnsi="宋体"/>
          <w:snapToGrid w:val="0"/>
          <w:kern w:val="0"/>
          <w:sz w:val="21"/>
          <w:szCs w:val="21"/>
        </w:rPr>
        <w:t>全流程电子</w:t>
      </w:r>
      <w:r>
        <w:rPr>
          <w:rFonts w:ascii="宋体" w:hAnsi="宋体"/>
          <w:snapToGrid w:val="0"/>
          <w:kern w:val="0"/>
          <w:sz w:val="21"/>
          <w:szCs w:val="21"/>
        </w:rPr>
        <w:t>招投标，投标人在投标前可在</w:t>
      </w:r>
      <w:r>
        <w:rPr>
          <w:rFonts w:hint="eastAsia" w:ascii="宋体" w:hAnsi="宋体"/>
          <w:snapToGrid w:val="0"/>
          <w:kern w:val="0"/>
          <w:sz w:val="21"/>
          <w:szCs w:val="21"/>
          <w:u w:val="single"/>
        </w:rPr>
        <w:t>重庆市公共资源交易网（www.cqggzy.com）</w:t>
      </w:r>
      <w:r>
        <w:rPr>
          <w:rFonts w:hint="eastAsia" w:ascii="宋体" w:hAnsi="宋体"/>
          <w:i/>
          <w:sz w:val="21"/>
          <w:szCs w:val="21"/>
        </w:rPr>
        <w:t>[提示：下载地址采用其他网址的应注明，下同]</w:t>
      </w:r>
      <w:r>
        <w:rPr>
          <w:rFonts w:ascii="宋体" w:hAnsi="宋体"/>
          <w:snapToGrid w:val="0"/>
          <w:kern w:val="0"/>
          <w:sz w:val="21"/>
          <w:szCs w:val="21"/>
        </w:rPr>
        <w:t>下载招标文件、工程量清单、电子图纸等资料。参与投标的投标人</w:t>
      </w:r>
      <w:r>
        <w:rPr>
          <w:rFonts w:hint="eastAsia" w:ascii="宋体" w:hAnsi="宋体"/>
          <w:snapToGrid w:val="0"/>
          <w:kern w:val="0"/>
          <w:sz w:val="21"/>
          <w:szCs w:val="21"/>
        </w:rPr>
        <w:t>需在</w:t>
      </w:r>
      <w:r>
        <w:rPr>
          <w:rFonts w:hint="eastAsia" w:ascii="宋体" w:hAnsi="宋体"/>
          <w:snapToGrid w:val="0"/>
          <w:kern w:val="0"/>
          <w:sz w:val="21"/>
          <w:szCs w:val="21"/>
          <w:u w:val="single"/>
        </w:rPr>
        <w:t>重庆市公共资源交易网（www.cqggzy.com）</w:t>
      </w:r>
      <w:r>
        <w:rPr>
          <w:rFonts w:hint="eastAsia" w:ascii="宋体" w:hAnsi="宋体"/>
          <w:snapToGrid w:val="0"/>
          <w:kern w:val="0"/>
          <w:sz w:val="21"/>
          <w:szCs w:val="21"/>
        </w:rPr>
        <w:t>完成市场主体信息登记以及 CA 数字证书办理，办理方式请参见</w:t>
      </w:r>
      <w:r>
        <w:rPr>
          <w:rFonts w:hint="eastAsia" w:ascii="宋体" w:hAnsi="宋体"/>
          <w:snapToGrid w:val="0"/>
          <w:kern w:val="0"/>
          <w:sz w:val="21"/>
          <w:szCs w:val="21"/>
          <w:u w:val="single"/>
        </w:rPr>
        <w:t>重庆市公共资源交易网（www.cqggzy.com）</w:t>
      </w:r>
      <w:r>
        <w:rPr>
          <w:rFonts w:hint="eastAsia" w:ascii="宋体" w:hAnsi="宋体"/>
          <w:snapToGrid w:val="0"/>
          <w:kern w:val="0"/>
          <w:sz w:val="21"/>
          <w:szCs w:val="21"/>
        </w:rPr>
        <w:t>导航栏“主体信息”页面中“市场主体信息登记”“CA 数字证书办理”。若投标人未及时完成市场主体信息登记和 CA 数字证书办理导致无法完成全流程电子招投标的，责任自负</w:t>
      </w:r>
      <w:r>
        <w:rPr>
          <w:rFonts w:ascii="宋体" w:hAnsi="宋体"/>
          <w:snapToGrid w:val="0"/>
          <w:kern w:val="0"/>
          <w:sz w:val="21"/>
          <w:szCs w:val="21"/>
        </w:rPr>
        <w:t>。</w:t>
      </w:r>
    </w:p>
    <w:p>
      <w:pPr>
        <w:pageBreakBefore w:val="0"/>
        <w:widowControl w:val="0"/>
        <w:tabs>
          <w:tab w:val="left" w:pos="2420"/>
          <w:tab w:val="left" w:pos="5445"/>
        </w:tabs>
        <w:kinsoku/>
        <w:wordWrap/>
        <w:overflowPunct/>
        <w:topLinePunct w:val="0"/>
        <w:autoSpaceDE w:val="0"/>
        <w:autoSpaceDN w:val="0"/>
        <w:bidi w:val="0"/>
        <w:adjustRightInd w:val="0"/>
        <w:snapToGrid w:val="0"/>
        <w:spacing w:line="360" w:lineRule="auto"/>
        <w:ind w:firstLine="420"/>
        <w:textAlignment w:val="auto"/>
        <w:rPr>
          <w:rFonts w:ascii="宋体" w:hAnsi="宋体"/>
          <w:snapToGrid w:val="0"/>
          <w:kern w:val="0"/>
          <w:sz w:val="21"/>
          <w:szCs w:val="21"/>
        </w:rPr>
      </w:pPr>
      <w:r>
        <w:rPr>
          <w:rFonts w:hint="eastAsia" w:ascii="宋体" w:hAnsi="宋体"/>
          <w:snapToGrid w:val="0"/>
          <w:kern w:val="0"/>
          <w:sz w:val="21"/>
          <w:szCs w:val="21"/>
        </w:rPr>
        <w:t>4.2  投标人可在附件招标公告规定的时限内在</w:t>
      </w:r>
      <w:r>
        <w:rPr>
          <w:rFonts w:hint="eastAsia" w:ascii="宋体" w:hAnsi="宋体"/>
          <w:snapToGrid w:val="0"/>
          <w:kern w:val="0"/>
          <w:sz w:val="21"/>
          <w:szCs w:val="21"/>
          <w:u w:val="single"/>
        </w:rPr>
        <w:t>重庆市公共资源交易网（www.cqggzy.com）</w:t>
      </w:r>
      <w:r>
        <w:rPr>
          <w:rFonts w:hint="eastAsia" w:ascii="宋体" w:hAnsi="宋体"/>
          <w:snapToGrid w:val="0"/>
          <w:kern w:val="0"/>
          <w:sz w:val="21"/>
          <w:szCs w:val="21"/>
        </w:rPr>
        <w:t>本项目招标公告网页下方“我要提问”栏提出疑问。</w:t>
      </w:r>
    </w:p>
    <w:p>
      <w:pPr>
        <w:pageBreakBefore w:val="0"/>
        <w:widowControl w:val="0"/>
        <w:tabs>
          <w:tab w:val="left" w:pos="2420"/>
          <w:tab w:val="left" w:pos="5445"/>
        </w:tabs>
        <w:kinsoku/>
        <w:wordWrap/>
        <w:overflowPunct/>
        <w:topLinePunct w:val="0"/>
        <w:autoSpaceDE w:val="0"/>
        <w:autoSpaceDN w:val="0"/>
        <w:bidi w:val="0"/>
        <w:adjustRightInd w:val="0"/>
        <w:snapToGrid w:val="0"/>
        <w:spacing w:line="360" w:lineRule="auto"/>
        <w:ind w:firstLine="420"/>
        <w:jc w:val="left"/>
        <w:textAlignment w:val="auto"/>
        <w:rPr>
          <w:rFonts w:ascii="宋体" w:hAnsi="宋体"/>
          <w:snapToGrid w:val="0"/>
          <w:kern w:val="0"/>
          <w:sz w:val="21"/>
          <w:szCs w:val="21"/>
        </w:rPr>
      </w:pPr>
      <w:r>
        <w:rPr>
          <w:rFonts w:hint="eastAsia" w:ascii="宋体" w:hAnsi="宋体"/>
          <w:snapToGrid w:val="0"/>
          <w:kern w:val="0"/>
          <w:sz w:val="21"/>
          <w:szCs w:val="21"/>
        </w:rPr>
        <w:t>4.3  招标人应在附件招标公告规定的时限内在</w:t>
      </w:r>
      <w:r>
        <w:rPr>
          <w:rFonts w:hint="eastAsia" w:ascii="宋体" w:hAnsi="宋体"/>
          <w:snapToGrid w:val="0"/>
          <w:kern w:val="0"/>
          <w:sz w:val="21"/>
          <w:szCs w:val="21"/>
          <w:u w:val="single"/>
        </w:rPr>
        <w:t>重庆市公共资源交易网（www.cqggzy.com）</w:t>
      </w:r>
      <w:r>
        <w:rPr>
          <w:rFonts w:hint="eastAsia" w:ascii="宋体" w:hAnsi="宋体"/>
          <w:snapToGrid w:val="0"/>
          <w:kern w:val="0"/>
          <w:sz w:val="21"/>
          <w:szCs w:val="21"/>
        </w:rPr>
        <w:t>发布澄清或修改。</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64" w:name="_Toc3397"/>
      <w:bookmarkStart w:id="65" w:name="_Toc277082540"/>
      <w:bookmarkStart w:id="66" w:name="_Toc200359242"/>
      <w:bookmarkStart w:id="67" w:name="_Toc430530420"/>
      <w:bookmarkStart w:id="68" w:name="_Toc22603"/>
      <w:bookmarkStart w:id="69" w:name="_Toc200359431"/>
      <w:bookmarkStart w:id="70" w:name="_Toc224103303"/>
      <w:bookmarkStart w:id="71" w:name="_Toc509218696"/>
      <w:bookmarkStart w:id="72" w:name="_Toc287607732"/>
      <w:bookmarkStart w:id="73" w:name="_Toc12365"/>
      <w:bookmarkStart w:id="74" w:name="_Toc287620671"/>
      <w:r>
        <w:rPr>
          <w:rFonts w:ascii="宋体" w:hAnsi="宋体"/>
          <w:snapToGrid w:val="0"/>
          <w:sz w:val="21"/>
          <w:szCs w:val="21"/>
        </w:rPr>
        <w:t xml:space="preserve">5. </w:t>
      </w:r>
      <w:r>
        <w:rPr>
          <w:rFonts w:hint="eastAsia" w:ascii="宋体" w:hAnsi="宋体"/>
          <w:snapToGrid w:val="0"/>
          <w:sz w:val="21"/>
          <w:szCs w:val="21"/>
        </w:rPr>
        <w:t xml:space="preserve"> </w:t>
      </w:r>
      <w:r>
        <w:rPr>
          <w:rFonts w:ascii="宋体" w:hAnsi="宋体"/>
          <w:snapToGrid w:val="0"/>
          <w:sz w:val="21"/>
          <w:szCs w:val="21"/>
        </w:rPr>
        <w:t>投标文件的递交</w:t>
      </w:r>
      <w:bookmarkEnd w:id="64"/>
      <w:bookmarkEnd w:id="65"/>
      <w:bookmarkEnd w:id="66"/>
      <w:bookmarkEnd w:id="67"/>
      <w:bookmarkEnd w:id="68"/>
      <w:bookmarkEnd w:id="69"/>
      <w:bookmarkEnd w:id="70"/>
      <w:bookmarkEnd w:id="71"/>
      <w:bookmarkEnd w:id="72"/>
      <w:bookmarkEnd w:id="73"/>
      <w:bookmarkEnd w:id="74"/>
    </w:p>
    <w:p>
      <w:pPr>
        <w:pageBreakBefore w:val="0"/>
        <w:widowControl w:val="0"/>
        <w:tabs>
          <w:tab w:val="left" w:pos="2000"/>
          <w:tab w:val="left" w:pos="5580"/>
          <w:tab w:val="left" w:pos="6220"/>
          <w:tab w:val="left" w:pos="6840"/>
          <w:tab w:val="left" w:pos="7460"/>
          <w:tab w:val="left" w:pos="8100"/>
        </w:tabs>
        <w:kinsoku/>
        <w:wordWrap/>
        <w:overflowPunct/>
        <w:topLinePunct w:val="0"/>
        <w:autoSpaceDE w:val="0"/>
        <w:autoSpaceDN w:val="0"/>
        <w:bidi w:val="0"/>
        <w:adjustRightInd w:val="0"/>
        <w:snapToGrid w:val="0"/>
        <w:spacing w:line="360" w:lineRule="auto"/>
        <w:ind w:firstLine="420" w:firstLineChars="200"/>
        <w:textAlignment w:val="auto"/>
        <w:rPr>
          <w:rFonts w:ascii="宋体" w:hAnsi="宋体"/>
          <w:snapToGrid w:val="0"/>
          <w:kern w:val="0"/>
          <w:sz w:val="21"/>
          <w:szCs w:val="21"/>
        </w:rPr>
      </w:pPr>
      <w:r>
        <w:rPr>
          <w:rFonts w:ascii="宋体" w:hAnsi="宋体"/>
          <w:snapToGrid w:val="0"/>
          <w:kern w:val="0"/>
          <w:sz w:val="21"/>
          <w:szCs w:val="21"/>
        </w:rPr>
        <w:t>5.1  投标文件递交的截止时间（投标截止时间，下同）</w:t>
      </w:r>
      <w:r>
        <w:rPr>
          <w:rFonts w:hint="eastAsia" w:ascii="宋体" w:hAnsi="宋体"/>
          <w:snapToGrid w:val="0"/>
          <w:kern w:val="0"/>
          <w:sz w:val="21"/>
          <w:szCs w:val="21"/>
        </w:rPr>
        <w:t>详见附件招标公告规定的投标截止时间</w:t>
      </w:r>
      <w:r>
        <w:rPr>
          <w:rFonts w:ascii="宋体" w:hAnsi="宋体"/>
          <w:snapToGrid w:val="0"/>
          <w:kern w:val="0"/>
          <w:sz w:val="21"/>
          <w:szCs w:val="21"/>
        </w:rPr>
        <w:t>，</w:t>
      </w:r>
      <w:r>
        <w:rPr>
          <w:rFonts w:hint="eastAsia" w:ascii="宋体" w:hAnsi="宋体"/>
          <w:snapToGrid w:val="0"/>
          <w:kern w:val="0"/>
          <w:sz w:val="21"/>
          <w:szCs w:val="21"/>
        </w:rPr>
        <w:t>投标人应当在投标截止时间前，通过互联网使用CA数字证书登录重庆市电子招投标系统</w:t>
      </w:r>
      <w:r>
        <w:rPr>
          <w:rFonts w:hint="eastAsia" w:ascii="宋体" w:hAnsi="宋体"/>
          <w:snapToGrid w:val="0"/>
          <w:color w:val="auto"/>
          <w:kern w:val="0"/>
          <w:sz w:val="21"/>
          <w:szCs w:val="21"/>
          <w:highlight w:val="none"/>
        </w:rPr>
        <w:t>，</w:t>
      </w:r>
      <w:r>
        <w:rPr>
          <w:rFonts w:hint="eastAsia" w:ascii="宋体" w:hAnsi="宋体"/>
          <w:snapToGrid w:val="0"/>
          <w:kern w:val="0"/>
          <w:sz w:val="21"/>
          <w:szCs w:val="21"/>
        </w:rPr>
        <w:t>将加密的电子投标文件上传。</w:t>
      </w:r>
    </w:p>
    <w:p>
      <w:pPr>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ascii="宋体" w:hAnsi="宋体"/>
          <w:snapToGrid w:val="0"/>
          <w:kern w:val="0"/>
          <w:sz w:val="21"/>
          <w:szCs w:val="21"/>
        </w:rPr>
      </w:pPr>
      <w:r>
        <w:rPr>
          <w:rFonts w:ascii="宋体" w:hAnsi="宋体"/>
          <w:snapToGrid w:val="0"/>
          <w:kern w:val="0"/>
          <w:sz w:val="21"/>
          <w:szCs w:val="21"/>
        </w:rPr>
        <w:t xml:space="preserve">5.2  </w:t>
      </w:r>
      <w:r>
        <w:rPr>
          <w:rFonts w:hint="eastAsia" w:ascii="宋体" w:hAnsi="宋体"/>
          <w:snapToGrid w:val="0"/>
          <w:kern w:val="0"/>
          <w:sz w:val="21"/>
          <w:szCs w:val="21"/>
        </w:rPr>
        <w:t>未按要求加密的电子投标文件，将无法上传至重庆市电子招投标系统，逾期未完成上传投标文件的，视为撤回投标文件。</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75" w:name="_Toc287607733"/>
      <w:bookmarkStart w:id="76" w:name="_Toc200359432"/>
      <w:bookmarkStart w:id="77" w:name="_Toc224103304"/>
      <w:bookmarkStart w:id="78" w:name="_Toc287620672"/>
      <w:bookmarkStart w:id="79" w:name="_Toc27500"/>
      <w:bookmarkStart w:id="80" w:name="_Toc200359243"/>
      <w:bookmarkStart w:id="81" w:name="_Toc277082541"/>
      <w:bookmarkStart w:id="82" w:name="_Toc19459"/>
      <w:bookmarkStart w:id="83" w:name="_Toc22665"/>
      <w:bookmarkStart w:id="84" w:name="_Toc509218697"/>
      <w:bookmarkStart w:id="85" w:name="_Toc430530421"/>
      <w:r>
        <w:rPr>
          <w:rFonts w:ascii="宋体" w:hAnsi="宋体"/>
          <w:snapToGrid w:val="0"/>
          <w:sz w:val="21"/>
          <w:szCs w:val="21"/>
        </w:rPr>
        <w:t xml:space="preserve">6. </w:t>
      </w:r>
      <w:r>
        <w:rPr>
          <w:rFonts w:hint="eastAsia" w:ascii="宋体" w:hAnsi="宋体"/>
          <w:snapToGrid w:val="0"/>
          <w:sz w:val="21"/>
          <w:szCs w:val="21"/>
        </w:rPr>
        <w:t xml:space="preserve"> </w:t>
      </w:r>
      <w:r>
        <w:rPr>
          <w:rFonts w:ascii="宋体" w:hAnsi="宋体"/>
          <w:snapToGrid w:val="0"/>
          <w:sz w:val="21"/>
          <w:szCs w:val="21"/>
        </w:rPr>
        <w:t>发布公告的媒介</w:t>
      </w:r>
      <w:bookmarkEnd w:id="75"/>
      <w:bookmarkEnd w:id="76"/>
      <w:bookmarkEnd w:id="77"/>
      <w:bookmarkEnd w:id="78"/>
      <w:bookmarkEnd w:id="79"/>
      <w:bookmarkEnd w:id="80"/>
      <w:bookmarkEnd w:id="81"/>
      <w:bookmarkEnd w:id="82"/>
      <w:bookmarkEnd w:id="83"/>
      <w:bookmarkEnd w:id="84"/>
      <w:bookmarkEnd w:id="85"/>
    </w:p>
    <w:p>
      <w:pPr>
        <w:pageBreakBefore w:val="0"/>
        <w:widowControl w:val="0"/>
        <w:tabs>
          <w:tab w:val="left" w:pos="4950"/>
        </w:tabs>
        <w:kinsoku/>
        <w:wordWrap/>
        <w:overflowPunct/>
        <w:topLinePunct w:val="0"/>
        <w:autoSpaceDE w:val="0"/>
        <w:autoSpaceDN w:val="0"/>
        <w:bidi w:val="0"/>
        <w:adjustRightInd w:val="0"/>
        <w:snapToGrid w:val="0"/>
        <w:spacing w:line="360" w:lineRule="auto"/>
        <w:ind w:firstLine="420" w:firstLineChars="200"/>
        <w:textAlignment w:val="auto"/>
        <w:rPr>
          <w:rFonts w:ascii="宋体" w:hAnsi="宋体"/>
          <w:snapToGrid w:val="0"/>
          <w:kern w:val="0"/>
          <w:sz w:val="21"/>
          <w:szCs w:val="21"/>
        </w:rPr>
      </w:pPr>
      <w:r>
        <w:rPr>
          <w:rFonts w:ascii="宋体" w:hAnsi="宋体"/>
          <w:snapToGrid w:val="0"/>
          <w:kern w:val="0"/>
          <w:sz w:val="21"/>
          <w:szCs w:val="21"/>
        </w:rPr>
        <w:t>本次招标公告同时在</w:t>
      </w:r>
      <w:r>
        <w:rPr>
          <w:rFonts w:hint="eastAsia" w:ascii="宋体" w:hAnsi="宋体"/>
          <w:snapToGrid w:val="0"/>
          <w:kern w:val="0"/>
          <w:sz w:val="21"/>
          <w:szCs w:val="21"/>
          <w:u w:val="single"/>
        </w:rPr>
        <w:t xml:space="preserve">                 </w:t>
      </w:r>
      <w:r>
        <w:rPr>
          <w:rFonts w:ascii="宋体" w:hAnsi="宋体"/>
          <w:snapToGrid w:val="0"/>
          <w:kern w:val="0"/>
          <w:sz w:val="21"/>
          <w:szCs w:val="21"/>
          <w:u w:val="single"/>
        </w:rPr>
        <w:t>（发布公告的媒介名称）</w:t>
      </w:r>
      <w:r>
        <w:rPr>
          <w:rFonts w:ascii="宋体" w:hAnsi="宋体"/>
          <w:snapToGrid w:val="0"/>
          <w:kern w:val="0"/>
          <w:sz w:val="21"/>
          <w:szCs w:val="21"/>
        </w:rPr>
        <w:t>上发布。</w:t>
      </w:r>
    </w:p>
    <w:p>
      <w:pPr>
        <w:pageBreakBefore w:val="0"/>
        <w:widowControl w:val="0"/>
        <w:tabs>
          <w:tab w:val="left" w:pos="4950"/>
        </w:tabs>
        <w:kinsoku/>
        <w:wordWrap/>
        <w:overflowPunct/>
        <w:topLinePunct w:val="0"/>
        <w:autoSpaceDE w:val="0"/>
        <w:autoSpaceDN w:val="0"/>
        <w:bidi w:val="0"/>
        <w:adjustRightInd w:val="0"/>
        <w:snapToGrid w:val="0"/>
        <w:spacing w:line="360" w:lineRule="auto"/>
        <w:ind w:firstLine="420" w:firstLineChars="200"/>
        <w:textAlignment w:val="auto"/>
        <w:rPr>
          <w:rFonts w:ascii="宋体" w:hAnsi="宋体"/>
          <w:snapToGrid w:val="0"/>
          <w:kern w:val="0"/>
          <w:sz w:val="21"/>
          <w:szCs w:val="21"/>
        </w:rPr>
      </w:pPr>
      <w:r>
        <w:rPr>
          <w:rFonts w:hint="eastAsia" w:ascii="宋体" w:hAnsi="宋体"/>
          <w:i/>
          <w:snapToGrid w:val="0"/>
          <w:kern w:val="0"/>
          <w:sz w:val="21"/>
          <w:szCs w:val="21"/>
        </w:rPr>
        <w:t>[提示：依法必须招标项目的招标公告，必须在重庆市公共资源交易监督网发布。]</w:t>
      </w:r>
    </w:p>
    <w:p>
      <w:pPr>
        <w:pStyle w:val="4"/>
        <w:pageBreakBefore w:val="0"/>
        <w:widowControl w:val="0"/>
        <w:kinsoku/>
        <w:wordWrap/>
        <w:overflowPunct/>
        <w:topLinePunct w:val="0"/>
        <w:bidi w:val="0"/>
        <w:spacing w:before="100" w:after="100" w:line="360" w:lineRule="auto"/>
        <w:textAlignment w:val="auto"/>
        <w:rPr>
          <w:rFonts w:ascii="宋体" w:hAnsi="宋体"/>
          <w:snapToGrid w:val="0"/>
          <w:sz w:val="21"/>
          <w:szCs w:val="21"/>
        </w:rPr>
      </w:pPr>
      <w:bookmarkStart w:id="86" w:name="_Toc224103305"/>
      <w:bookmarkStart w:id="87" w:name="_Toc509218698"/>
      <w:bookmarkStart w:id="88" w:name="_Toc430530422"/>
      <w:bookmarkStart w:id="89" w:name="_Toc27740"/>
      <w:bookmarkStart w:id="90" w:name="_Toc14815"/>
      <w:bookmarkStart w:id="91" w:name="_Toc277082542"/>
      <w:bookmarkStart w:id="92" w:name="_Toc287607734"/>
      <w:bookmarkStart w:id="93" w:name="_Toc29500"/>
      <w:bookmarkStart w:id="94" w:name="_Toc287620673"/>
      <w:r>
        <w:rPr>
          <w:rFonts w:ascii="宋体" w:hAnsi="宋体"/>
          <w:snapToGrid w:val="0"/>
          <w:sz w:val="21"/>
          <w:szCs w:val="21"/>
        </w:rPr>
        <w:t xml:space="preserve">7. </w:t>
      </w:r>
      <w:r>
        <w:rPr>
          <w:rFonts w:hint="eastAsia" w:ascii="宋体" w:hAnsi="宋体"/>
          <w:snapToGrid w:val="0"/>
          <w:sz w:val="21"/>
          <w:szCs w:val="21"/>
        </w:rPr>
        <w:t xml:space="preserve"> </w:t>
      </w:r>
      <w:r>
        <w:rPr>
          <w:rFonts w:ascii="宋体" w:hAnsi="宋体"/>
          <w:snapToGrid w:val="0"/>
          <w:sz w:val="21"/>
          <w:szCs w:val="21"/>
        </w:rPr>
        <w:t>联系方式</w:t>
      </w:r>
      <w:bookmarkEnd w:id="86"/>
      <w:bookmarkEnd w:id="87"/>
      <w:bookmarkEnd w:id="88"/>
      <w:bookmarkEnd w:id="89"/>
      <w:bookmarkEnd w:id="90"/>
      <w:bookmarkEnd w:id="91"/>
      <w:bookmarkEnd w:id="92"/>
      <w:bookmarkEnd w:id="93"/>
      <w:bookmarkEnd w:id="94"/>
    </w:p>
    <w:p>
      <w:pPr>
        <w:pageBreakBefore w:val="0"/>
        <w:widowControl w:val="0"/>
        <w:tabs>
          <w:tab w:val="left" w:pos="5140"/>
          <w:tab w:val="left" w:pos="85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招 标 人：</w:t>
      </w:r>
      <w:r>
        <w:rPr>
          <w:rFonts w:ascii="宋体" w:hAnsi="宋体"/>
          <w:snapToGrid w:val="0"/>
          <w:kern w:val="0"/>
          <w:sz w:val="21"/>
          <w:szCs w:val="21"/>
          <w:u w:val="single"/>
        </w:rPr>
        <w:t xml:space="preserve">                             </w:t>
      </w:r>
      <w:r>
        <w:rPr>
          <w:rFonts w:ascii="宋体" w:hAnsi="宋体"/>
          <w:snapToGrid w:val="0"/>
          <w:kern w:val="0"/>
          <w:sz w:val="21"/>
          <w:szCs w:val="21"/>
        </w:rPr>
        <w:t xml:space="preserve">     招标代理机构：</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地    址：</w:t>
      </w:r>
      <w:r>
        <w:rPr>
          <w:rFonts w:ascii="宋体" w:hAnsi="宋体"/>
          <w:snapToGrid w:val="0"/>
          <w:kern w:val="0"/>
          <w:sz w:val="21"/>
          <w:szCs w:val="21"/>
          <w:u w:val="single"/>
        </w:rPr>
        <w:t xml:space="preserve">                             </w:t>
      </w:r>
      <w:r>
        <w:rPr>
          <w:rFonts w:ascii="宋体" w:hAnsi="宋体"/>
          <w:snapToGrid w:val="0"/>
          <w:kern w:val="0"/>
          <w:sz w:val="21"/>
          <w:szCs w:val="21"/>
        </w:rPr>
        <w:t xml:space="preserve">     地    址：</w:t>
      </w:r>
      <w:r>
        <w:rPr>
          <w:rFonts w:ascii="宋体" w:hAnsi="宋体"/>
          <w:snapToGrid w:val="0"/>
          <w:kern w:val="0"/>
          <w:position w:val="-3"/>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position w:val="-3"/>
          <w:sz w:val="21"/>
          <w:szCs w:val="21"/>
        </w:rPr>
        <w:t>邮    编：</w:t>
      </w:r>
      <w:r>
        <w:rPr>
          <w:rFonts w:ascii="宋体" w:hAnsi="宋体"/>
          <w:snapToGrid w:val="0"/>
          <w:kern w:val="0"/>
          <w:sz w:val="21"/>
          <w:szCs w:val="21"/>
          <w:u w:val="single"/>
        </w:rPr>
        <w:t xml:space="preserve">                             </w:t>
      </w:r>
      <w:r>
        <w:rPr>
          <w:rFonts w:ascii="宋体" w:hAnsi="宋体"/>
          <w:snapToGrid w:val="0"/>
          <w:kern w:val="0"/>
          <w:sz w:val="21"/>
          <w:szCs w:val="21"/>
        </w:rPr>
        <w:t xml:space="preserve">     </w:t>
      </w:r>
      <w:r>
        <w:rPr>
          <w:rFonts w:ascii="宋体" w:hAnsi="宋体"/>
          <w:snapToGrid w:val="0"/>
          <w:kern w:val="0"/>
          <w:position w:val="-3"/>
          <w:sz w:val="21"/>
          <w:szCs w:val="21"/>
        </w:rPr>
        <w:t>邮    编：</w:t>
      </w:r>
      <w:r>
        <w:rPr>
          <w:rFonts w:ascii="宋体" w:hAnsi="宋体"/>
          <w:snapToGrid w:val="0"/>
          <w:kern w:val="0"/>
          <w:position w:val="-3"/>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联 系 人：</w:t>
      </w:r>
      <w:r>
        <w:rPr>
          <w:rFonts w:ascii="宋体" w:hAnsi="宋体"/>
          <w:snapToGrid w:val="0"/>
          <w:kern w:val="0"/>
          <w:sz w:val="21"/>
          <w:szCs w:val="21"/>
          <w:u w:val="single"/>
        </w:rPr>
        <w:t xml:space="preserve">                             </w:t>
      </w:r>
      <w:r>
        <w:rPr>
          <w:rFonts w:ascii="宋体" w:hAnsi="宋体"/>
          <w:snapToGrid w:val="0"/>
          <w:kern w:val="0"/>
          <w:sz w:val="21"/>
          <w:szCs w:val="21"/>
        </w:rPr>
        <w:t xml:space="preserve">     联 系 人：</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电    话：</w:t>
      </w:r>
      <w:r>
        <w:rPr>
          <w:rFonts w:ascii="宋体" w:hAnsi="宋体"/>
          <w:snapToGrid w:val="0"/>
          <w:kern w:val="0"/>
          <w:sz w:val="21"/>
          <w:szCs w:val="21"/>
          <w:u w:val="single"/>
        </w:rPr>
        <w:t xml:space="preserve">                             </w:t>
      </w:r>
      <w:r>
        <w:rPr>
          <w:rFonts w:ascii="宋体" w:hAnsi="宋体"/>
          <w:snapToGrid w:val="0"/>
          <w:kern w:val="0"/>
          <w:sz w:val="21"/>
          <w:szCs w:val="21"/>
        </w:rPr>
        <w:t xml:space="preserve">     电    话：</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ascii="宋体" w:hAnsi="宋体"/>
          <w:snapToGrid w:val="0"/>
          <w:kern w:val="0"/>
          <w:sz w:val="21"/>
          <w:szCs w:val="21"/>
        </w:rPr>
        <w:t>传    真：</w:t>
      </w:r>
      <w:r>
        <w:rPr>
          <w:rFonts w:ascii="宋体" w:hAnsi="宋体"/>
          <w:snapToGrid w:val="0"/>
          <w:kern w:val="0"/>
          <w:sz w:val="21"/>
          <w:szCs w:val="21"/>
          <w:u w:val="single"/>
        </w:rPr>
        <w:t xml:space="preserve">                             </w:t>
      </w:r>
      <w:r>
        <w:rPr>
          <w:rFonts w:ascii="宋体" w:hAnsi="宋体"/>
          <w:snapToGrid w:val="0"/>
          <w:kern w:val="0"/>
          <w:sz w:val="21"/>
          <w:szCs w:val="21"/>
        </w:rPr>
        <w:t xml:space="preserve">     传    真：</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电子邮件：</w:t>
      </w:r>
      <w:r>
        <w:rPr>
          <w:rFonts w:ascii="宋体" w:hAnsi="宋体"/>
          <w:snapToGrid w:val="0"/>
          <w:kern w:val="0"/>
          <w:sz w:val="21"/>
          <w:szCs w:val="21"/>
          <w:u w:val="single"/>
        </w:rPr>
        <w:t xml:space="preserve">                             </w:t>
      </w:r>
      <w:r>
        <w:rPr>
          <w:rFonts w:ascii="宋体" w:hAnsi="宋体"/>
          <w:snapToGrid w:val="0"/>
          <w:kern w:val="0"/>
          <w:sz w:val="21"/>
          <w:szCs w:val="21"/>
        </w:rPr>
        <w:t xml:space="preserve">     电子邮件：</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rPr>
      </w:pPr>
      <w:r>
        <w:rPr>
          <w:rFonts w:ascii="宋体" w:hAnsi="宋体"/>
          <w:snapToGrid w:val="0"/>
          <w:kern w:val="0"/>
          <w:sz w:val="21"/>
          <w:szCs w:val="21"/>
        </w:rPr>
        <w:t>开户银行：</w:t>
      </w:r>
      <w:r>
        <w:rPr>
          <w:rFonts w:ascii="宋体" w:hAnsi="宋体"/>
          <w:snapToGrid w:val="0"/>
          <w:kern w:val="0"/>
          <w:sz w:val="21"/>
          <w:szCs w:val="21"/>
          <w:u w:val="single"/>
        </w:rPr>
        <w:t xml:space="preserve">                             </w:t>
      </w:r>
      <w:r>
        <w:rPr>
          <w:rFonts w:ascii="宋体" w:hAnsi="宋体"/>
          <w:snapToGrid w:val="0"/>
          <w:kern w:val="0"/>
          <w:sz w:val="21"/>
          <w:szCs w:val="21"/>
        </w:rPr>
        <w:t xml:space="preserve">     开户银行：</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snapToGrid w:val="0"/>
          <w:kern w:val="0"/>
          <w:sz w:val="21"/>
          <w:szCs w:val="21"/>
          <w:u w:val="single"/>
        </w:rPr>
      </w:pPr>
      <w:r>
        <w:rPr>
          <w:rFonts w:ascii="宋体" w:hAnsi="宋体"/>
          <w:snapToGrid w:val="0"/>
          <w:kern w:val="0"/>
          <w:sz w:val="21"/>
          <w:szCs w:val="21"/>
        </w:rPr>
        <w:t>账    号：</w:t>
      </w:r>
      <w:r>
        <w:rPr>
          <w:rFonts w:ascii="宋体" w:hAnsi="宋体"/>
          <w:snapToGrid w:val="0"/>
          <w:kern w:val="0"/>
          <w:sz w:val="21"/>
          <w:szCs w:val="21"/>
          <w:u w:val="single"/>
        </w:rPr>
        <w:t xml:space="preserve">                             </w:t>
      </w:r>
      <w:r>
        <w:rPr>
          <w:rFonts w:ascii="宋体" w:hAnsi="宋体"/>
          <w:snapToGrid w:val="0"/>
          <w:kern w:val="0"/>
          <w:sz w:val="21"/>
          <w:szCs w:val="21"/>
        </w:rPr>
        <w:t xml:space="preserve">     账    号：</w:t>
      </w:r>
      <w:r>
        <w:rPr>
          <w:rFonts w:ascii="宋体" w:hAnsi="宋体"/>
          <w:snapToGrid w:val="0"/>
          <w:kern w:val="0"/>
          <w:sz w:val="21"/>
          <w:szCs w:val="21"/>
          <w:u w:val="single"/>
        </w:rPr>
        <w:t xml:space="preserve">                                </w:t>
      </w:r>
    </w:p>
    <w:p>
      <w:pPr>
        <w:pageBreakBefore w:val="0"/>
        <w:widowControl w:val="0"/>
        <w:tabs>
          <w:tab w:val="left" w:pos="5140"/>
          <w:tab w:val="left" w:pos="8420"/>
        </w:tabs>
        <w:kinsoku/>
        <w:wordWrap/>
        <w:overflowPunct/>
        <w:topLinePunct w:val="0"/>
        <w:autoSpaceDE w:val="0"/>
        <w:autoSpaceDN w:val="0"/>
        <w:bidi w:val="0"/>
        <w:adjustRightInd w:val="0"/>
        <w:snapToGrid w:val="0"/>
        <w:spacing w:line="360" w:lineRule="auto"/>
        <w:jc w:val="left"/>
        <w:textAlignment w:val="auto"/>
        <w:rPr>
          <w:rFonts w:ascii="宋体" w:hAnsi="宋体"/>
          <w:snapToGrid w:val="0"/>
          <w:kern w:val="0"/>
          <w:sz w:val="21"/>
          <w:szCs w:val="21"/>
          <w:u w:val="single"/>
        </w:rPr>
      </w:pPr>
    </w:p>
    <w:p>
      <w:pPr>
        <w:autoSpaceDE w:val="0"/>
        <w:autoSpaceDN w:val="0"/>
        <w:adjustRightInd w:val="0"/>
        <w:snapToGrid w:val="0"/>
        <w:spacing w:line="360" w:lineRule="auto"/>
        <w:ind w:firstLine="3906" w:firstLineChars="1860"/>
        <w:jc w:val="right"/>
        <w:rPr>
          <w:rFonts w:ascii="宋体" w:hAnsi="宋体"/>
          <w:snapToGrid w:val="0"/>
          <w:kern w:val="0"/>
          <w:sz w:val="20"/>
          <w:szCs w:val="20"/>
        </w:rPr>
      </w:pPr>
      <w:r>
        <w:rPr>
          <w:rFonts w:ascii="宋体" w:hAnsi="宋体"/>
          <w:snapToGrid w:val="0"/>
          <w:kern w:val="0"/>
          <w:szCs w:val="21"/>
          <w:u w:val="single"/>
        </w:rPr>
        <w:t xml:space="preserve">         </w:t>
      </w:r>
      <w:r>
        <w:rPr>
          <w:rFonts w:ascii="宋体" w:hAnsi="宋体"/>
          <w:snapToGrid w:val="0"/>
          <w:kern w:val="0"/>
          <w:szCs w:val="21"/>
        </w:rPr>
        <w:t>年</w:t>
      </w:r>
      <w:r>
        <w:rPr>
          <w:rFonts w:ascii="宋体" w:hAnsi="宋体"/>
          <w:snapToGrid w:val="0"/>
          <w:kern w:val="0"/>
          <w:szCs w:val="21"/>
          <w:u w:val="single"/>
        </w:rPr>
        <w:t xml:space="preserve">      </w:t>
      </w:r>
      <w:r>
        <w:rPr>
          <w:rFonts w:ascii="宋体" w:hAnsi="宋体"/>
          <w:snapToGrid w:val="0"/>
          <w:kern w:val="0"/>
          <w:szCs w:val="21"/>
        </w:rPr>
        <w:t>月</w:t>
      </w:r>
      <w:r>
        <w:rPr>
          <w:rFonts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rPr>
        <w:t xml:space="preserve">  </w:t>
      </w:r>
    </w:p>
    <w:p>
      <w:pPr>
        <w:pStyle w:val="3"/>
        <w:spacing w:before="0" w:after="0" w:line="200" w:lineRule="exact"/>
        <w:jc w:val="center"/>
        <w:outlineLvl w:val="9"/>
        <w:rPr>
          <w:rFonts w:ascii="宋体" w:hAnsi="宋体"/>
          <w:snapToGrid w:val="0"/>
          <w:kern w:val="0"/>
          <w:szCs w:val="21"/>
        </w:rPr>
      </w:pPr>
      <w:r>
        <w:rPr>
          <w:rFonts w:ascii="宋体" w:hAnsi="宋体"/>
          <w:snapToGrid w:val="0"/>
          <w:kern w:val="0"/>
          <w:szCs w:val="21"/>
        </w:rPr>
        <w:br w:type="page"/>
      </w:r>
      <w:bookmarkStart w:id="95" w:name="_Toc287620674"/>
      <w:bookmarkStart w:id="96" w:name="_Toc287607735"/>
      <w:bookmarkStart w:id="97" w:name="_Toc224103306"/>
      <w:bookmarkStart w:id="98" w:name="_Toc430530423"/>
    </w:p>
    <w:p>
      <w:pPr>
        <w:pStyle w:val="3"/>
        <w:spacing w:line="360" w:lineRule="auto"/>
        <w:jc w:val="center"/>
        <w:rPr>
          <w:rFonts w:ascii="宋体" w:hAnsi="宋体"/>
          <w:snapToGrid w:val="0"/>
        </w:rPr>
      </w:pPr>
      <w:bookmarkStart w:id="99" w:name="_Toc509218699"/>
      <w:bookmarkStart w:id="100" w:name="_Toc25281"/>
      <w:bookmarkStart w:id="101" w:name="_Toc10369"/>
      <w:bookmarkStart w:id="102" w:name="_Toc17631"/>
      <w:r>
        <w:rPr>
          <w:rFonts w:ascii="宋体" w:hAnsi="宋体"/>
          <w:snapToGrid w:val="0"/>
        </w:rPr>
        <w:t>第一章  投标邀请书（</w:t>
      </w:r>
      <w:r>
        <w:rPr>
          <w:rFonts w:hint="eastAsia" w:ascii="宋体" w:hAnsi="宋体"/>
          <w:snapToGrid w:val="0"/>
        </w:rPr>
        <w:t>适用于邀请招标</w:t>
      </w:r>
      <w:r>
        <w:rPr>
          <w:rFonts w:ascii="宋体" w:hAnsi="宋体"/>
          <w:snapToGrid w:val="0"/>
        </w:rPr>
        <w:t>）</w:t>
      </w:r>
      <w:bookmarkEnd w:id="95"/>
      <w:bookmarkEnd w:id="96"/>
      <w:bookmarkEnd w:id="97"/>
      <w:bookmarkEnd w:id="98"/>
      <w:bookmarkEnd w:id="99"/>
      <w:bookmarkEnd w:id="100"/>
      <w:bookmarkEnd w:id="101"/>
      <w:bookmarkEnd w:id="102"/>
    </w:p>
    <w:p>
      <w:pPr>
        <w:tabs>
          <w:tab w:val="left" w:pos="3425"/>
          <w:tab w:val="left" w:pos="5520"/>
        </w:tabs>
        <w:autoSpaceDE w:val="0"/>
        <w:autoSpaceDN w:val="0"/>
        <w:adjustRightInd w:val="0"/>
        <w:snapToGrid w:val="0"/>
        <w:spacing w:line="450" w:lineRule="exact"/>
        <w:jc w:val="center"/>
        <w:rPr>
          <w:rFonts w:ascii="宋体" w:hAnsi="宋体"/>
          <w:kern w:val="0"/>
          <w:sz w:val="28"/>
          <w:szCs w:val="28"/>
        </w:rPr>
      </w:pPr>
      <w:r>
        <w:rPr>
          <w:rFonts w:hint="eastAsia" w:ascii="宋体" w:hAnsi="宋体"/>
          <w:snapToGrid w:val="0"/>
          <w:kern w:val="0"/>
          <w:szCs w:val="21"/>
          <w:u w:val="single"/>
        </w:rPr>
        <w:t xml:space="preserve">                 </w:t>
      </w:r>
      <w:r>
        <w:rPr>
          <w:rFonts w:ascii="宋体" w:hAnsi="宋体"/>
          <w:sz w:val="28"/>
          <w:szCs w:val="28"/>
          <w:u w:val="single"/>
        </w:rPr>
        <w:t>（项目名称）</w:t>
      </w:r>
      <w:r>
        <w:rPr>
          <w:rFonts w:ascii="宋体" w:hAnsi="宋体"/>
          <w:w w:val="99"/>
          <w:kern w:val="0"/>
          <w:sz w:val="28"/>
          <w:szCs w:val="28"/>
        </w:rPr>
        <w:t>投标邀请书</w:t>
      </w:r>
    </w:p>
    <w:p>
      <w:pPr>
        <w:tabs>
          <w:tab w:val="left" w:pos="2940"/>
        </w:tabs>
        <w:autoSpaceDE w:val="0"/>
        <w:autoSpaceDN w:val="0"/>
        <w:adjustRightInd w:val="0"/>
        <w:snapToGrid w:val="0"/>
        <w:spacing w:line="450" w:lineRule="exact"/>
        <w:jc w:val="left"/>
        <w:rPr>
          <w:rFonts w:ascii="宋体" w:hAnsi="宋体"/>
          <w:b/>
          <w:snapToGrid w:val="0"/>
          <w:sz w:val="28"/>
          <w:szCs w:val="28"/>
        </w:rPr>
      </w:pPr>
      <w:r>
        <w:rPr>
          <w:rFonts w:hint="eastAsia" w:ascii="宋体" w:hAnsi="宋体"/>
          <w:snapToGrid w:val="0"/>
          <w:kern w:val="0"/>
          <w:szCs w:val="21"/>
          <w:u w:val="single"/>
        </w:rPr>
        <w:t xml:space="preserve">                 </w:t>
      </w:r>
      <w:r>
        <w:rPr>
          <w:rFonts w:ascii="宋体" w:hAnsi="宋体"/>
          <w:snapToGrid w:val="0"/>
          <w:kern w:val="0"/>
          <w:szCs w:val="21"/>
          <w:u w:val="single"/>
        </w:rPr>
        <w:t>（被邀请单位名称）</w:t>
      </w:r>
      <w:r>
        <w:rPr>
          <w:rFonts w:ascii="宋体" w:hAnsi="宋体"/>
          <w:b/>
          <w:snapToGrid w:val="0"/>
          <w:kern w:val="0"/>
          <w:szCs w:val="21"/>
        </w:rPr>
        <w:t>：</w:t>
      </w:r>
    </w:p>
    <w:p>
      <w:pPr>
        <w:pStyle w:val="4"/>
        <w:spacing w:before="100" w:after="100" w:line="450" w:lineRule="exact"/>
        <w:rPr>
          <w:rFonts w:ascii="宋体" w:hAnsi="宋体"/>
          <w:snapToGrid w:val="0"/>
          <w:sz w:val="28"/>
          <w:szCs w:val="28"/>
        </w:rPr>
      </w:pPr>
      <w:bookmarkStart w:id="103" w:name="_Toc430530424"/>
      <w:bookmarkStart w:id="104" w:name="_Toc20157"/>
      <w:bookmarkStart w:id="105" w:name="_Toc287620675"/>
      <w:bookmarkStart w:id="106" w:name="_Toc30115"/>
      <w:bookmarkStart w:id="107" w:name="_Toc224103307"/>
      <w:bookmarkStart w:id="108" w:name="_Toc32409"/>
      <w:bookmarkStart w:id="109" w:name="_Toc287607736"/>
      <w:bookmarkStart w:id="110" w:name="_Toc509218700"/>
      <w:bookmarkStart w:id="111" w:name="_Toc277082543"/>
      <w:r>
        <w:rPr>
          <w:rFonts w:ascii="宋体" w:hAnsi="宋体"/>
          <w:snapToGrid w:val="0"/>
          <w:sz w:val="28"/>
          <w:szCs w:val="28"/>
        </w:rPr>
        <w:t>1.  招标条件</w:t>
      </w:r>
      <w:bookmarkEnd w:id="103"/>
      <w:bookmarkEnd w:id="104"/>
      <w:bookmarkEnd w:id="105"/>
      <w:bookmarkEnd w:id="106"/>
      <w:bookmarkEnd w:id="107"/>
      <w:bookmarkEnd w:id="108"/>
      <w:bookmarkEnd w:id="109"/>
      <w:bookmarkEnd w:id="110"/>
      <w:bookmarkEnd w:id="111"/>
    </w:p>
    <w:p>
      <w:pPr>
        <w:tabs>
          <w:tab w:val="left" w:pos="4305"/>
          <w:tab w:val="left" w:pos="4640"/>
          <w:tab w:val="left" w:pos="7240"/>
        </w:tabs>
        <w:autoSpaceDE w:val="0"/>
        <w:autoSpaceDN w:val="0"/>
        <w:adjustRightInd w:val="0"/>
        <w:snapToGrid w:val="0"/>
        <w:spacing w:line="450" w:lineRule="exact"/>
        <w:ind w:firstLine="420"/>
        <w:rPr>
          <w:rFonts w:ascii="宋体" w:hAnsi="宋体"/>
          <w:snapToGrid w:val="0"/>
          <w:kern w:val="0"/>
          <w:szCs w:val="21"/>
        </w:rPr>
      </w:pPr>
      <w:r>
        <w:rPr>
          <w:rFonts w:ascii="宋体" w:hAnsi="宋体"/>
          <w:snapToGrid w:val="0"/>
          <w:kern w:val="0"/>
          <w:szCs w:val="21"/>
        </w:rPr>
        <w:t>本招标项目</w:t>
      </w:r>
      <w:r>
        <w:rPr>
          <w:rFonts w:hint="eastAsia" w:ascii="宋体" w:hAnsi="宋体"/>
          <w:snapToGrid w:val="0"/>
          <w:kern w:val="0"/>
          <w:szCs w:val="21"/>
          <w:u w:val="single"/>
        </w:rPr>
        <w:t xml:space="preserve">                 </w:t>
      </w:r>
      <w:r>
        <w:rPr>
          <w:rFonts w:ascii="宋体" w:hAnsi="宋体"/>
          <w:snapToGrid w:val="0"/>
          <w:kern w:val="0"/>
          <w:szCs w:val="21"/>
          <w:u w:val="single"/>
        </w:rPr>
        <w:t>（项目名称）</w:t>
      </w:r>
      <w:r>
        <w:rPr>
          <w:rFonts w:ascii="宋体" w:hAnsi="宋体"/>
          <w:snapToGrid w:val="0"/>
          <w:kern w:val="0"/>
          <w:szCs w:val="21"/>
        </w:rPr>
        <w:t>已由</w:t>
      </w:r>
      <w:r>
        <w:rPr>
          <w:rFonts w:hint="eastAsia" w:ascii="宋体" w:hAnsi="宋体"/>
          <w:snapToGrid w:val="0"/>
          <w:kern w:val="0"/>
          <w:szCs w:val="21"/>
          <w:u w:val="single"/>
        </w:rPr>
        <w:t xml:space="preserve">                 </w:t>
      </w:r>
      <w:r>
        <w:rPr>
          <w:rFonts w:ascii="宋体" w:hAnsi="宋体"/>
          <w:snapToGrid w:val="0"/>
          <w:kern w:val="0"/>
          <w:szCs w:val="21"/>
          <w:u w:val="single"/>
        </w:rPr>
        <w:t>（项目审批、 核准或备案机关名称）</w:t>
      </w:r>
      <w:r>
        <w:rPr>
          <w:rFonts w:ascii="宋体" w:hAnsi="宋体"/>
          <w:snapToGrid w:val="0"/>
          <w:kern w:val="0"/>
          <w:szCs w:val="21"/>
        </w:rPr>
        <w:t>以</w:t>
      </w:r>
      <w:r>
        <w:rPr>
          <w:rFonts w:hint="eastAsia" w:ascii="宋体" w:hAnsi="宋体"/>
          <w:snapToGrid w:val="0"/>
          <w:kern w:val="0"/>
          <w:szCs w:val="21"/>
          <w:u w:val="single"/>
        </w:rPr>
        <w:t xml:space="preserve">                 </w:t>
      </w:r>
      <w:r>
        <w:rPr>
          <w:rFonts w:ascii="宋体" w:hAnsi="宋体"/>
          <w:snapToGrid w:val="0"/>
          <w:kern w:val="0"/>
          <w:szCs w:val="21"/>
          <w:u w:val="single"/>
        </w:rPr>
        <w:t>（批文名称及编号）</w:t>
      </w:r>
      <w:r>
        <w:rPr>
          <w:rFonts w:ascii="宋体" w:hAnsi="宋体"/>
          <w:snapToGrid w:val="0"/>
          <w:kern w:val="0"/>
          <w:szCs w:val="21"/>
        </w:rPr>
        <w:t>批准建设，项目业主为</w:t>
      </w:r>
      <w:r>
        <w:rPr>
          <w:rFonts w:hint="eastAsia" w:ascii="宋体" w:hAnsi="宋体"/>
          <w:snapToGrid w:val="0"/>
          <w:kern w:val="0"/>
          <w:szCs w:val="21"/>
          <w:u w:val="single"/>
        </w:rPr>
        <w:t xml:space="preserve">                 </w:t>
      </w:r>
      <w:r>
        <w:rPr>
          <w:rFonts w:ascii="宋体" w:hAnsi="宋体"/>
          <w:snapToGrid w:val="0"/>
          <w:kern w:val="0"/>
          <w:szCs w:val="21"/>
        </w:rPr>
        <w:t>，建设资金来自</w:t>
      </w:r>
      <w:r>
        <w:rPr>
          <w:rFonts w:hint="eastAsia" w:ascii="宋体" w:hAnsi="宋体"/>
          <w:snapToGrid w:val="0"/>
          <w:kern w:val="0"/>
          <w:szCs w:val="21"/>
          <w:u w:val="single"/>
        </w:rPr>
        <w:t xml:space="preserve">                 </w:t>
      </w:r>
      <w:r>
        <w:rPr>
          <w:rFonts w:ascii="宋体" w:hAnsi="宋体"/>
          <w:snapToGrid w:val="0"/>
          <w:kern w:val="0"/>
          <w:szCs w:val="21"/>
          <w:u w:val="single"/>
        </w:rPr>
        <w:t>（资金来源）</w:t>
      </w:r>
      <w:r>
        <w:rPr>
          <w:rFonts w:ascii="宋体" w:hAnsi="宋体"/>
          <w:snapToGrid w:val="0"/>
          <w:kern w:val="0"/>
          <w:szCs w:val="21"/>
        </w:rPr>
        <w:t>，项目出资比例为</w:t>
      </w:r>
      <w:r>
        <w:rPr>
          <w:rFonts w:hint="eastAsia" w:ascii="宋体" w:hAnsi="宋体"/>
          <w:snapToGrid w:val="0"/>
          <w:kern w:val="0"/>
          <w:szCs w:val="21"/>
          <w:u w:val="single"/>
        </w:rPr>
        <w:t xml:space="preserve">                 </w:t>
      </w:r>
      <w:r>
        <w:rPr>
          <w:rFonts w:ascii="宋体" w:hAnsi="宋体"/>
          <w:snapToGrid w:val="0"/>
          <w:kern w:val="0"/>
          <w:szCs w:val="21"/>
        </w:rPr>
        <w:t>，招标人为</w:t>
      </w:r>
      <w:r>
        <w:rPr>
          <w:rFonts w:hint="eastAsia" w:ascii="宋体" w:hAnsi="宋体"/>
          <w:snapToGrid w:val="0"/>
          <w:kern w:val="0"/>
          <w:szCs w:val="21"/>
          <w:u w:val="single"/>
        </w:rPr>
        <w:t xml:space="preserve">                 </w:t>
      </w:r>
      <w:r>
        <w:rPr>
          <w:rFonts w:ascii="宋体" w:hAnsi="宋体"/>
          <w:snapToGrid w:val="0"/>
          <w:kern w:val="0"/>
          <w:szCs w:val="21"/>
        </w:rPr>
        <w:t>。项目已具备招标条件，现邀请你单位参加</w:t>
      </w:r>
      <w:r>
        <w:rPr>
          <w:rFonts w:hint="eastAsia" w:ascii="宋体" w:hAnsi="宋体"/>
          <w:snapToGrid w:val="0"/>
          <w:kern w:val="0"/>
          <w:szCs w:val="21"/>
          <w:u w:val="single"/>
        </w:rPr>
        <w:t>该项目的施工</w:t>
      </w:r>
      <w:r>
        <w:rPr>
          <w:rFonts w:ascii="宋体" w:hAnsi="宋体"/>
          <w:snapToGrid w:val="0"/>
          <w:kern w:val="0"/>
          <w:szCs w:val="21"/>
        </w:rPr>
        <w:t>投标。</w:t>
      </w:r>
    </w:p>
    <w:p>
      <w:pPr>
        <w:pStyle w:val="4"/>
        <w:spacing w:before="100" w:after="100" w:line="450" w:lineRule="exact"/>
        <w:rPr>
          <w:rFonts w:ascii="宋体" w:hAnsi="宋体"/>
          <w:snapToGrid w:val="0"/>
          <w:sz w:val="28"/>
          <w:szCs w:val="28"/>
        </w:rPr>
      </w:pPr>
      <w:bookmarkStart w:id="112" w:name="_Toc509218701"/>
      <w:bookmarkStart w:id="113" w:name="_Toc30396"/>
      <w:bookmarkStart w:id="114" w:name="_Toc287607737"/>
      <w:bookmarkStart w:id="115" w:name="_Toc4153"/>
      <w:bookmarkStart w:id="116" w:name="_Toc277082544"/>
      <w:bookmarkStart w:id="117" w:name="_Toc11782"/>
      <w:bookmarkStart w:id="118" w:name="_Toc430530425"/>
      <w:bookmarkStart w:id="119" w:name="_Toc287620676"/>
      <w:bookmarkStart w:id="120" w:name="_Toc224103308"/>
      <w:r>
        <w:rPr>
          <w:rFonts w:ascii="宋体" w:hAnsi="宋体"/>
          <w:snapToGrid w:val="0"/>
          <w:sz w:val="28"/>
          <w:szCs w:val="28"/>
        </w:rPr>
        <w:t>2.  项目概况与招标范围</w:t>
      </w:r>
      <w:bookmarkEnd w:id="112"/>
      <w:bookmarkEnd w:id="113"/>
      <w:bookmarkEnd w:id="114"/>
      <w:bookmarkEnd w:id="115"/>
      <w:bookmarkEnd w:id="116"/>
      <w:bookmarkEnd w:id="117"/>
      <w:bookmarkEnd w:id="118"/>
      <w:bookmarkEnd w:id="119"/>
      <w:bookmarkEnd w:id="120"/>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u w:val="single"/>
        </w:rPr>
      </w:pPr>
      <w:r>
        <w:rPr>
          <w:rFonts w:hint="eastAsia" w:ascii="宋体" w:hAnsi="宋体"/>
          <w:snapToGrid w:val="0"/>
          <w:kern w:val="0"/>
          <w:szCs w:val="21"/>
        </w:rPr>
        <w:t>2.1 建设地点：</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2.2 项目概况与建设规模：</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ind w:firstLine="420" w:firstLineChars="200"/>
        <w:jc w:val="left"/>
        <w:rPr>
          <w:rFonts w:ascii="宋体" w:hAnsi="宋体" w:cs="宋体"/>
          <w:i/>
          <w:strike/>
          <w:snapToGrid w:val="0"/>
          <w:kern w:val="0"/>
          <w:szCs w:val="21"/>
        </w:rPr>
      </w:pPr>
      <w:r>
        <w:rPr>
          <w:rFonts w:hint="eastAsia" w:ascii="宋体" w:hAnsi="宋体" w:cs="宋体"/>
          <w:i/>
          <w:snapToGrid w:val="0"/>
          <w:kern w:val="0"/>
          <w:szCs w:val="21"/>
        </w:rPr>
        <w:t>[</w:t>
      </w:r>
      <w:r>
        <w:rPr>
          <w:rFonts w:hint="eastAsia" w:ascii="宋体" w:hAnsi="宋体" w:cs="宋体"/>
          <w:b/>
          <w:bCs/>
          <w:i/>
          <w:snapToGrid w:val="0"/>
          <w:kern w:val="0"/>
          <w:szCs w:val="21"/>
        </w:rPr>
        <w:t>提示：若设置投标人业绩资质条件，项目建设规模应体现与业绩对应的地质灾害（包括但不限于：山体崩塌、滑坡、泥石流、地面塌陷、地裂缝、地面沉降等与地质作用有关的灾害）分级，根据施工经费、勘察经费、设计经费，灾情和险情的分级。]</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u w:val="single"/>
        </w:rPr>
      </w:pPr>
      <w:r>
        <w:rPr>
          <w:rFonts w:hint="eastAsia" w:ascii="宋体" w:hAnsi="宋体"/>
          <w:snapToGrid w:val="0"/>
          <w:kern w:val="0"/>
          <w:szCs w:val="21"/>
        </w:rPr>
        <w:t>2.3 □本次招标项目工程总投资额：</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840" w:firstLineChars="400"/>
        <w:jc w:val="left"/>
        <w:rPr>
          <w:rFonts w:ascii="宋体" w:hAnsi="宋体"/>
          <w:snapToGrid w:val="0"/>
          <w:kern w:val="0"/>
          <w:szCs w:val="21"/>
          <w:u w:val="single"/>
        </w:rPr>
      </w:pPr>
      <w:r>
        <w:rPr>
          <w:rFonts w:hint="eastAsia" w:ascii="宋体" w:hAnsi="宋体"/>
          <w:snapToGrid w:val="0"/>
          <w:kern w:val="0"/>
          <w:szCs w:val="21"/>
        </w:rPr>
        <w:t>□本次招标项目合同估算金额：</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u w:val="single"/>
        </w:rPr>
      </w:pPr>
      <w:r>
        <w:rPr>
          <w:rFonts w:hint="eastAsia" w:ascii="宋体" w:hAnsi="宋体"/>
          <w:snapToGrid w:val="0"/>
          <w:kern w:val="0"/>
          <w:szCs w:val="21"/>
        </w:rPr>
        <w:t>2.4 招标范围：</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u w:val="single"/>
        </w:rPr>
      </w:pPr>
      <w:r>
        <w:rPr>
          <w:rFonts w:hint="eastAsia" w:ascii="宋体" w:hAnsi="宋体"/>
          <w:i/>
          <w:snapToGrid w:val="0"/>
          <w:kern w:val="0"/>
          <w:szCs w:val="21"/>
        </w:rPr>
        <w:t>[提示：</w:t>
      </w:r>
      <w:r>
        <w:rPr>
          <w:rFonts w:ascii="宋体" w:hAnsi="宋体"/>
          <w:i/>
          <w:szCs w:val="21"/>
        </w:rPr>
        <w:t>招标范围应准确明了，</w:t>
      </w:r>
      <w:r>
        <w:rPr>
          <w:rFonts w:hint="eastAsia" w:ascii="宋体" w:hAnsi="宋体"/>
          <w:i/>
          <w:szCs w:val="21"/>
        </w:rPr>
        <w:t>按照项目审批、核准、备案文件</w:t>
      </w:r>
      <w:r>
        <w:rPr>
          <w:rFonts w:ascii="宋体" w:hAnsi="宋体"/>
          <w:i/>
          <w:szCs w:val="21"/>
        </w:rPr>
        <w:t>采用工程专业术语</w:t>
      </w:r>
      <w:r>
        <w:rPr>
          <w:rFonts w:hint="eastAsia" w:ascii="宋体" w:hAnsi="宋体"/>
          <w:i/>
          <w:szCs w:val="21"/>
        </w:rPr>
        <w:t>进行</w:t>
      </w:r>
      <w:r>
        <w:rPr>
          <w:rFonts w:ascii="宋体" w:hAnsi="宋体"/>
          <w:i/>
          <w:szCs w:val="21"/>
        </w:rPr>
        <w:t>填写</w:t>
      </w:r>
      <w:r>
        <w:rPr>
          <w:rFonts w:hint="eastAsia" w:ascii="宋体" w:hAnsi="宋体"/>
          <w:i/>
          <w:szCs w:val="21"/>
        </w:rPr>
        <w:t>。</w:t>
      </w:r>
      <w:r>
        <w:rPr>
          <w:rFonts w:hint="eastAsia" w:ascii="宋体" w:hAnsi="宋体"/>
          <w:i/>
          <w:snapToGrid w:val="0"/>
          <w:kern w:val="0"/>
          <w:szCs w:val="21"/>
        </w:rPr>
        <w:t>]</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u w:val="single"/>
        </w:rPr>
      </w:pPr>
      <w:r>
        <w:rPr>
          <w:rFonts w:hint="eastAsia" w:ascii="宋体" w:hAnsi="宋体"/>
          <w:snapToGrid w:val="0"/>
          <w:kern w:val="0"/>
          <w:szCs w:val="21"/>
        </w:rPr>
        <w:t>2.5 工期要求：</w:t>
      </w:r>
      <w:r>
        <w:rPr>
          <w:rFonts w:hint="eastAsia" w:ascii="宋体" w:hAnsi="宋体"/>
          <w:snapToGrid w:val="0"/>
          <w:kern w:val="0"/>
          <w:szCs w:val="21"/>
          <w:u w:val="single"/>
        </w:rPr>
        <w:t xml:space="preserve">        日历天</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 xml:space="preserve">    缺陷责任期要求：</w:t>
      </w:r>
      <w:r>
        <w:rPr>
          <w:rFonts w:hint="eastAsia" w:ascii="宋体" w:hAnsi="宋体"/>
          <w:snapToGrid w:val="0"/>
          <w:kern w:val="0"/>
          <w:szCs w:val="21"/>
          <w:u w:val="single"/>
        </w:rPr>
        <w:t xml:space="preserve">        个月</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2.6 标段划分（如有）：</w:t>
      </w: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2.7 其他：</w:t>
      </w:r>
      <w:r>
        <w:rPr>
          <w:rFonts w:hint="eastAsia" w:ascii="宋体" w:hAnsi="宋体"/>
          <w:snapToGrid w:val="0"/>
          <w:kern w:val="0"/>
          <w:szCs w:val="21"/>
          <w:u w:val="single"/>
        </w:rPr>
        <w:t xml:space="preserve">        </w:t>
      </w:r>
    </w:p>
    <w:p>
      <w:pPr>
        <w:pStyle w:val="4"/>
        <w:spacing w:before="100" w:after="100" w:line="450" w:lineRule="exact"/>
        <w:rPr>
          <w:rFonts w:ascii="宋体" w:hAnsi="宋体"/>
          <w:snapToGrid w:val="0"/>
          <w:sz w:val="28"/>
          <w:szCs w:val="28"/>
        </w:rPr>
      </w:pPr>
      <w:bookmarkStart w:id="121" w:name="_Toc26232"/>
      <w:bookmarkStart w:id="122" w:name="_Toc287620677"/>
      <w:bookmarkStart w:id="123" w:name="_Toc430530426"/>
      <w:bookmarkStart w:id="124" w:name="_Toc224103309"/>
      <w:bookmarkStart w:id="125" w:name="_Toc277082545"/>
      <w:bookmarkStart w:id="126" w:name="_Toc287607738"/>
      <w:bookmarkStart w:id="127" w:name="_Toc10278"/>
      <w:bookmarkStart w:id="128" w:name="_Toc509218702"/>
      <w:bookmarkStart w:id="129" w:name="_Toc916"/>
      <w:r>
        <w:rPr>
          <w:rFonts w:ascii="宋体" w:hAnsi="宋体"/>
          <w:snapToGrid w:val="0"/>
          <w:sz w:val="28"/>
          <w:szCs w:val="28"/>
        </w:rPr>
        <w:t>3.  投标人资格要求</w:t>
      </w:r>
      <w:bookmarkEnd w:id="121"/>
      <w:bookmarkEnd w:id="122"/>
      <w:bookmarkEnd w:id="123"/>
      <w:bookmarkEnd w:id="124"/>
      <w:bookmarkEnd w:id="125"/>
      <w:bookmarkEnd w:id="126"/>
      <w:bookmarkEnd w:id="127"/>
      <w:bookmarkEnd w:id="128"/>
      <w:bookmarkEnd w:id="129"/>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ascii="宋体" w:hAnsi="宋体"/>
          <w:snapToGrid w:val="0"/>
          <w:kern w:val="0"/>
          <w:szCs w:val="21"/>
        </w:rPr>
        <w:t>3.1  本次招标要求投标人须具备</w:t>
      </w:r>
      <w:r>
        <w:rPr>
          <w:rFonts w:hint="eastAsia" w:ascii="宋体" w:hAnsi="宋体"/>
          <w:snapToGrid w:val="0"/>
          <w:kern w:val="0"/>
          <w:szCs w:val="21"/>
        </w:rPr>
        <w:t>以下条件：</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3.1.1 本次招标要求投标人具备的资质条件：</w:t>
      </w:r>
      <w:r>
        <w:rPr>
          <w:rFonts w:hint="eastAsia" w:ascii="宋体" w:hAnsi="宋体"/>
          <w:snapToGrid w:val="0"/>
          <w:kern w:val="0"/>
          <w:szCs w:val="21"/>
          <w:u w:val="single"/>
        </w:rPr>
        <w:t xml:space="preserve">                   </w:t>
      </w:r>
      <w:r>
        <w:rPr>
          <w:rFonts w:hint="eastAsia" w:ascii="宋体" w:hAnsi="宋体"/>
          <w:snapToGrid w:val="0"/>
          <w:kern w:val="0"/>
          <w:szCs w:val="21"/>
        </w:rPr>
        <w:t>；</w:t>
      </w:r>
    </w:p>
    <w:p>
      <w:pPr>
        <w:tabs>
          <w:tab w:val="left" w:pos="3840"/>
          <w:tab w:val="left" w:pos="5300"/>
        </w:tabs>
        <w:autoSpaceDE w:val="0"/>
        <w:autoSpaceDN w:val="0"/>
        <w:adjustRightInd w:val="0"/>
        <w:snapToGrid w:val="0"/>
        <w:spacing w:line="360" w:lineRule="auto"/>
        <w:ind w:firstLine="422" w:firstLineChars="200"/>
        <w:jc w:val="left"/>
        <w:rPr>
          <w:rFonts w:ascii="宋体" w:hAnsi="宋体" w:cs="宋体"/>
          <w:b/>
          <w:bCs/>
          <w:i/>
          <w:iCs/>
          <w:szCs w:val="21"/>
        </w:rPr>
      </w:pPr>
      <w:r>
        <w:rPr>
          <w:rFonts w:hint="eastAsia" w:ascii="宋体" w:hAnsi="宋体" w:cs="宋体"/>
          <w:b/>
          <w:bCs/>
          <w:i/>
          <w:iCs/>
          <w:szCs w:val="21"/>
        </w:rPr>
        <w:t>[提示：资质的设定应执行</w:t>
      </w:r>
      <w:r>
        <w:rPr>
          <w:rFonts w:ascii="宋体" w:hAnsi="宋体" w:cs="宋体"/>
          <w:b/>
          <w:bCs/>
          <w:i/>
          <w:iCs/>
          <w:szCs w:val="21"/>
        </w:rPr>
        <w:t>《地质灾害防治理单位资质管理办法》《中华人民共和国自然资源部令第</w:t>
      </w:r>
      <w:r>
        <w:rPr>
          <w:rFonts w:hint="eastAsia" w:ascii="宋体" w:hAnsi="宋体" w:cs="宋体"/>
          <w:b/>
          <w:bCs/>
          <w:i/>
          <w:iCs/>
          <w:szCs w:val="21"/>
        </w:rPr>
        <w:t>8</w:t>
      </w:r>
      <w:r>
        <w:rPr>
          <w:rFonts w:ascii="宋体" w:hAnsi="宋体" w:cs="宋体"/>
          <w:b/>
          <w:bCs/>
          <w:i/>
          <w:iCs/>
          <w:szCs w:val="21"/>
        </w:rPr>
        <w:t>号》</w:t>
      </w:r>
    </w:p>
    <w:p>
      <w:pPr>
        <w:tabs>
          <w:tab w:val="left" w:pos="3840"/>
          <w:tab w:val="left" w:pos="5300"/>
        </w:tabs>
        <w:autoSpaceDE w:val="0"/>
        <w:autoSpaceDN w:val="0"/>
        <w:adjustRightInd w:val="0"/>
        <w:snapToGrid w:val="0"/>
        <w:spacing w:line="460" w:lineRule="exact"/>
        <w:ind w:firstLine="420" w:firstLineChars="200"/>
        <w:jc w:val="left"/>
        <w:rPr>
          <w:rFonts w:ascii="宋体" w:hAnsi="宋体"/>
          <w:snapToGrid w:val="0"/>
          <w:kern w:val="0"/>
          <w:szCs w:val="21"/>
        </w:rPr>
      </w:pPr>
      <w:r>
        <w:rPr>
          <w:rFonts w:hint="eastAsia" w:ascii="宋体" w:hAnsi="宋体"/>
          <w:snapToGrid w:val="0"/>
          <w:kern w:val="0"/>
          <w:szCs w:val="21"/>
        </w:rPr>
        <w:t>3.1.</w:t>
      </w:r>
      <w:r>
        <w:rPr>
          <w:rFonts w:hint="eastAsia" w:ascii="宋体" w:hAnsi="宋体"/>
          <w:snapToGrid w:val="0"/>
          <w:kern w:val="0"/>
          <w:szCs w:val="21"/>
          <w:lang w:val="en-US" w:eastAsia="zh-CN"/>
        </w:rPr>
        <w:t>2</w:t>
      </w:r>
      <w:r>
        <w:rPr>
          <w:rFonts w:hint="eastAsia" w:ascii="宋体" w:hAnsi="宋体"/>
          <w:snapToGrid w:val="0"/>
          <w:kern w:val="0"/>
          <w:szCs w:val="21"/>
        </w:rPr>
        <w:t>投标人还应在人员、</w:t>
      </w:r>
      <w:r>
        <w:rPr>
          <w:rFonts w:hint="eastAsia" w:ascii="宋体" w:hAnsi="宋体"/>
          <w:snapToGrid w:val="0"/>
          <w:kern w:val="0"/>
          <w:szCs w:val="21"/>
          <w:lang w:val="en-US" w:eastAsia="zh-CN"/>
        </w:rPr>
        <w:t>业绩、</w:t>
      </w:r>
      <w:r>
        <w:rPr>
          <w:rFonts w:hint="eastAsia" w:ascii="宋体" w:hAnsi="宋体"/>
          <w:snapToGrid w:val="0"/>
          <w:kern w:val="0"/>
          <w:szCs w:val="21"/>
        </w:rPr>
        <w:t>设备、资金等方面具有相应的施工能力，详见招标文件第二章投标人须知前附表第1.4.1项内容。</w:t>
      </w:r>
    </w:p>
    <w:p>
      <w:pPr>
        <w:tabs>
          <w:tab w:val="left" w:pos="2060"/>
          <w:tab w:val="left" w:pos="8205"/>
        </w:tabs>
        <w:autoSpaceDE w:val="0"/>
        <w:autoSpaceDN w:val="0"/>
        <w:adjustRightInd w:val="0"/>
        <w:snapToGrid w:val="0"/>
        <w:spacing w:line="450" w:lineRule="exact"/>
        <w:ind w:firstLine="405" w:firstLineChars="193"/>
        <w:jc w:val="left"/>
        <w:rPr>
          <w:rFonts w:ascii="宋体" w:hAnsi="宋体"/>
          <w:snapToGrid w:val="0"/>
          <w:kern w:val="0"/>
          <w:szCs w:val="21"/>
        </w:rPr>
      </w:pPr>
      <w:r>
        <w:rPr>
          <w:rFonts w:ascii="宋体" w:hAnsi="宋体"/>
          <w:snapToGrid w:val="0"/>
          <w:kern w:val="0"/>
          <w:szCs w:val="21"/>
        </w:rPr>
        <w:t>3.2  你单位</w:t>
      </w:r>
      <w:r>
        <w:rPr>
          <w:rFonts w:hint="eastAsia" w:ascii="宋体" w:hAnsi="宋体"/>
          <w:snapToGrid w:val="0"/>
          <w:kern w:val="0"/>
          <w:szCs w:val="21"/>
        </w:rPr>
        <w:t>□可以 □不可以</w:t>
      </w:r>
      <w:r>
        <w:rPr>
          <w:rFonts w:ascii="宋体" w:hAnsi="宋体"/>
          <w:snapToGrid w:val="0"/>
          <w:kern w:val="0"/>
          <w:szCs w:val="21"/>
        </w:rPr>
        <w:t>组成联合体投标。联合体投标的，应满足下列要求：</w:t>
      </w:r>
      <w:r>
        <w:rPr>
          <w:rFonts w:hint="eastAsia" w:ascii="宋体" w:hAnsi="宋体"/>
          <w:snapToGrid w:val="0"/>
          <w:kern w:val="0"/>
          <w:szCs w:val="21"/>
          <w:u w:val="single"/>
        </w:rPr>
        <w:t xml:space="preserve">               </w:t>
      </w:r>
      <w:r>
        <w:rPr>
          <w:rFonts w:ascii="宋体" w:hAnsi="宋体"/>
          <w:snapToGrid w:val="0"/>
          <w:kern w:val="0"/>
          <w:szCs w:val="21"/>
        </w:rPr>
        <w:t>。</w:t>
      </w:r>
    </w:p>
    <w:p>
      <w:pPr>
        <w:pStyle w:val="4"/>
        <w:spacing w:before="100" w:after="100" w:line="450" w:lineRule="exact"/>
        <w:rPr>
          <w:rFonts w:ascii="宋体" w:hAnsi="宋体"/>
          <w:snapToGrid w:val="0"/>
          <w:sz w:val="28"/>
          <w:szCs w:val="28"/>
        </w:rPr>
      </w:pPr>
      <w:bookmarkStart w:id="130" w:name="_Toc430530427"/>
      <w:bookmarkStart w:id="131" w:name="_Toc277082546"/>
      <w:bookmarkStart w:id="132" w:name="_Toc11751"/>
      <w:bookmarkStart w:id="133" w:name="_Toc26919"/>
      <w:bookmarkStart w:id="134" w:name="_Toc509218703"/>
      <w:bookmarkStart w:id="135" w:name="_Toc224103310"/>
      <w:bookmarkStart w:id="136" w:name="_Toc287607739"/>
      <w:bookmarkStart w:id="137" w:name="_Toc287620678"/>
      <w:bookmarkStart w:id="138" w:name="_Toc20824"/>
      <w:r>
        <w:rPr>
          <w:rFonts w:ascii="宋体" w:hAnsi="宋体"/>
          <w:snapToGrid w:val="0"/>
          <w:sz w:val="28"/>
          <w:szCs w:val="28"/>
        </w:rPr>
        <w:t>4.  招标文件的获取</w:t>
      </w:r>
      <w:bookmarkEnd w:id="130"/>
      <w:bookmarkEnd w:id="131"/>
      <w:bookmarkEnd w:id="132"/>
      <w:bookmarkEnd w:id="133"/>
      <w:bookmarkEnd w:id="134"/>
      <w:bookmarkEnd w:id="135"/>
      <w:bookmarkEnd w:id="136"/>
      <w:bookmarkEnd w:id="137"/>
      <w:bookmarkEnd w:id="138"/>
    </w:p>
    <w:p>
      <w:pPr>
        <w:tabs>
          <w:tab w:val="left" w:pos="525"/>
          <w:tab w:val="left" w:pos="5080"/>
        </w:tabs>
        <w:autoSpaceDE w:val="0"/>
        <w:autoSpaceDN w:val="0"/>
        <w:adjustRightInd w:val="0"/>
        <w:snapToGrid w:val="0"/>
        <w:spacing w:line="450" w:lineRule="exact"/>
        <w:ind w:firstLine="424" w:firstLineChars="202"/>
        <w:rPr>
          <w:rFonts w:ascii="宋体" w:hAnsi="宋体"/>
          <w:snapToGrid w:val="0"/>
          <w:kern w:val="0"/>
          <w:szCs w:val="21"/>
        </w:rPr>
      </w:pPr>
      <w:bookmarkStart w:id="139" w:name="_Toc287607740"/>
      <w:bookmarkStart w:id="140" w:name="_Toc277082547"/>
      <w:bookmarkStart w:id="141" w:name="_Toc224103311"/>
      <w:bookmarkStart w:id="142" w:name="_Toc287620679"/>
      <w:r>
        <w:rPr>
          <w:rFonts w:ascii="宋体" w:hAnsi="宋体"/>
          <w:snapToGrid w:val="0"/>
          <w:kern w:val="0"/>
          <w:szCs w:val="21"/>
        </w:rPr>
        <w:t>4.</w:t>
      </w:r>
      <w:r>
        <w:rPr>
          <w:rFonts w:hint="eastAsia" w:ascii="宋体" w:hAnsi="宋体"/>
          <w:snapToGrid w:val="0"/>
          <w:kern w:val="0"/>
          <w:szCs w:val="21"/>
        </w:rPr>
        <w:t>1  本招标项目采用全流程电子招投标，招标人</w:t>
      </w:r>
      <w:r>
        <w:rPr>
          <w:rFonts w:ascii="宋体" w:hAnsi="宋体"/>
          <w:snapToGrid w:val="0"/>
          <w:kern w:val="0"/>
          <w:szCs w:val="21"/>
        </w:rPr>
        <w:t>必须将招标文件</w:t>
      </w:r>
      <w:r>
        <w:rPr>
          <w:rFonts w:hint="eastAsia" w:ascii="宋体" w:hAnsi="宋体"/>
          <w:snapToGrid w:val="0"/>
          <w:kern w:val="0"/>
          <w:szCs w:val="21"/>
        </w:rPr>
        <w:t>、</w:t>
      </w:r>
      <w:r>
        <w:rPr>
          <w:rFonts w:ascii="宋体" w:hAnsi="宋体"/>
          <w:snapToGrid w:val="0"/>
          <w:kern w:val="0"/>
          <w:szCs w:val="21"/>
        </w:rPr>
        <w:t>工程量清单、图纸、澄清、修改、补充通知、最高限价通知等全部招标资料</w:t>
      </w:r>
      <w:r>
        <w:rPr>
          <w:rFonts w:hint="eastAsia" w:ascii="宋体" w:hAnsi="宋体"/>
          <w:snapToGrid w:val="0"/>
          <w:kern w:val="0"/>
          <w:szCs w:val="21"/>
        </w:rPr>
        <w:t>通过重庆市电子招投标系统</w:t>
      </w:r>
      <w:r>
        <w:rPr>
          <w:rFonts w:ascii="宋体" w:hAnsi="宋体"/>
          <w:snapToGrid w:val="0"/>
          <w:kern w:val="0"/>
          <w:szCs w:val="21"/>
        </w:rPr>
        <w:t>送达所有被邀请投标人。</w:t>
      </w:r>
    </w:p>
    <w:p>
      <w:pPr>
        <w:tabs>
          <w:tab w:val="left" w:pos="2420"/>
          <w:tab w:val="left" w:pos="5445"/>
        </w:tabs>
        <w:autoSpaceDE w:val="0"/>
        <w:autoSpaceDN w:val="0"/>
        <w:adjustRightInd w:val="0"/>
        <w:snapToGrid w:val="0"/>
        <w:spacing w:line="450" w:lineRule="exact"/>
        <w:ind w:firstLine="420"/>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2  投标人可在附件投标邀请书规定的时限内通过重庆市电子招投标系统对本项目招标文件提出疑问。</w:t>
      </w:r>
    </w:p>
    <w:p>
      <w:pPr>
        <w:tabs>
          <w:tab w:val="left" w:pos="2420"/>
          <w:tab w:val="left" w:pos="5445"/>
        </w:tabs>
        <w:autoSpaceDE w:val="0"/>
        <w:autoSpaceDN w:val="0"/>
        <w:adjustRightInd w:val="0"/>
        <w:snapToGrid w:val="0"/>
        <w:spacing w:line="450" w:lineRule="exact"/>
        <w:ind w:firstLine="420"/>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3 招标人应在附件投标邀请书规定的时限内通过重庆市电子招投标系统发布澄清或修改</w:t>
      </w:r>
      <w:r>
        <w:rPr>
          <w:rFonts w:ascii="宋体" w:hAnsi="宋体"/>
          <w:snapToGrid w:val="0"/>
          <w:kern w:val="0"/>
          <w:szCs w:val="21"/>
        </w:rPr>
        <w:t>。</w:t>
      </w:r>
    </w:p>
    <w:p>
      <w:pPr>
        <w:pStyle w:val="4"/>
        <w:spacing w:before="100" w:after="100" w:line="450" w:lineRule="exact"/>
        <w:rPr>
          <w:rFonts w:ascii="宋体" w:hAnsi="宋体"/>
          <w:snapToGrid w:val="0"/>
          <w:sz w:val="28"/>
          <w:szCs w:val="28"/>
        </w:rPr>
      </w:pPr>
      <w:bookmarkStart w:id="143" w:name="_Toc509218704"/>
      <w:bookmarkStart w:id="144" w:name="_Toc430530428"/>
      <w:bookmarkStart w:id="145" w:name="_Toc29207"/>
      <w:bookmarkStart w:id="146" w:name="_Toc20208"/>
      <w:bookmarkStart w:id="147" w:name="_Toc1158"/>
      <w:r>
        <w:rPr>
          <w:rFonts w:ascii="宋体" w:hAnsi="宋体"/>
          <w:snapToGrid w:val="0"/>
          <w:sz w:val="28"/>
          <w:szCs w:val="28"/>
        </w:rPr>
        <w:t>5.  投标文件的递交</w:t>
      </w:r>
      <w:bookmarkEnd w:id="139"/>
      <w:bookmarkEnd w:id="140"/>
      <w:bookmarkEnd w:id="141"/>
      <w:bookmarkEnd w:id="142"/>
      <w:bookmarkEnd w:id="143"/>
      <w:bookmarkEnd w:id="144"/>
      <w:bookmarkEnd w:id="145"/>
      <w:bookmarkEnd w:id="146"/>
      <w:bookmarkEnd w:id="147"/>
    </w:p>
    <w:p>
      <w:pPr>
        <w:tabs>
          <w:tab w:val="left" w:pos="1580"/>
          <w:tab w:val="left" w:pos="6000"/>
          <w:tab w:val="left" w:pos="6320"/>
          <w:tab w:val="left" w:pos="6887"/>
          <w:tab w:val="left" w:pos="7475"/>
        </w:tabs>
        <w:autoSpaceDE w:val="0"/>
        <w:autoSpaceDN w:val="0"/>
        <w:adjustRightInd w:val="0"/>
        <w:snapToGrid w:val="0"/>
        <w:spacing w:line="450" w:lineRule="exact"/>
        <w:ind w:firstLine="390" w:firstLineChars="186"/>
        <w:jc w:val="left"/>
        <w:rPr>
          <w:rFonts w:ascii="宋体" w:hAnsi="宋体"/>
          <w:snapToGrid w:val="0"/>
          <w:kern w:val="0"/>
          <w:szCs w:val="21"/>
        </w:rPr>
      </w:pPr>
      <w:r>
        <w:rPr>
          <w:rFonts w:ascii="宋体" w:hAnsi="宋体"/>
          <w:snapToGrid w:val="0"/>
          <w:kern w:val="0"/>
          <w:szCs w:val="21"/>
        </w:rPr>
        <w:t>5.1  投标文件递交的截止时间（投标截止时间，下同）</w:t>
      </w:r>
      <w:r>
        <w:rPr>
          <w:rFonts w:hint="eastAsia" w:ascii="宋体" w:hAnsi="宋体"/>
          <w:snapToGrid w:val="0"/>
          <w:kern w:val="0"/>
          <w:szCs w:val="21"/>
        </w:rPr>
        <w:t>详见附件投标邀请书规定的投标截止时间</w:t>
      </w:r>
      <w:r>
        <w:rPr>
          <w:rFonts w:ascii="宋体" w:hAnsi="宋体"/>
          <w:snapToGrid w:val="0"/>
          <w:kern w:val="0"/>
          <w:szCs w:val="21"/>
        </w:rPr>
        <w:t>，</w:t>
      </w:r>
      <w:r>
        <w:rPr>
          <w:rFonts w:hint="eastAsia" w:ascii="宋体" w:hAnsi="宋体"/>
          <w:snapToGrid w:val="0"/>
          <w:kern w:val="0"/>
          <w:szCs w:val="21"/>
        </w:rPr>
        <w:t>投标人应当在投标截止时间前，通过互联网使用CA数字证书登录重庆市电子招投标系统，将加密的电子投标文件上传。</w:t>
      </w:r>
    </w:p>
    <w:p>
      <w:pPr>
        <w:autoSpaceDE w:val="0"/>
        <w:autoSpaceDN w:val="0"/>
        <w:adjustRightInd w:val="0"/>
        <w:snapToGrid w:val="0"/>
        <w:spacing w:line="450" w:lineRule="exact"/>
        <w:ind w:firstLine="390" w:firstLineChars="186"/>
        <w:jc w:val="left"/>
        <w:rPr>
          <w:rFonts w:ascii="宋体" w:hAnsi="宋体"/>
          <w:snapToGrid w:val="0"/>
          <w:kern w:val="0"/>
          <w:szCs w:val="21"/>
        </w:rPr>
      </w:pPr>
      <w:r>
        <w:rPr>
          <w:rFonts w:ascii="宋体" w:hAnsi="宋体"/>
          <w:snapToGrid w:val="0"/>
          <w:kern w:val="0"/>
          <w:szCs w:val="21"/>
        </w:rPr>
        <w:t xml:space="preserve">5.2  </w:t>
      </w:r>
      <w:r>
        <w:rPr>
          <w:rFonts w:hint="eastAsia" w:ascii="宋体" w:hAnsi="宋体"/>
          <w:snapToGrid w:val="0"/>
          <w:kern w:val="0"/>
          <w:szCs w:val="21"/>
        </w:rPr>
        <w:t>未按要求加密的电子投标文件，将无法上传至重庆市电子招投标系统，逾期未完成上传投标文件的，视为撤回投标文件。</w:t>
      </w:r>
    </w:p>
    <w:p>
      <w:pPr>
        <w:pStyle w:val="4"/>
        <w:spacing w:before="100" w:after="100" w:line="450" w:lineRule="exact"/>
        <w:rPr>
          <w:rFonts w:ascii="宋体" w:hAnsi="宋体"/>
          <w:snapToGrid w:val="0"/>
          <w:sz w:val="28"/>
          <w:szCs w:val="28"/>
        </w:rPr>
      </w:pPr>
      <w:bookmarkStart w:id="148" w:name="_Toc287620680"/>
      <w:bookmarkStart w:id="149" w:name="_Toc6039"/>
      <w:bookmarkStart w:id="150" w:name="_Toc430530429"/>
      <w:bookmarkStart w:id="151" w:name="_Toc20577"/>
      <w:bookmarkStart w:id="152" w:name="_Toc277082548"/>
      <w:bookmarkStart w:id="153" w:name="_Toc509218705"/>
      <w:bookmarkStart w:id="154" w:name="_Toc287607741"/>
      <w:bookmarkStart w:id="155" w:name="_Toc27373"/>
      <w:bookmarkStart w:id="156" w:name="_Toc224103312"/>
      <w:r>
        <w:rPr>
          <w:rFonts w:ascii="宋体" w:hAnsi="宋体"/>
          <w:snapToGrid w:val="0"/>
          <w:sz w:val="28"/>
          <w:szCs w:val="28"/>
        </w:rPr>
        <w:t>6.  确认</w:t>
      </w:r>
      <w:bookmarkEnd w:id="148"/>
      <w:bookmarkEnd w:id="149"/>
      <w:bookmarkEnd w:id="150"/>
      <w:bookmarkEnd w:id="151"/>
      <w:bookmarkEnd w:id="152"/>
      <w:bookmarkEnd w:id="153"/>
      <w:bookmarkEnd w:id="154"/>
      <w:bookmarkEnd w:id="155"/>
      <w:bookmarkEnd w:id="156"/>
    </w:p>
    <w:p>
      <w:pPr>
        <w:tabs>
          <w:tab w:val="left" w:pos="6330"/>
        </w:tabs>
        <w:autoSpaceDE w:val="0"/>
        <w:autoSpaceDN w:val="0"/>
        <w:adjustRightInd w:val="0"/>
        <w:snapToGrid w:val="0"/>
        <w:spacing w:line="450" w:lineRule="exact"/>
        <w:ind w:firstLine="420" w:firstLineChars="200"/>
        <w:jc w:val="left"/>
        <w:rPr>
          <w:rFonts w:ascii="宋体" w:hAnsi="宋体"/>
          <w:snapToGrid w:val="0"/>
          <w:kern w:val="0"/>
          <w:szCs w:val="21"/>
        </w:rPr>
      </w:pPr>
      <w:r>
        <w:rPr>
          <w:rFonts w:hint="eastAsia" w:ascii="宋体" w:hAnsi="宋体"/>
          <w:snapToGrid w:val="0"/>
          <w:kern w:val="0"/>
          <w:szCs w:val="21"/>
        </w:rPr>
        <w:t>本招标项目采用全流程电子招投标，被邀请投标人通过重庆市电子招投标系统确认。</w:t>
      </w:r>
    </w:p>
    <w:p>
      <w:pPr>
        <w:pStyle w:val="4"/>
        <w:spacing w:before="100" w:after="100" w:line="450" w:lineRule="exact"/>
        <w:rPr>
          <w:rFonts w:ascii="宋体" w:hAnsi="宋体"/>
          <w:snapToGrid w:val="0"/>
          <w:sz w:val="28"/>
          <w:szCs w:val="28"/>
        </w:rPr>
      </w:pPr>
      <w:bookmarkStart w:id="157" w:name="_Toc277082549"/>
      <w:bookmarkStart w:id="158" w:name="_Toc224103313"/>
      <w:bookmarkStart w:id="159" w:name="_Toc29545"/>
      <w:bookmarkStart w:id="160" w:name="_Toc430530430"/>
      <w:bookmarkStart w:id="161" w:name="_Toc15448"/>
      <w:bookmarkStart w:id="162" w:name="_Toc287620681"/>
      <w:bookmarkStart w:id="163" w:name="_Toc509218706"/>
      <w:bookmarkStart w:id="164" w:name="_Toc287607742"/>
      <w:bookmarkStart w:id="165" w:name="_Toc140"/>
      <w:r>
        <w:rPr>
          <w:rFonts w:hint="eastAsia" w:ascii="宋体" w:hAnsi="宋体"/>
          <w:snapToGrid w:val="0"/>
          <w:sz w:val="28"/>
          <w:szCs w:val="28"/>
        </w:rPr>
        <w:t>7</w:t>
      </w:r>
      <w:r>
        <w:rPr>
          <w:rFonts w:ascii="宋体" w:hAnsi="宋体"/>
          <w:snapToGrid w:val="0"/>
          <w:sz w:val="28"/>
          <w:szCs w:val="28"/>
        </w:rPr>
        <w:t>.  联系方式</w:t>
      </w:r>
      <w:bookmarkEnd w:id="157"/>
      <w:bookmarkEnd w:id="158"/>
      <w:bookmarkEnd w:id="159"/>
      <w:bookmarkEnd w:id="160"/>
      <w:bookmarkEnd w:id="161"/>
      <w:bookmarkEnd w:id="162"/>
      <w:bookmarkEnd w:id="163"/>
      <w:bookmarkEnd w:id="164"/>
      <w:bookmarkEnd w:id="165"/>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招 标 人：</w:t>
      </w:r>
      <w:r>
        <w:rPr>
          <w:rFonts w:ascii="宋体" w:hAnsi="宋体"/>
          <w:snapToGrid w:val="0"/>
          <w:kern w:val="0"/>
          <w:szCs w:val="21"/>
          <w:u w:val="single"/>
        </w:rPr>
        <w:t xml:space="preserve">                             </w:t>
      </w:r>
      <w:r>
        <w:rPr>
          <w:rFonts w:ascii="宋体" w:hAnsi="宋体"/>
          <w:snapToGrid w:val="0"/>
          <w:kern w:val="0"/>
          <w:szCs w:val="21"/>
        </w:rPr>
        <w:t xml:space="preserve">     招标代理机构：</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地    址：</w:t>
      </w:r>
      <w:r>
        <w:rPr>
          <w:rFonts w:ascii="宋体" w:hAnsi="宋体"/>
          <w:snapToGrid w:val="0"/>
          <w:kern w:val="0"/>
          <w:szCs w:val="21"/>
          <w:u w:val="single"/>
        </w:rPr>
        <w:t xml:space="preserve">                             </w:t>
      </w:r>
      <w:r>
        <w:rPr>
          <w:rFonts w:ascii="宋体" w:hAnsi="宋体"/>
          <w:snapToGrid w:val="0"/>
          <w:kern w:val="0"/>
          <w:szCs w:val="21"/>
        </w:rPr>
        <w:t xml:space="preserve">     地    址：  </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position w:val="-3"/>
          <w:szCs w:val="21"/>
        </w:rPr>
        <w:t>邮    编：</w:t>
      </w:r>
      <w:r>
        <w:rPr>
          <w:rFonts w:ascii="宋体" w:hAnsi="宋体"/>
          <w:snapToGrid w:val="0"/>
          <w:kern w:val="0"/>
          <w:szCs w:val="21"/>
          <w:u w:val="single"/>
        </w:rPr>
        <w:t xml:space="preserve">                             </w:t>
      </w:r>
      <w:r>
        <w:rPr>
          <w:rFonts w:ascii="宋体" w:hAnsi="宋体"/>
          <w:snapToGrid w:val="0"/>
          <w:kern w:val="0"/>
          <w:szCs w:val="21"/>
        </w:rPr>
        <w:t xml:space="preserve">     </w:t>
      </w:r>
      <w:r>
        <w:rPr>
          <w:rFonts w:ascii="宋体" w:hAnsi="宋体"/>
          <w:snapToGrid w:val="0"/>
          <w:kern w:val="0"/>
          <w:position w:val="-3"/>
          <w:szCs w:val="21"/>
        </w:rPr>
        <w:t>邮    编：</w:t>
      </w:r>
      <w:r>
        <w:rPr>
          <w:rFonts w:ascii="宋体" w:hAnsi="宋体"/>
          <w:snapToGrid w:val="0"/>
          <w:kern w:val="0"/>
          <w:position w:val="-3"/>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联 系 人：</w:t>
      </w:r>
      <w:r>
        <w:rPr>
          <w:rFonts w:ascii="宋体" w:hAnsi="宋体"/>
          <w:snapToGrid w:val="0"/>
          <w:kern w:val="0"/>
          <w:szCs w:val="21"/>
          <w:u w:val="single"/>
        </w:rPr>
        <w:t xml:space="preserve">                             </w:t>
      </w:r>
      <w:r>
        <w:rPr>
          <w:rFonts w:ascii="宋体" w:hAnsi="宋体"/>
          <w:snapToGrid w:val="0"/>
          <w:kern w:val="0"/>
          <w:szCs w:val="21"/>
        </w:rPr>
        <w:t xml:space="preserve">     联 系 人：</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电    话：</w:t>
      </w:r>
      <w:r>
        <w:rPr>
          <w:rFonts w:ascii="宋体" w:hAnsi="宋体"/>
          <w:snapToGrid w:val="0"/>
          <w:kern w:val="0"/>
          <w:szCs w:val="21"/>
          <w:u w:val="single"/>
        </w:rPr>
        <w:t xml:space="preserve">                             </w:t>
      </w:r>
      <w:r>
        <w:rPr>
          <w:rFonts w:ascii="宋体" w:hAnsi="宋体"/>
          <w:snapToGrid w:val="0"/>
          <w:kern w:val="0"/>
          <w:szCs w:val="21"/>
        </w:rPr>
        <w:t xml:space="preserve">     电    话：</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u w:val="single"/>
        </w:rPr>
      </w:pPr>
      <w:r>
        <w:rPr>
          <w:rFonts w:ascii="宋体" w:hAnsi="宋体"/>
          <w:snapToGrid w:val="0"/>
          <w:kern w:val="0"/>
          <w:szCs w:val="21"/>
        </w:rPr>
        <w:t>传    真：</w:t>
      </w:r>
      <w:r>
        <w:rPr>
          <w:rFonts w:ascii="宋体" w:hAnsi="宋体"/>
          <w:snapToGrid w:val="0"/>
          <w:kern w:val="0"/>
          <w:szCs w:val="21"/>
          <w:u w:val="single"/>
        </w:rPr>
        <w:t xml:space="preserve">                             </w:t>
      </w:r>
      <w:r>
        <w:rPr>
          <w:rFonts w:ascii="宋体" w:hAnsi="宋体"/>
          <w:snapToGrid w:val="0"/>
          <w:kern w:val="0"/>
          <w:szCs w:val="21"/>
        </w:rPr>
        <w:t xml:space="preserve">     传    真：</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电子邮件：</w:t>
      </w:r>
      <w:r>
        <w:rPr>
          <w:rFonts w:ascii="宋体" w:hAnsi="宋体"/>
          <w:snapToGrid w:val="0"/>
          <w:kern w:val="0"/>
          <w:szCs w:val="21"/>
          <w:u w:val="single"/>
        </w:rPr>
        <w:t xml:space="preserve">                             </w:t>
      </w:r>
      <w:r>
        <w:rPr>
          <w:rFonts w:ascii="宋体" w:hAnsi="宋体"/>
          <w:snapToGrid w:val="0"/>
          <w:kern w:val="0"/>
          <w:szCs w:val="21"/>
        </w:rPr>
        <w:t xml:space="preserve">     电子邮件：</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rPr>
      </w:pPr>
      <w:r>
        <w:rPr>
          <w:rFonts w:ascii="宋体" w:hAnsi="宋体"/>
          <w:snapToGrid w:val="0"/>
          <w:kern w:val="0"/>
          <w:szCs w:val="21"/>
        </w:rPr>
        <w:t>开户银行：</w:t>
      </w:r>
      <w:r>
        <w:rPr>
          <w:rFonts w:ascii="宋体" w:hAnsi="宋体"/>
          <w:snapToGrid w:val="0"/>
          <w:kern w:val="0"/>
          <w:szCs w:val="21"/>
          <w:u w:val="single"/>
        </w:rPr>
        <w:t xml:space="preserve">                             </w:t>
      </w:r>
      <w:r>
        <w:rPr>
          <w:rFonts w:ascii="宋体" w:hAnsi="宋体"/>
          <w:snapToGrid w:val="0"/>
          <w:kern w:val="0"/>
          <w:szCs w:val="21"/>
        </w:rPr>
        <w:t xml:space="preserve">     开户银行：</w:t>
      </w:r>
      <w:r>
        <w:rPr>
          <w:rFonts w:ascii="宋体" w:hAnsi="宋体"/>
          <w:snapToGrid w:val="0"/>
          <w:kern w:val="0"/>
          <w:szCs w:val="21"/>
          <w:u w:val="single"/>
        </w:rPr>
        <w:t xml:space="preserve">                                </w:t>
      </w:r>
    </w:p>
    <w:p>
      <w:pPr>
        <w:tabs>
          <w:tab w:val="left" w:pos="5140"/>
          <w:tab w:val="left" w:pos="8420"/>
        </w:tabs>
        <w:autoSpaceDE w:val="0"/>
        <w:autoSpaceDN w:val="0"/>
        <w:adjustRightInd w:val="0"/>
        <w:snapToGrid w:val="0"/>
        <w:spacing w:line="450" w:lineRule="exact"/>
        <w:ind w:firstLine="420" w:firstLineChars="200"/>
        <w:jc w:val="left"/>
        <w:rPr>
          <w:rFonts w:ascii="宋体" w:hAnsi="宋体"/>
          <w:snapToGrid w:val="0"/>
          <w:kern w:val="0"/>
          <w:szCs w:val="21"/>
          <w:u w:val="single"/>
        </w:rPr>
      </w:pPr>
      <w:r>
        <w:rPr>
          <w:rFonts w:ascii="宋体" w:hAnsi="宋体"/>
          <w:snapToGrid w:val="0"/>
          <w:kern w:val="0"/>
          <w:szCs w:val="21"/>
        </w:rPr>
        <w:t>账    号：</w:t>
      </w:r>
      <w:r>
        <w:rPr>
          <w:rFonts w:ascii="宋体" w:hAnsi="宋体"/>
          <w:snapToGrid w:val="0"/>
          <w:kern w:val="0"/>
          <w:szCs w:val="21"/>
          <w:u w:val="single"/>
        </w:rPr>
        <w:t xml:space="preserve">                             </w:t>
      </w:r>
      <w:r>
        <w:rPr>
          <w:rFonts w:ascii="宋体" w:hAnsi="宋体"/>
          <w:snapToGrid w:val="0"/>
          <w:kern w:val="0"/>
          <w:szCs w:val="21"/>
        </w:rPr>
        <w:t xml:space="preserve">     账    号：</w:t>
      </w:r>
      <w:r>
        <w:rPr>
          <w:rFonts w:ascii="宋体" w:hAnsi="宋体"/>
          <w:snapToGrid w:val="0"/>
          <w:kern w:val="0"/>
          <w:szCs w:val="21"/>
          <w:u w:val="single"/>
        </w:rPr>
        <w:t xml:space="preserve">                                </w:t>
      </w:r>
    </w:p>
    <w:p>
      <w:pPr>
        <w:autoSpaceDE w:val="0"/>
        <w:autoSpaceDN w:val="0"/>
        <w:adjustRightInd w:val="0"/>
        <w:snapToGrid w:val="0"/>
        <w:spacing w:line="450" w:lineRule="exact"/>
        <w:jc w:val="right"/>
        <w:rPr>
          <w:rFonts w:ascii="宋体" w:hAnsi="宋体"/>
          <w:snapToGrid w:val="0"/>
          <w:kern w:val="0"/>
          <w:szCs w:val="21"/>
        </w:rPr>
      </w:pPr>
      <w:r>
        <w:rPr>
          <w:rFonts w:ascii="宋体" w:hAnsi="宋体"/>
          <w:snapToGrid w:val="0"/>
          <w:kern w:val="0"/>
          <w:szCs w:val="21"/>
          <w:u w:val="single"/>
        </w:rPr>
        <w:t xml:space="preserve">         </w:t>
      </w:r>
      <w:r>
        <w:rPr>
          <w:rFonts w:ascii="宋体" w:hAnsi="宋体"/>
          <w:snapToGrid w:val="0"/>
          <w:kern w:val="0"/>
          <w:szCs w:val="21"/>
        </w:rPr>
        <w:t>年</w:t>
      </w:r>
      <w:r>
        <w:rPr>
          <w:rFonts w:ascii="宋体" w:hAnsi="宋体"/>
          <w:snapToGrid w:val="0"/>
          <w:kern w:val="0"/>
          <w:szCs w:val="21"/>
          <w:u w:val="single"/>
        </w:rPr>
        <w:t xml:space="preserve">      </w:t>
      </w:r>
      <w:r>
        <w:rPr>
          <w:rFonts w:ascii="宋体" w:hAnsi="宋体"/>
          <w:snapToGrid w:val="0"/>
          <w:kern w:val="0"/>
          <w:szCs w:val="21"/>
        </w:rPr>
        <w:t>月</w:t>
      </w:r>
      <w:r>
        <w:rPr>
          <w:rFonts w:ascii="宋体" w:hAnsi="宋体"/>
          <w:snapToGrid w:val="0"/>
          <w:kern w:val="0"/>
          <w:szCs w:val="21"/>
          <w:u w:val="single"/>
        </w:rPr>
        <w:t xml:space="preserve">      </w:t>
      </w:r>
      <w:r>
        <w:rPr>
          <w:rFonts w:ascii="宋体" w:hAnsi="宋体"/>
          <w:snapToGrid w:val="0"/>
          <w:kern w:val="0"/>
          <w:szCs w:val="21"/>
        </w:rPr>
        <w:t xml:space="preserve">日  </w:t>
      </w:r>
    </w:p>
    <w:p>
      <w:pPr>
        <w:autoSpaceDE w:val="0"/>
        <w:autoSpaceDN w:val="0"/>
        <w:adjustRightInd w:val="0"/>
        <w:snapToGrid w:val="0"/>
        <w:spacing w:line="200" w:lineRule="exact"/>
        <w:jc w:val="left"/>
        <w:rPr>
          <w:rFonts w:ascii="宋体" w:hAnsi="宋体"/>
          <w:snapToGrid w:val="0"/>
          <w:kern w:val="0"/>
          <w:sz w:val="20"/>
          <w:szCs w:val="20"/>
        </w:rPr>
      </w:pPr>
      <w:r>
        <w:rPr>
          <w:rFonts w:ascii="宋体" w:hAnsi="宋体"/>
          <w:snapToGrid w:val="0"/>
          <w:kern w:val="0"/>
          <w:szCs w:val="21"/>
        </w:rPr>
        <w:br w:type="page"/>
      </w:r>
    </w:p>
    <w:p>
      <w:pPr>
        <w:pStyle w:val="3"/>
        <w:spacing w:line="360" w:lineRule="auto"/>
        <w:jc w:val="center"/>
        <w:rPr>
          <w:rFonts w:ascii="宋体" w:hAnsi="宋体"/>
          <w:bCs w:val="0"/>
          <w:snapToGrid w:val="0"/>
          <w:kern w:val="0"/>
        </w:rPr>
      </w:pPr>
      <w:bookmarkStart w:id="166" w:name="_Toc430530432"/>
      <w:bookmarkStart w:id="167" w:name="_Toc5390"/>
      <w:bookmarkStart w:id="168" w:name="_Toc287607744"/>
      <w:bookmarkStart w:id="169" w:name="_Toc224103315"/>
      <w:bookmarkStart w:id="170" w:name="_Toc27878"/>
      <w:bookmarkStart w:id="171" w:name="_Toc27235"/>
      <w:bookmarkStart w:id="172" w:name="_Toc287620683"/>
      <w:r>
        <w:rPr>
          <w:rFonts w:ascii="宋体" w:hAnsi="宋体"/>
          <w:snapToGrid w:val="0"/>
          <w:kern w:val="0"/>
        </w:rPr>
        <w:t>第二章  投标人须知</w:t>
      </w:r>
      <w:bookmarkEnd w:id="166"/>
      <w:bookmarkEnd w:id="167"/>
      <w:bookmarkEnd w:id="168"/>
      <w:bookmarkEnd w:id="169"/>
      <w:bookmarkEnd w:id="170"/>
      <w:bookmarkEnd w:id="171"/>
      <w:bookmarkEnd w:id="172"/>
      <w:bookmarkStart w:id="173" w:name="_Toc287620684"/>
      <w:bookmarkStart w:id="174" w:name="_Toc287607745"/>
      <w:bookmarkStart w:id="175" w:name="_Toc430530433"/>
      <w:bookmarkStart w:id="176" w:name="_Toc277082551"/>
      <w:bookmarkStart w:id="177" w:name="_Toc224103316"/>
    </w:p>
    <w:p>
      <w:pPr>
        <w:pStyle w:val="4"/>
        <w:spacing w:before="100" w:after="100" w:line="360" w:lineRule="auto"/>
        <w:rPr>
          <w:rFonts w:ascii="宋体" w:hAnsi="宋体"/>
        </w:rPr>
      </w:pPr>
      <w:bookmarkStart w:id="178" w:name="_Toc663"/>
      <w:bookmarkStart w:id="179" w:name="_Toc28160"/>
      <w:bookmarkStart w:id="180" w:name="_Toc23855"/>
      <w:bookmarkStart w:id="181" w:name="_Toc509218708"/>
      <w:r>
        <w:rPr>
          <w:rFonts w:hint="eastAsia" w:ascii="宋体" w:hAnsi="宋体"/>
        </w:rPr>
        <w:t>投标人须知前附表</w:t>
      </w:r>
      <w:bookmarkEnd w:id="173"/>
      <w:bookmarkEnd w:id="174"/>
      <w:bookmarkEnd w:id="175"/>
      <w:bookmarkEnd w:id="176"/>
      <w:bookmarkEnd w:id="177"/>
      <w:bookmarkEnd w:id="178"/>
      <w:bookmarkEnd w:id="179"/>
      <w:bookmarkEnd w:id="180"/>
      <w:bookmarkEnd w:id="181"/>
    </w:p>
    <w:p>
      <w:pPr>
        <w:spacing w:line="360" w:lineRule="auto"/>
        <w:ind w:firstLine="420" w:firstLineChars="200"/>
        <w:rPr>
          <w:rFonts w:ascii="宋体" w:hAnsi="宋体"/>
          <w:szCs w:val="21"/>
        </w:rPr>
      </w:pPr>
      <w:r>
        <w:rPr>
          <w:rFonts w:hint="eastAsia" w:ascii="宋体" w:hAnsi="宋体"/>
          <w:szCs w:val="21"/>
        </w:rPr>
        <w:t>投标人须知</w:t>
      </w:r>
      <w:r>
        <w:rPr>
          <w:rFonts w:ascii="宋体" w:hAnsi="宋体"/>
          <w:szCs w:val="21"/>
        </w:rPr>
        <w:t>正文内容不允许修改。若投标人须知前附表与正文不一致的地方，以投标人须知前附表为准。</w:t>
      </w:r>
    </w:p>
    <w:tbl>
      <w:tblPr>
        <w:tblStyle w:val="54"/>
        <w:tblW w:w="946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436"/>
        <w:gridCol w:w="66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35" w:type="dxa"/>
            <w:vAlign w:val="center"/>
          </w:tcPr>
          <w:p>
            <w:pPr>
              <w:snapToGrid w:val="0"/>
              <w:spacing w:line="400" w:lineRule="exact"/>
              <w:jc w:val="center"/>
              <w:rPr>
                <w:rFonts w:ascii="宋体" w:hAnsi="宋体"/>
                <w:b/>
                <w:kern w:val="0"/>
                <w:szCs w:val="21"/>
              </w:rPr>
            </w:pPr>
            <w:r>
              <w:rPr>
                <w:rFonts w:ascii="宋体" w:hAnsi="宋体"/>
                <w:b/>
                <w:kern w:val="0"/>
                <w:szCs w:val="21"/>
              </w:rPr>
              <w:t>条 款 号</w:t>
            </w:r>
          </w:p>
        </w:tc>
        <w:tc>
          <w:tcPr>
            <w:tcW w:w="1436" w:type="dxa"/>
            <w:vAlign w:val="center"/>
          </w:tcPr>
          <w:p>
            <w:pPr>
              <w:snapToGrid w:val="0"/>
              <w:spacing w:line="400" w:lineRule="exact"/>
              <w:jc w:val="center"/>
              <w:rPr>
                <w:rFonts w:ascii="宋体" w:hAnsi="宋体"/>
                <w:b/>
                <w:kern w:val="0"/>
                <w:szCs w:val="21"/>
              </w:rPr>
            </w:pPr>
            <w:r>
              <w:rPr>
                <w:rFonts w:ascii="宋体" w:hAnsi="宋体"/>
                <w:b/>
                <w:kern w:val="0"/>
                <w:szCs w:val="21"/>
              </w:rPr>
              <w:t>条款名称</w:t>
            </w:r>
          </w:p>
        </w:tc>
        <w:tc>
          <w:tcPr>
            <w:tcW w:w="6698" w:type="dxa"/>
            <w:vAlign w:val="center"/>
          </w:tcPr>
          <w:p>
            <w:pPr>
              <w:snapToGrid w:val="0"/>
              <w:spacing w:line="400" w:lineRule="exact"/>
              <w:jc w:val="center"/>
              <w:rPr>
                <w:rFonts w:ascii="宋体" w:hAnsi="宋体"/>
                <w:b/>
                <w:kern w:val="0"/>
                <w:szCs w:val="21"/>
              </w:rPr>
            </w:pPr>
            <w:r>
              <w:rPr>
                <w:rFonts w:ascii="宋体" w:hAnsi="宋体"/>
                <w:b/>
                <w:kern w:val="0"/>
                <w:szCs w:val="21"/>
              </w:rPr>
              <w:t>编  列  内  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招标人</w:t>
            </w:r>
          </w:p>
        </w:tc>
        <w:tc>
          <w:tcPr>
            <w:tcW w:w="6698" w:type="dxa"/>
            <w:vAlign w:val="center"/>
          </w:tcPr>
          <w:p>
            <w:pPr>
              <w:snapToGrid w:val="0"/>
              <w:spacing w:line="400" w:lineRule="exact"/>
              <w:rPr>
                <w:rFonts w:ascii="宋体" w:hAnsi="宋体"/>
                <w:kern w:val="0"/>
                <w:szCs w:val="21"/>
              </w:rPr>
            </w:pPr>
            <w:r>
              <w:rPr>
                <w:rFonts w:ascii="宋体" w:hAnsi="宋体"/>
                <w:kern w:val="0"/>
                <w:szCs w:val="21"/>
              </w:rPr>
              <w:t>名称：</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地址：</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联系人：</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电话：</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1.1.3</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招标代理机构</w:t>
            </w:r>
          </w:p>
        </w:tc>
        <w:tc>
          <w:tcPr>
            <w:tcW w:w="6698" w:type="dxa"/>
            <w:vAlign w:val="center"/>
          </w:tcPr>
          <w:p>
            <w:pPr>
              <w:snapToGrid w:val="0"/>
              <w:spacing w:line="400" w:lineRule="exact"/>
              <w:rPr>
                <w:rFonts w:ascii="宋体" w:hAnsi="宋体"/>
                <w:kern w:val="0"/>
                <w:szCs w:val="21"/>
              </w:rPr>
            </w:pPr>
            <w:r>
              <w:rPr>
                <w:rFonts w:ascii="宋体" w:hAnsi="宋体"/>
                <w:kern w:val="0"/>
                <w:szCs w:val="21"/>
              </w:rPr>
              <w:t>名称：</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地址：</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联系人：</w:t>
            </w:r>
            <w:r>
              <w:rPr>
                <w:rFonts w:hint="eastAsia" w:asciiTheme="minorEastAsia" w:hAnsiTheme="minorEastAsia" w:eastAsiaTheme="minorEastAsia" w:cstheme="minorEastAsia"/>
                <w:color w:val="auto"/>
                <w:szCs w:val="21"/>
                <w:highlight w:val="none"/>
                <w:u w:val="single"/>
                <w:lang w:val="en-US" w:eastAsia="zh-CN"/>
              </w:rPr>
              <w:t xml:space="preserve">        </w:t>
            </w:r>
          </w:p>
          <w:p>
            <w:pPr>
              <w:snapToGrid w:val="0"/>
              <w:spacing w:line="400" w:lineRule="exact"/>
              <w:rPr>
                <w:rFonts w:ascii="宋体" w:hAnsi="宋体"/>
                <w:kern w:val="0"/>
                <w:szCs w:val="21"/>
              </w:rPr>
            </w:pPr>
            <w:r>
              <w:rPr>
                <w:rFonts w:ascii="宋体" w:hAnsi="宋体"/>
                <w:kern w:val="0"/>
                <w:szCs w:val="21"/>
              </w:rPr>
              <w:t>电话：</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1.1.4</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项目名称</w:t>
            </w:r>
          </w:p>
        </w:tc>
        <w:tc>
          <w:tcPr>
            <w:tcW w:w="6698" w:type="dxa"/>
            <w:vAlign w:val="center"/>
          </w:tcPr>
          <w:p>
            <w:pPr>
              <w:snapToGrid w:val="0"/>
              <w:spacing w:line="400" w:lineRule="exact"/>
              <w:jc w:val="left"/>
              <w:rPr>
                <w:rFonts w:ascii="宋体" w:hAnsi="宋体"/>
                <w:szCs w:val="21"/>
              </w:rPr>
            </w:pP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1.1.5</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建设地点</w:t>
            </w:r>
          </w:p>
        </w:tc>
        <w:tc>
          <w:tcPr>
            <w:tcW w:w="6698" w:type="dxa"/>
            <w:vAlign w:val="center"/>
          </w:tcPr>
          <w:p>
            <w:pPr>
              <w:snapToGrid w:val="0"/>
              <w:spacing w:line="400" w:lineRule="exact"/>
              <w:jc w:val="left"/>
              <w:rPr>
                <w:rFonts w:ascii="宋体" w:hAnsi="宋体"/>
                <w:szCs w:val="21"/>
              </w:rPr>
            </w:pP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1.1.6</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建设规模</w:t>
            </w:r>
          </w:p>
        </w:tc>
        <w:tc>
          <w:tcPr>
            <w:tcW w:w="6698" w:type="dxa"/>
            <w:vAlign w:val="center"/>
          </w:tcPr>
          <w:p>
            <w:pPr>
              <w:tabs>
                <w:tab w:val="left" w:pos="3840"/>
                <w:tab w:val="left" w:pos="5300"/>
              </w:tabs>
              <w:autoSpaceDE w:val="0"/>
              <w:autoSpaceDN w:val="0"/>
              <w:adjustRightInd w:val="0"/>
              <w:snapToGrid w:val="0"/>
              <w:spacing w:line="460" w:lineRule="exact"/>
              <w:ind w:firstLine="420" w:firstLineChars="200"/>
              <w:rPr>
                <w:rFonts w:ascii="宋体" w:hAnsi="宋体"/>
                <w:snapToGrid w:val="0"/>
                <w:kern w:val="0"/>
                <w:szCs w:val="21"/>
              </w:rPr>
            </w:pPr>
            <w:r>
              <w:rPr>
                <w:rFonts w:hint="eastAsia" w:ascii="宋体" w:hAnsi="宋体"/>
                <w:snapToGrid w:val="0"/>
                <w:kern w:val="0"/>
                <w:szCs w:val="21"/>
                <w:u w:val="single"/>
              </w:rPr>
              <w:t xml:space="preserve">        </w:t>
            </w:r>
          </w:p>
          <w:p>
            <w:pPr>
              <w:tabs>
                <w:tab w:val="left" w:pos="3840"/>
                <w:tab w:val="left" w:pos="5300"/>
              </w:tabs>
              <w:autoSpaceDE w:val="0"/>
              <w:autoSpaceDN w:val="0"/>
              <w:adjustRightInd w:val="0"/>
              <w:snapToGrid w:val="0"/>
              <w:spacing w:line="460" w:lineRule="exact"/>
              <w:ind w:firstLine="422" w:firstLineChars="200"/>
              <w:rPr>
                <w:rFonts w:ascii="宋体" w:hAnsi="宋体"/>
                <w:i/>
                <w:snapToGrid w:val="0"/>
                <w:kern w:val="0"/>
                <w:szCs w:val="21"/>
              </w:rPr>
            </w:pPr>
            <w:r>
              <w:rPr>
                <w:rFonts w:hint="eastAsia" w:ascii="宋体" w:hAnsi="宋体"/>
                <w:b/>
                <w:bCs/>
                <w:i/>
                <w:snapToGrid w:val="0"/>
                <w:kern w:val="0"/>
                <w:szCs w:val="21"/>
              </w:rPr>
              <w:t>[提示：与招标公告保持一致。]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1.2.1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资金来源</w:t>
            </w:r>
          </w:p>
        </w:tc>
        <w:tc>
          <w:tcPr>
            <w:tcW w:w="6698" w:type="dxa"/>
            <w:vAlign w:val="center"/>
          </w:tcPr>
          <w:p>
            <w:pPr>
              <w:tabs>
                <w:tab w:val="left" w:pos="3840"/>
                <w:tab w:val="left" w:pos="5300"/>
              </w:tabs>
              <w:autoSpaceDE w:val="0"/>
              <w:autoSpaceDN w:val="0"/>
              <w:adjustRightInd w:val="0"/>
              <w:snapToGrid w:val="0"/>
              <w:spacing w:line="460" w:lineRule="exact"/>
              <w:ind w:firstLine="420" w:firstLineChars="200"/>
              <w:rPr>
                <w:rFonts w:ascii="宋体" w:hAnsi="宋体"/>
                <w:snapToGrid w:val="0"/>
                <w:kern w:val="0"/>
                <w:szCs w:val="21"/>
              </w:rPr>
            </w:pPr>
            <w:r>
              <w:rPr>
                <w:rFonts w:hint="eastAsia" w:ascii="宋体" w:hAnsi="宋体"/>
                <w:snapToGrid w:val="0"/>
                <w:kern w:val="0"/>
                <w:szCs w:val="21"/>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1.2.2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出资比例</w:t>
            </w:r>
          </w:p>
        </w:tc>
        <w:tc>
          <w:tcPr>
            <w:tcW w:w="6698" w:type="dxa"/>
            <w:vAlign w:val="center"/>
          </w:tcPr>
          <w:p>
            <w:pPr>
              <w:snapToGrid w:val="0"/>
              <w:spacing w:line="400" w:lineRule="exact"/>
              <w:ind w:firstLine="420" w:firstLineChars="200"/>
              <w:jc w:val="left"/>
              <w:rPr>
                <w:rFonts w:hint="default" w:ascii="宋体" w:hAnsi="宋体" w:eastAsia="宋体"/>
                <w:szCs w:val="21"/>
                <w:u w:val="single"/>
                <w:lang w:val="en-US" w:eastAsia="zh-CN"/>
              </w:rPr>
            </w:pPr>
            <w:r>
              <w:rPr>
                <w:rFonts w:hint="eastAsia" w:ascii="宋体" w:hAnsi="宋体"/>
                <w:snapToGrid w:val="0"/>
                <w:kern w:val="0"/>
                <w:szCs w:val="21"/>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1.2.3</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资金落实情况</w:t>
            </w:r>
          </w:p>
        </w:tc>
        <w:tc>
          <w:tcPr>
            <w:tcW w:w="6698" w:type="dxa"/>
            <w:vAlign w:val="center"/>
          </w:tcPr>
          <w:p>
            <w:pPr>
              <w:snapToGrid w:val="0"/>
              <w:spacing w:line="400" w:lineRule="exact"/>
              <w:ind w:firstLine="420" w:firstLineChars="200"/>
              <w:jc w:val="left"/>
              <w:rPr>
                <w:rFonts w:ascii="宋体" w:hAnsi="宋体"/>
                <w:szCs w:val="21"/>
                <w:u w:val="single"/>
              </w:rPr>
            </w:pPr>
            <w:r>
              <w:rPr>
                <w:rFonts w:hint="eastAsia" w:ascii="宋体" w:hAnsi="宋体"/>
                <w:szCs w:val="21"/>
                <w:u w:val="single"/>
              </w:rPr>
              <w:t>已落实</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1.3.1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招标范围</w:t>
            </w:r>
          </w:p>
        </w:tc>
        <w:tc>
          <w:tcPr>
            <w:tcW w:w="6698" w:type="dxa"/>
            <w:vAlign w:val="center"/>
          </w:tcPr>
          <w:p>
            <w:pPr>
              <w:snapToGrid w:val="0"/>
              <w:spacing w:line="400" w:lineRule="exact"/>
              <w:ind w:firstLine="420" w:firstLineChars="200"/>
              <w:rPr>
                <w:rFonts w:ascii="宋体" w:hAnsi="宋体"/>
                <w:szCs w:val="21"/>
              </w:rPr>
            </w:pPr>
            <w:r>
              <w:rPr>
                <w:rFonts w:hint="eastAsia" w:ascii="宋体" w:hAnsi="宋体"/>
                <w:szCs w:val="21"/>
                <w:u w:val="single"/>
              </w:rPr>
              <w:t xml:space="preserve">        </w:t>
            </w:r>
          </w:p>
          <w:p>
            <w:pPr>
              <w:snapToGrid w:val="0"/>
              <w:spacing w:line="400" w:lineRule="exact"/>
              <w:ind w:firstLine="422" w:firstLineChars="200"/>
              <w:rPr>
                <w:rFonts w:ascii="宋体" w:hAnsi="宋体"/>
                <w:i/>
                <w:szCs w:val="21"/>
              </w:rPr>
            </w:pPr>
            <w:r>
              <w:rPr>
                <w:rFonts w:ascii="宋体" w:hAnsi="宋体"/>
                <w:b/>
                <w:bCs/>
                <w:i/>
                <w:szCs w:val="21"/>
              </w:rPr>
              <w:t>[提示：招标范围应准确明了，采用工程专业术语填写</w:t>
            </w:r>
            <w:r>
              <w:rPr>
                <w:rFonts w:hint="eastAsia" w:ascii="宋体" w:hAnsi="宋体"/>
                <w:b/>
                <w:bCs/>
                <w:i/>
                <w:szCs w:val="21"/>
              </w:rPr>
              <w:t>，且与招标公告描述的招标范围保持一致。</w:t>
            </w:r>
            <w:r>
              <w:rPr>
                <w:rFonts w:ascii="宋体" w:hAnsi="宋体"/>
                <w:b/>
                <w:bCs/>
                <w:i/>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1.3.2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计划工期</w:t>
            </w:r>
          </w:p>
          <w:p>
            <w:pPr>
              <w:snapToGrid w:val="0"/>
              <w:spacing w:line="400" w:lineRule="exact"/>
              <w:jc w:val="center"/>
              <w:rPr>
                <w:rFonts w:ascii="宋体" w:hAnsi="宋体"/>
                <w:kern w:val="0"/>
                <w:szCs w:val="21"/>
              </w:rPr>
            </w:pPr>
            <w:r>
              <w:rPr>
                <w:rFonts w:hint="eastAsia" w:ascii="宋体" w:hAnsi="宋体"/>
                <w:kern w:val="0"/>
                <w:szCs w:val="21"/>
              </w:rPr>
              <w:t>缺陷责任期</w:t>
            </w:r>
          </w:p>
        </w:tc>
        <w:tc>
          <w:tcPr>
            <w:tcW w:w="6698" w:type="dxa"/>
            <w:vAlign w:val="center"/>
          </w:tcPr>
          <w:p>
            <w:pPr>
              <w:snapToGrid w:val="0"/>
              <w:spacing w:line="400" w:lineRule="exact"/>
              <w:ind w:firstLine="420" w:firstLineChars="200"/>
              <w:rPr>
                <w:rFonts w:ascii="宋体" w:hAnsi="宋体"/>
                <w:snapToGrid w:val="0"/>
                <w:kern w:val="0"/>
                <w:szCs w:val="21"/>
                <w:u w:val="single"/>
              </w:rPr>
            </w:pPr>
            <w:r>
              <w:rPr>
                <w:rFonts w:hint="eastAsia" w:ascii="宋体" w:hAnsi="宋体"/>
                <w:kern w:val="0"/>
                <w:szCs w:val="21"/>
              </w:rPr>
              <w:t>工期：</w:t>
            </w:r>
            <w:r>
              <w:rPr>
                <w:rFonts w:hint="eastAsia" w:ascii="宋体" w:hAnsi="宋体"/>
                <w:snapToGrid w:val="0"/>
                <w:kern w:val="0"/>
                <w:szCs w:val="21"/>
                <w:u w:val="single"/>
              </w:rPr>
              <w:t xml:space="preserve">        日历天</w:t>
            </w:r>
          </w:p>
          <w:p>
            <w:pPr>
              <w:snapToGrid w:val="0"/>
              <w:spacing w:line="400" w:lineRule="exact"/>
              <w:ind w:firstLine="420" w:firstLineChars="200"/>
              <w:rPr>
                <w:rFonts w:ascii="宋体" w:hAnsi="宋体"/>
                <w:kern w:val="0"/>
                <w:szCs w:val="21"/>
              </w:rPr>
            </w:pPr>
            <w:r>
              <w:rPr>
                <w:rFonts w:hint="eastAsia" w:ascii="宋体" w:hAnsi="宋体"/>
                <w:kern w:val="0"/>
                <w:szCs w:val="21"/>
              </w:rPr>
              <w:t>缺陷责任期：</w:t>
            </w:r>
            <w:r>
              <w:rPr>
                <w:rFonts w:hint="eastAsia" w:ascii="宋体" w:hAnsi="宋体"/>
                <w:snapToGrid w:val="0"/>
                <w:kern w:val="0"/>
                <w:szCs w:val="21"/>
                <w:u w:val="single"/>
              </w:rPr>
              <w:t xml:space="preserve">        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1.3.3</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质量要求</w:t>
            </w:r>
          </w:p>
        </w:tc>
        <w:tc>
          <w:tcPr>
            <w:tcW w:w="6698" w:type="dxa"/>
            <w:vAlign w:val="center"/>
          </w:tcPr>
          <w:p>
            <w:pPr>
              <w:snapToGrid w:val="0"/>
              <w:spacing w:line="400" w:lineRule="exact"/>
              <w:ind w:firstLine="420" w:firstLineChars="200"/>
              <w:rPr>
                <w:rFonts w:ascii="宋体" w:hAnsi="宋体"/>
                <w:szCs w:val="21"/>
              </w:rPr>
            </w:pPr>
            <w:r>
              <w:rPr>
                <w:rFonts w:hint="eastAsia" w:ascii="宋体" w:hAnsi="宋体"/>
                <w:szCs w:val="21"/>
                <w:u w:val="single"/>
              </w:rPr>
              <w:t>符合强制性质量标准，</w:t>
            </w:r>
            <w:r>
              <w:rPr>
                <w:rFonts w:hint="eastAsia" w:ascii="宋体" w:hAnsi="宋体" w:cs="宋体"/>
                <w:u w:val="single"/>
              </w:rPr>
              <w:t>符合国家和重庆市地质灾害防治工程标准和技术规范；与主体工程配套的地质灾害治理工程，还应当符合国家和重庆市建设工程有关标准和技术规范。</w:t>
            </w:r>
          </w:p>
          <w:p>
            <w:pPr>
              <w:snapToGrid w:val="0"/>
              <w:spacing w:line="400" w:lineRule="exact"/>
              <w:ind w:firstLine="422" w:firstLineChars="200"/>
              <w:rPr>
                <w:rFonts w:ascii="宋体" w:hAnsi="宋体"/>
                <w:szCs w:val="21"/>
              </w:rPr>
            </w:pPr>
            <w:r>
              <w:rPr>
                <w:rFonts w:hint="eastAsia" w:ascii="宋体" w:hAnsi="宋体"/>
                <w:b/>
                <w:bCs/>
                <w:i/>
                <w:szCs w:val="21"/>
              </w:rPr>
              <w:t>[提示：根据工程实际情况确定合理的质量要求。]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1.4.1</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1.4.1</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1.4.1</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1.4.1</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tc>
        <w:tc>
          <w:tcPr>
            <w:tcW w:w="1436" w:type="dxa"/>
            <w:vAlign w:val="center"/>
          </w:tcPr>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投标人资质条件、能力和信誉</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投标人资质条件、能力和信誉</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投标人资质条件、能力和信誉</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r>
              <w:rPr>
                <w:rFonts w:ascii="宋体" w:hAnsi="宋体"/>
                <w:kern w:val="0"/>
                <w:szCs w:val="21"/>
              </w:rPr>
              <w:t>投标人资质条件、能力和信誉</w:t>
            </w: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p>
            <w:pPr>
              <w:snapToGrid w:val="0"/>
              <w:spacing w:line="400" w:lineRule="exact"/>
              <w:jc w:val="center"/>
              <w:rPr>
                <w:rFonts w:ascii="宋体" w:hAnsi="宋体"/>
                <w:kern w:val="0"/>
                <w:szCs w:val="21"/>
              </w:rPr>
            </w:pPr>
          </w:p>
        </w:tc>
        <w:tc>
          <w:tcPr>
            <w:tcW w:w="6698" w:type="dxa"/>
            <w:vAlign w:val="center"/>
          </w:tcPr>
          <w:p>
            <w:pPr>
              <w:autoSpaceDE w:val="0"/>
              <w:autoSpaceDN w:val="0"/>
              <w:adjustRightInd w:val="0"/>
              <w:snapToGrid w:val="0"/>
              <w:spacing w:before="62" w:beforeLines="20" w:line="400" w:lineRule="exact"/>
              <w:ind w:firstLine="420" w:firstLineChars="200"/>
              <w:rPr>
                <w:rFonts w:ascii="宋体" w:hAnsi="宋体"/>
                <w:i/>
                <w:szCs w:val="21"/>
              </w:rPr>
            </w:pPr>
            <w:r>
              <w:rPr>
                <w:rFonts w:ascii="宋体" w:hAnsi="宋体"/>
                <w:i/>
                <w:szCs w:val="21"/>
              </w:rPr>
              <w:t>[提示：适用于</w:t>
            </w:r>
            <w:r>
              <w:rPr>
                <w:rFonts w:hint="eastAsia" w:ascii="宋体" w:hAnsi="宋体"/>
                <w:i/>
                <w:szCs w:val="21"/>
              </w:rPr>
              <w:t>未进行资格预审</w:t>
            </w:r>
            <w:r>
              <w:rPr>
                <w:rFonts w:ascii="宋体" w:hAnsi="宋体"/>
                <w:i/>
                <w:szCs w:val="21"/>
              </w:rPr>
              <w:t>的项目，</w:t>
            </w:r>
            <w:r>
              <w:rPr>
                <w:rFonts w:hint="eastAsia" w:ascii="宋体" w:hAnsi="宋体"/>
                <w:i/>
                <w:szCs w:val="21"/>
              </w:rPr>
              <w:t>第1、4、5、6项必须具备；</w:t>
            </w:r>
            <w:r>
              <w:rPr>
                <w:rFonts w:ascii="宋体" w:hAnsi="宋体"/>
                <w:i/>
                <w:szCs w:val="21"/>
              </w:rPr>
              <w:t>第2、3项由招标人根据项目情况选设</w:t>
            </w:r>
            <w:r>
              <w:rPr>
                <w:rFonts w:hint="eastAsia" w:ascii="宋体" w:hAnsi="宋体"/>
                <w:i/>
                <w:szCs w:val="21"/>
              </w:rPr>
              <w:t>。</w:t>
            </w:r>
            <w:r>
              <w:rPr>
                <w:rFonts w:ascii="宋体" w:hAnsi="宋体"/>
                <w:i/>
                <w:szCs w:val="21"/>
              </w:rPr>
              <w:t>]</w:t>
            </w:r>
          </w:p>
          <w:p>
            <w:pPr>
              <w:autoSpaceDE w:val="0"/>
              <w:autoSpaceDN w:val="0"/>
              <w:adjustRightInd w:val="0"/>
              <w:snapToGrid w:val="0"/>
              <w:spacing w:line="400" w:lineRule="exact"/>
              <w:ind w:firstLine="420" w:firstLineChars="200"/>
              <w:rPr>
                <w:rFonts w:ascii="宋体" w:hAnsi="宋体"/>
                <w:szCs w:val="21"/>
              </w:rPr>
            </w:pPr>
            <w:bookmarkStart w:id="182" w:name="OLE_LINK1"/>
            <w:r>
              <w:rPr>
                <w:rFonts w:ascii="宋体" w:hAnsi="宋体"/>
                <w:szCs w:val="21"/>
              </w:rPr>
              <w:t>本工程施工招标实行资格后审，投标人应</w:t>
            </w:r>
            <w:bookmarkStart w:id="183" w:name="一是"/>
            <w:bookmarkEnd w:id="183"/>
            <w:r>
              <w:rPr>
                <w:rFonts w:ascii="宋体" w:hAnsi="宋体"/>
                <w:szCs w:val="21"/>
              </w:rPr>
              <w:t>具备以下资格条件：</w:t>
            </w:r>
          </w:p>
          <w:bookmarkEnd w:id="182"/>
          <w:p>
            <w:pPr>
              <w:autoSpaceDE w:val="0"/>
              <w:autoSpaceDN w:val="0"/>
              <w:adjustRightInd w:val="0"/>
              <w:snapToGrid w:val="0"/>
              <w:spacing w:line="400" w:lineRule="exact"/>
              <w:ind w:firstLine="422" w:firstLineChars="200"/>
              <w:rPr>
                <w:rFonts w:ascii="宋体" w:hAnsi="宋体"/>
                <w:b/>
                <w:szCs w:val="21"/>
              </w:rPr>
            </w:pPr>
            <w:r>
              <w:rPr>
                <w:rFonts w:ascii="宋体" w:hAnsi="宋体"/>
                <w:b/>
                <w:szCs w:val="21"/>
              </w:rPr>
              <w:t>1.资质条件、营业执照及安全生产条件</w:t>
            </w:r>
          </w:p>
          <w:p>
            <w:pPr>
              <w:autoSpaceDE w:val="0"/>
              <w:autoSpaceDN w:val="0"/>
              <w:adjustRightInd w:val="0"/>
              <w:snapToGrid w:val="0"/>
              <w:spacing w:line="400" w:lineRule="exact"/>
              <w:ind w:firstLine="420" w:firstLineChars="200"/>
              <w:rPr>
                <w:rFonts w:ascii="宋体" w:hAnsi="宋体"/>
                <w:szCs w:val="21"/>
              </w:rPr>
            </w:pPr>
            <w:r>
              <w:rPr>
                <w:rFonts w:ascii="宋体" w:hAnsi="宋体"/>
                <w:szCs w:val="21"/>
              </w:rPr>
              <w:t>（1）具备</w:t>
            </w:r>
            <w:r>
              <w:rPr>
                <w:rFonts w:hint="eastAsia" w:ascii="宋体" w:hAnsi="宋体"/>
                <w:szCs w:val="21"/>
                <w:u w:val="single"/>
                <w:lang w:val="en-US" w:eastAsia="zh-CN"/>
              </w:rPr>
              <w:t>自然资源部或省级自然资源主管部门</w:t>
            </w:r>
            <w:r>
              <w:rPr>
                <w:rFonts w:ascii="宋体" w:hAnsi="宋体"/>
                <w:szCs w:val="21"/>
              </w:rPr>
              <w:t>颁发的有效的</w:t>
            </w:r>
            <w:r>
              <w:rPr>
                <w:rFonts w:hint="eastAsia" w:ascii="宋体" w:hAnsi="宋体"/>
                <w:u w:val="single"/>
              </w:rPr>
              <w:t xml:space="preserve">        </w:t>
            </w:r>
            <w:r>
              <w:rPr>
                <w:rFonts w:ascii="宋体" w:hAnsi="宋体"/>
                <w:szCs w:val="21"/>
                <w:u w:val="single"/>
              </w:rPr>
              <w:t>及以上</w:t>
            </w:r>
            <w:r>
              <w:rPr>
                <w:rFonts w:hint="eastAsia" w:ascii="宋体" w:hAnsi="宋体"/>
                <w:szCs w:val="21"/>
              </w:rPr>
              <w:t>资质</w:t>
            </w:r>
            <w:r>
              <w:rPr>
                <w:rFonts w:ascii="宋体" w:hAnsi="宋体"/>
                <w:szCs w:val="21"/>
              </w:rPr>
              <w:t>。</w:t>
            </w:r>
          </w:p>
          <w:p>
            <w:pPr>
              <w:tabs>
                <w:tab w:val="left" w:pos="3840"/>
                <w:tab w:val="left" w:pos="5300"/>
              </w:tabs>
              <w:autoSpaceDE w:val="0"/>
              <w:autoSpaceDN w:val="0"/>
              <w:adjustRightInd w:val="0"/>
              <w:snapToGrid w:val="0"/>
              <w:spacing w:line="360" w:lineRule="auto"/>
              <w:ind w:firstLine="422" w:firstLineChars="200"/>
              <w:jc w:val="left"/>
              <w:rPr>
                <w:rFonts w:ascii="宋体" w:hAnsi="宋体" w:cs="宋体"/>
                <w:b/>
                <w:bCs/>
                <w:i/>
                <w:iCs/>
                <w:szCs w:val="21"/>
              </w:rPr>
            </w:pPr>
            <w:r>
              <w:rPr>
                <w:rFonts w:hint="eastAsia" w:ascii="宋体" w:hAnsi="宋体" w:cs="宋体"/>
                <w:b/>
                <w:bCs/>
                <w:i/>
                <w:iCs/>
                <w:szCs w:val="21"/>
              </w:rPr>
              <w:t>[提示：资质的设定应执行</w:t>
            </w:r>
            <w:r>
              <w:rPr>
                <w:rFonts w:ascii="宋体" w:hAnsi="宋体" w:cs="宋体"/>
                <w:b/>
                <w:bCs/>
                <w:i/>
                <w:iCs/>
                <w:szCs w:val="21"/>
              </w:rPr>
              <w:t>《地质灾害防治理单位资质管理办法》《中华人民共和国自然资源部令第</w:t>
            </w:r>
            <w:r>
              <w:rPr>
                <w:rFonts w:hint="eastAsia" w:ascii="宋体" w:hAnsi="宋体" w:cs="宋体"/>
                <w:b/>
                <w:bCs/>
                <w:i/>
                <w:iCs/>
                <w:szCs w:val="21"/>
              </w:rPr>
              <w:t>8</w:t>
            </w:r>
            <w:r>
              <w:rPr>
                <w:rFonts w:ascii="宋体" w:hAnsi="宋体" w:cs="宋体"/>
                <w:b/>
                <w:bCs/>
                <w:i/>
                <w:iCs/>
                <w:szCs w:val="21"/>
              </w:rPr>
              <w:t>号》</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投标人</w:t>
            </w:r>
            <w:r>
              <w:rPr>
                <w:rFonts w:ascii="宋体" w:hAnsi="宋体"/>
                <w:szCs w:val="21"/>
              </w:rPr>
              <w:t>须</w:t>
            </w:r>
            <w:r>
              <w:rPr>
                <w:rFonts w:hint="eastAsia" w:ascii="宋体" w:hAnsi="宋体"/>
                <w:szCs w:val="21"/>
              </w:rPr>
              <w:t>在投标文件资格审查部分</w:t>
            </w:r>
            <w:r>
              <w:rPr>
                <w:rFonts w:ascii="宋体" w:hAnsi="宋体"/>
                <w:szCs w:val="21"/>
              </w:rPr>
              <w:t>提供</w:t>
            </w:r>
            <w:r>
              <w:rPr>
                <w:rFonts w:hint="eastAsia" w:ascii="宋体" w:hAnsi="宋体"/>
                <w:szCs w:val="21"/>
              </w:rPr>
              <w:t>有效的资质证书</w:t>
            </w:r>
            <w:r>
              <w:rPr>
                <w:rFonts w:ascii="宋体" w:hAnsi="宋体"/>
                <w:szCs w:val="21"/>
              </w:rPr>
              <w:t>。</w:t>
            </w:r>
          </w:p>
          <w:p>
            <w:pPr>
              <w:autoSpaceDE w:val="0"/>
              <w:autoSpaceDN w:val="0"/>
              <w:adjustRightInd w:val="0"/>
              <w:snapToGrid w:val="0"/>
              <w:spacing w:line="400" w:lineRule="exact"/>
              <w:ind w:firstLine="422" w:firstLineChars="200"/>
              <w:rPr>
                <w:rFonts w:ascii="宋体" w:hAnsi="宋体"/>
                <w:szCs w:val="21"/>
              </w:rPr>
            </w:pPr>
            <w:r>
              <w:rPr>
                <w:rFonts w:hint="eastAsia" w:ascii="宋体" w:hAnsi="宋体"/>
                <w:b/>
                <w:bCs/>
              </w:rPr>
              <w:t>□</w:t>
            </w:r>
            <w:r>
              <w:rPr>
                <w:rFonts w:hint="eastAsia" w:ascii="宋体" w:hAnsi="宋体"/>
              </w:rPr>
              <w:t>联合体投标的，按联合体协议约定的分工分别提供相应的资质证书。</w:t>
            </w:r>
          </w:p>
          <w:p>
            <w:pPr>
              <w:autoSpaceDE w:val="0"/>
              <w:autoSpaceDN w:val="0"/>
              <w:adjustRightInd w:val="0"/>
              <w:snapToGrid w:val="0"/>
              <w:spacing w:line="400" w:lineRule="exact"/>
              <w:ind w:firstLine="420" w:firstLineChars="200"/>
              <w:rPr>
                <w:rFonts w:ascii="宋体" w:hAnsi="宋体"/>
                <w:szCs w:val="21"/>
              </w:rPr>
            </w:pPr>
            <w:r>
              <w:rPr>
                <w:rFonts w:ascii="宋体" w:hAnsi="宋体"/>
                <w:szCs w:val="21"/>
              </w:rPr>
              <w:t>（2）具备有效的营业执照。</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投标人</w:t>
            </w:r>
            <w:r>
              <w:rPr>
                <w:rFonts w:ascii="宋体" w:hAnsi="宋体"/>
                <w:szCs w:val="21"/>
              </w:rPr>
              <w:t>须</w:t>
            </w:r>
            <w:r>
              <w:rPr>
                <w:rFonts w:hint="eastAsia" w:ascii="宋体" w:hAnsi="宋体"/>
                <w:szCs w:val="21"/>
              </w:rPr>
              <w:t>在投标文件资格审查部分</w:t>
            </w:r>
            <w:r>
              <w:rPr>
                <w:rFonts w:ascii="宋体" w:hAnsi="宋体"/>
                <w:szCs w:val="21"/>
              </w:rPr>
              <w:t>提供有效的营业执照。</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注：不得将投标人营业执照记载的经营范围作为评审因素。</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rPr>
              <w:t>□联合体投标的，联合体各方均需提供营业执照。</w:t>
            </w:r>
          </w:p>
          <w:p>
            <w:pPr>
              <w:autoSpaceDE w:val="0"/>
              <w:autoSpaceDN w:val="0"/>
              <w:adjustRightInd w:val="0"/>
              <w:snapToGrid w:val="0"/>
              <w:spacing w:line="400" w:lineRule="exact"/>
              <w:ind w:firstLine="420" w:firstLineChars="200"/>
              <w:rPr>
                <w:rFonts w:ascii="宋体" w:hAnsi="宋体"/>
                <w:szCs w:val="21"/>
              </w:rPr>
            </w:pPr>
            <w:r>
              <w:rPr>
                <w:rFonts w:ascii="宋体" w:hAnsi="宋体"/>
                <w:szCs w:val="21"/>
              </w:rPr>
              <w:t>（3）具</w:t>
            </w:r>
            <w:r>
              <w:rPr>
                <w:rFonts w:hint="eastAsia" w:ascii="宋体" w:hAnsi="宋体"/>
                <w:szCs w:val="21"/>
              </w:rPr>
              <w:t>有</w:t>
            </w:r>
            <w:r>
              <w:rPr>
                <w:rFonts w:ascii="宋体" w:hAnsi="宋体"/>
                <w:szCs w:val="21"/>
              </w:rPr>
              <w:t>行政主管部门颁发的有效的安全生产许可证</w:t>
            </w:r>
            <w:r>
              <w:rPr>
                <w:rFonts w:hint="eastAsia" w:ascii="宋体" w:hAnsi="宋体"/>
                <w:szCs w:val="21"/>
              </w:rPr>
              <w:t>。</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投标人须在投标文件资格审查部分提供有效的安全生产许可证</w:t>
            </w:r>
            <w:r>
              <w:rPr>
                <w:rFonts w:ascii="宋体" w:hAnsi="宋体"/>
                <w:szCs w:val="21"/>
              </w:rPr>
              <w:t>。</w:t>
            </w:r>
          </w:p>
          <w:p>
            <w:pPr>
              <w:autoSpaceDE w:val="0"/>
              <w:autoSpaceDN w:val="0"/>
              <w:adjustRightInd w:val="0"/>
              <w:snapToGrid w:val="0"/>
              <w:spacing w:line="400" w:lineRule="exact"/>
              <w:ind w:firstLine="420" w:firstLineChars="200"/>
              <w:rPr>
                <w:rFonts w:ascii="宋体" w:hAnsi="宋体"/>
                <w:b/>
                <w:szCs w:val="21"/>
              </w:rPr>
            </w:pPr>
            <w:r>
              <w:rPr>
                <w:rFonts w:hint="eastAsia" w:ascii="宋体" w:hAnsi="宋体"/>
              </w:rPr>
              <w:t>□联合体投标的，联合体各方均需提供安全生产许可证。</w:t>
            </w:r>
          </w:p>
          <w:p>
            <w:pPr>
              <w:autoSpaceDE w:val="0"/>
              <w:autoSpaceDN w:val="0"/>
              <w:adjustRightInd w:val="0"/>
              <w:snapToGrid w:val="0"/>
              <w:spacing w:line="400" w:lineRule="exact"/>
              <w:ind w:firstLine="422" w:firstLineChars="200"/>
              <w:rPr>
                <w:rFonts w:ascii="宋体" w:hAnsi="宋体"/>
                <w:b/>
                <w:szCs w:val="21"/>
              </w:rPr>
            </w:pPr>
            <w:r>
              <w:rPr>
                <w:rFonts w:hint="eastAsia" w:ascii="宋体" w:hAnsi="宋体"/>
                <w:b/>
                <w:szCs w:val="21"/>
              </w:rPr>
              <w:t>□</w:t>
            </w:r>
            <w:r>
              <w:rPr>
                <w:rFonts w:ascii="宋体" w:hAnsi="宋体"/>
                <w:b/>
                <w:szCs w:val="21"/>
              </w:rPr>
              <w:t>2.财务要求</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u w:val="single"/>
              </w:rPr>
              <w:t xml:space="preserve">    </w:t>
            </w:r>
            <w:r>
              <w:rPr>
                <w:rFonts w:hint="eastAsia" w:ascii="宋体" w:hAnsi="宋体"/>
                <w:kern w:val="0"/>
                <w:szCs w:val="21"/>
              </w:rPr>
              <w:t>年、</w:t>
            </w:r>
            <w:r>
              <w:rPr>
                <w:rFonts w:hint="eastAsia" w:ascii="宋体" w:hAnsi="宋体"/>
                <w:kern w:val="0"/>
                <w:szCs w:val="21"/>
                <w:u w:val="single"/>
              </w:rPr>
              <w:t xml:space="preserve">    </w:t>
            </w:r>
            <w:r>
              <w:rPr>
                <w:rFonts w:hint="eastAsia" w:ascii="宋体" w:hAnsi="宋体"/>
                <w:kern w:val="0"/>
                <w:szCs w:val="21"/>
              </w:rPr>
              <w:t>年、</w:t>
            </w:r>
            <w:r>
              <w:rPr>
                <w:rFonts w:hint="eastAsia" w:ascii="宋体" w:hAnsi="宋体"/>
                <w:kern w:val="0"/>
                <w:szCs w:val="21"/>
                <w:u w:val="single"/>
              </w:rPr>
              <w:t xml:space="preserve">    </w:t>
            </w:r>
            <w:r>
              <w:rPr>
                <w:rFonts w:hint="eastAsia" w:ascii="宋体" w:hAnsi="宋体"/>
                <w:kern w:val="0"/>
                <w:szCs w:val="21"/>
              </w:rPr>
              <w:t>年的年度财务状况不亏损。</w:t>
            </w:r>
          </w:p>
          <w:p>
            <w:pPr>
              <w:snapToGrid w:val="0"/>
              <w:spacing w:line="400" w:lineRule="exact"/>
              <w:ind w:firstLine="420" w:firstLineChars="200"/>
              <w:rPr>
                <w:rFonts w:ascii="宋体" w:hAnsi="宋体"/>
                <w:kern w:val="0"/>
                <w:szCs w:val="21"/>
              </w:rPr>
            </w:pPr>
            <w:r>
              <w:rPr>
                <w:rFonts w:hint="eastAsia" w:ascii="宋体" w:hAnsi="宋体"/>
                <w:i/>
                <w:kern w:val="0"/>
                <w:szCs w:val="21"/>
              </w:rPr>
              <w:t>[提示：招标人可要求提供1至3年的年度财务要求。]</w:t>
            </w:r>
          </w:p>
          <w:p>
            <w:pPr>
              <w:snapToGrid w:val="0"/>
              <w:spacing w:line="400" w:lineRule="exact"/>
              <w:ind w:firstLine="420" w:firstLineChars="200"/>
              <w:rPr>
                <w:rFonts w:ascii="宋体" w:hAnsi="宋体"/>
                <w:kern w:val="0"/>
                <w:szCs w:val="21"/>
              </w:rPr>
            </w:pPr>
            <w:r>
              <w:rPr>
                <w:rFonts w:hint="eastAsia" w:ascii="宋体" w:hAnsi="宋体"/>
                <w:kern w:val="0"/>
                <w:szCs w:val="21"/>
              </w:rPr>
              <w:t>投标人须在投标文件资格审查部分提供经会计师事务所或审计机构出具的合法有效的财务审计报告及财务报表，财务报表须至少包括现金流量表、资产负债表、利润表。</w:t>
            </w:r>
          </w:p>
          <w:p>
            <w:pPr>
              <w:autoSpaceDE w:val="0"/>
              <w:autoSpaceDN w:val="0"/>
              <w:adjustRightInd w:val="0"/>
              <w:snapToGrid w:val="0"/>
              <w:spacing w:line="400" w:lineRule="exact"/>
              <w:ind w:firstLine="422" w:firstLineChars="200"/>
              <w:rPr>
                <w:rFonts w:ascii="宋体" w:hAnsi="宋体"/>
                <w:b/>
                <w:szCs w:val="21"/>
              </w:rPr>
            </w:pPr>
            <w:r>
              <w:rPr>
                <w:rFonts w:hint="eastAsia" w:ascii="宋体" w:hAnsi="宋体"/>
                <w:b/>
                <w:bCs/>
                <w:szCs w:val="21"/>
              </w:rPr>
              <w:t>□</w:t>
            </w:r>
            <w:r>
              <w:rPr>
                <w:rFonts w:hint="eastAsia" w:ascii="宋体" w:hAnsi="宋体"/>
                <w:szCs w:val="21"/>
              </w:rPr>
              <w:t>联合体投标的，联合体各方均需满足上述财务要求。</w:t>
            </w:r>
          </w:p>
          <w:p>
            <w:pPr>
              <w:autoSpaceDE w:val="0"/>
              <w:autoSpaceDN w:val="0"/>
              <w:adjustRightInd w:val="0"/>
              <w:snapToGrid w:val="0"/>
              <w:spacing w:line="400" w:lineRule="exact"/>
              <w:ind w:firstLine="422" w:firstLineChars="200"/>
              <w:rPr>
                <w:rFonts w:ascii="宋体" w:hAnsi="宋体"/>
                <w:b/>
                <w:szCs w:val="21"/>
              </w:rPr>
            </w:pPr>
            <w:r>
              <w:rPr>
                <w:rFonts w:hint="eastAsia" w:ascii="宋体" w:hAnsi="宋体"/>
                <w:b/>
                <w:szCs w:val="21"/>
              </w:rPr>
              <w:t>□</w:t>
            </w:r>
            <w:r>
              <w:rPr>
                <w:rFonts w:ascii="宋体" w:hAnsi="宋体"/>
                <w:b/>
                <w:szCs w:val="21"/>
              </w:rPr>
              <w:t>3.业绩要求</w:t>
            </w:r>
          </w:p>
          <w:p>
            <w:pPr>
              <w:tabs>
                <w:tab w:val="left" w:pos="3840"/>
                <w:tab w:val="left" w:pos="5300"/>
              </w:tabs>
              <w:autoSpaceDE w:val="0"/>
              <w:autoSpaceDN w:val="0"/>
              <w:adjustRightInd w:val="0"/>
              <w:snapToGrid w:val="0"/>
              <w:spacing w:line="460" w:lineRule="exact"/>
              <w:ind w:firstLine="422" w:firstLineChars="200"/>
              <w:jc w:val="left"/>
              <w:rPr>
                <w:rFonts w:ascii="宋体" w:hAnsi="宋体" w:cs="宋体"/>
                <w:b/>
                <w:bCs/>
                <w:i/>
                <w:szCs w:val="21"/>
              </w:rPr>
            </w:pPr>
            <w:r>
              <w:rPr>
                <w:rFonts w:hint="eastAsia" w:ascii="宋体" w:hAnsi="宋体" w:cs="宋体"/>
                <w:b/>
                <w:bCs/>
                <w:i/>
                <w:szCs w:val="21"/>
              </w:rPr>
              <w:t>[提示：1、采用金额为业绩条件的，其类似工程业绩金额的设定原则上不高于该招标项目经批准估算投资额或概算投资额或最高限价的四分之三。</w:t>
            </w:r>
            <w:r>
              <w:rPr>
                <w:rFonts w:hint="eastAsia" w:ascii="宋体" w:hAnsi="宋体" w:cs="宋体"/>
                <w:b/>
                <w:bCs/>
                <w:i/>
                <w:iCs/>
                <w:szCs w:val="21"/>
              </w:rPr>
              <w:t>]</w:t>
            </w:r>
          </w:p>
          <w:p>
            <w:pPr>
              <w:autoSpaceDE w:val="0"/>
              <w:autoSpaceDN w:val="0"/>
              <w:adjustRightInd w:val="0"/>
              <w:snapToGrid w:val="0"/>
              <w:spacing w:line="360" w:lineRule="auto"/>
              <w:ind w:firstLine="420" w:firstLineChars="200"/>
              <w:rPr>
                <w:rFonts w:ascii="宋体" w:hAnsi="宋体" w:cs="宋体"/>
                <w:szCs w:val="21"/>
                <w:highlight w:val="yellow"/>
                <w:u w:val="single"/>
              </w:rPr>
            </w:pPr>
            <w:r>
              <w:rPr>
                <w:rFonts w:hint="eastAsia" w:asciiTheme="minorEastAsia" w:hAnsiTheme="minorEastAsia" w:eastAsiaTheme="minorEastAsia" w:cstheme="minorEastAsia"/>
                <w:kern w:val="0"/>
                <w:sz w:val="21"/>
                <w:szCs w:val="21"/>
                <w:lang w:eastAsia="zh-CN"/>
              </w:rPr>
              <w:t>投标人</w:t>
            </w:r>
            <w:r>
              <w:rPr>
                <w:rFonts w:hint="eastAsia" w:asciiTheme="minorEastAsia" w:hAnsiTheme="minorEastAsia" w:eastAsiaTheme="minorEastAsia" w:cstheme="minorEastAsia"/>
                <w:snapToGrid/>
                <w:sz w:val="21"/>
                <w:szCs w:val="21"/>
                <w:u w:val="none"/>
                <w:lang w:eastAsia="zh-CN"/>
              </w:rPr>
              <w:t>在</w:t>
            </w:r>
            <w:r>
              <w:rPr>
                <w:rFonts w:hint="eastAsia" w:asciiTheme="minorEastAsia" w:hAnsiTheme="minorEastAsia" w:eastAsiaTheme="minorEastAsia" w:cstheme="minorEastAsia"/>
                <w:snapToGrid/>
                <w:sz w:val="21"/>
                <w:szCs w:val="21"/>
                <w:u w:val="single"/>
                <w:lang w:eastAsia="zh-CN"/>
              </w:rPr>
              <w:t xml:space="preserve">    </w:t>
            </w:r>
            <w:r>
              <w:rPr>
                <w:rFonts w:hint="eastAsia" w:asciiTheme="minorEastAsia" w:hAnsiTheme="minorEastAsia" w:eastAsiaTheme="minorEastAsia" w:cstheme="minorEastAsia"/>
                <w:snapToGrid/>
                <w:sz w:val="21"/>
                <w:szCs w:val="21"/>
                <w:u w:val="none"/>
                <w:lang w:eastAsia="zh-CN"/>
              </w:rPr>
              <w:t>年1月1日起</w:t>
            </w:r>
            <w:r>
              <w:rPr>
                <w:rFonts w:hint="eastAsia" w:asciiTheme="minorEastAsia" w:hAnsiTheme="minorEastAsia" w:eastAsiaTheme="minorEastAsia" w:cstheme="minorEastAsia"/>
                <w:i/>
                <w:iCs/>
                <w:snapToGrid/>
                <w:sz w:val="21"/>
                <w:szCs w:val="21"/>
                <w:u w:val="none"/>
                <w:lang w:val="en-US" w:eastAsia="zh-CN"/>
              </w:rPr>
              <w:t>[</w:t>
            </w:r>
            <w:r>
              <w:rPr>
                <w:rFonts w:hint="eastAsia" w:asciiTheme="minorEastAsia" w:hAnsiTheme="minorEastAsia" w:eastAsiaTheme="minorEastAsia" w:cstheme="minorEastAsia"/>
                <w:i/>
                <w:iCs/>
                <w:snapToGrid/>
                <w:sz w:val="21"/>
                <w:szCs w:val="21"/>
                <w:u w:val="none"/>
                <w:lang w:eastAsia="zh-CN"/>
              </w:rPr>
              <w:t>提示：指投标截止日前3年、5年或者8年（不包含投标截止日当年），有8年以上要求的可自设。]</w:t>
            </w:r>
            <w:r>
              <w:rPr>
                <w:rFonts w:hint="eastAsia" w:ascii="宋体" w:hAnsi="宋体"/>
                <w:szCs w:val="21"/>
              </w:rPr>
              <w:t>至投标截止日止（以竣工时间为准）</w:t>
            </w:r>
            <w:r>
              <w:rPr>
                <w:rFonts w:hint="eastAsia" w:ascii="宋体" w:hAnsi="宋体"/>
                <w:szCs w:val="21"/>
                <w:highlight w:val="none"/>
              </w:rPr>
              <w:t>完成的1个</w:t>
            </w:r>
            <w:r>
              <w:rPr>
                <w:rFonts w:ascii="宋体" w:hAnsi="宋体" w:cs="宋体"/>
                <w:szCs w:val="21"/>
                <w:highlight w:val="none"/>
                <w:u w:val="single"/>
              </w:rPr>
              <w:t xml:space="preserve"> </w:t>
            </w:r>
            <w:r>
              <w:rPr>
                <w:rFonts w:ascii="宋体" w:hAnsi="宋体" w:cs="宋体"/>
                <w:i/>
                <w:iCs/>
                <w:szCs w:val="21"/>
                <w:highlight w:val="none"/>
                <w:u w:val="single"/>
              </w:rPr>
              <w:t>[</w:t>
            </w:r>
            <w:r>
              <w:rPr>
                <w:rFonts w:hint="eastAsia" w:ascii="宋体" w:hAnsi="宋体" w:cs="宋体"/>
                <w:i/>
                <w:iCs/>
                <w:szCs w:val="21"/>
                <w:highlight w:val="none"/>
                <w:u w:val="single"/>
              </w:rPr>
              <w:t>提示：填写合同金额，不设置合同金额的</w:t>
            </w:r>
            <w:r>
              <w:rPr>
                <w:rFonts w:hint="eastAsia" w:ascii="宋体" w:hAnsi="宋体"/>
                <w:i/>
                <w:iCs/>
                <w:kern w:val="0"/>
                <w:szCs w:val="21"/>
                <w:highlight w:val="none"/>
                <w:u w:val="single"/>
                <w:lang w:val="zh-CN"/>
              </w:rPr>
              <w:t>用“</w:t>
            </w:r>
            <w:r>
              <w:rPr>
                <w:rFonts w:ascii="宋体" w:hAnsi="宋体"/>
                <w:i/>
                <w:iCs/>
                <w:kern w:val="0"/>
                <w:szCs w:val="21"/>
                <w:highlight w:val="none"/>
                <w:u w:val="single"/>
                <w:lang w:val="zh-CN"/>
              </w:rPr>
              <w:t>/”标示</w:t>
            </w:r>
            <w:r>
              <w:rPr>
                <w:rFonts w:ascii="宋体" w:hAnsi="宋体" w:cs="宋体"/>
                <w:i/>
                <w:iCs/>
                <w:szCs w:val="21"/>
                <w:highlight w:val="none"/>
                <w:u w:val="single"/>
              </w:rPr>
              <w:t>]</w:t>
            </w:r>
            <w:r>
              <w:rPr>
                <w:rFonts w:ascii="宋体" w:hAnsi="宋体" w:cs="宋体"/>
                <w:szCs w:val="21"/>
                <w:highlight w:val="none"/>
                <w:u w:val="single"/>
              </w:rPr>
              <w:t xml:space="preserve">  </w:t>
            </w:r>
            <w:r>
              <w:rPr>
                <w:rFonts w:hint="eastAsia" w:ascii="宋体" w:hAnsi="宋体" w:cs="宋体"/>
                <w:szCs w:val="21"/>
                <w:highlight w:val="none"/>
              </w:rPr>
              <w:t>的</w:t>
            </w:r>
            <w:r>
              <w:rPr>
                <w:rFonts w:hint="eastAsia" w:ascii="宋体" w:hAnsi="宋体" w:cs="宋体"/>
                <w:szCs w:val="21"/>
                <w:highlight w:val="none"/>
                <w:u w:val="single"/>
              </w:rPr>
              <w:t xml:space="preserve">   </w:t>
            </w:r>
            <w:r>
              <w:rPr>
                <w:rFonts w:ascii="宋体" w:hAnsi="宋体" w:cs="宋体"/>
                <w:i/>
                <w:iCs/>
                <w:szCs w:val="21"/>
                <w:highlight w:val="none"/>
                <w:u w:val="single"/>
              </w:rPr>
              <w:t>[提示：填写</w:t>
            </w:r>
            <w:r>
              <w:rPr>
                <w:rFonts w:hint="eastAsia" w:ascii="宋体" w:hAnsi="宋体" w:cs="宋体"/>
                <w:i/>
                <w:iCs/>
                <w:szCs w:val="21"/>
                <w:highlight w:val="none"/>
                <w:u w:val="single"/>
              </w:rPr>
              <w:t>业绩的工程类别</w:t>
            </w:r>
            <w:r>
              <w:rPr>
                <w:rFonts w:ascii="宋体" w:hAnsi="宋体" w:cs="宋体"/>
                <w:i/>
                <w:iCs/>
                <w:szCs w:val="21"/>
                <w:highlight w:val="none"/>
                <w:u w:val="single"/>
              </w:rPr>
              <w:t>]</w:t>
            </w:r>
            <w:r>
              <w:rPr>
                <w:rFonts w:hint="eastAsia" w:ascii="宋体" w:hAnsi="宋体" w:cs="宋体"/>
                <w:szCs w:val="21"/>
                <w:highlight w:val="none"/>
                <w:u w:val="single"/>
              </w:rPr>
              <w:t xml:space="preserve">       </w:t>
            </w:r>
            <w:r>
              <w:rPr>
                <w:rFonts w:hint="eastAsia" w:ascii="宋体" w:hAnsi="宋体" w:cs="宋体"/>
                <w:szCs w:val="21"/>
                <w:highlight w:val="none"/>
              </w:rPr>
              <w:t>工程业绩。</w:t>
            </w:r>
          </w:p>
          <w:p>
            <w:pPr>
              <w:autoSpaceDE w:val="0"/>
              <w:autoSpaceDN w:val="0"/>
              <w:adjustRightInd w:val="0"/>
              <w:snapToGrid w:val="0"/>
              <w:spacing w:line="360" w:lineRule="auto"/>
              <w:ind w:firstLine="417" w:firstLineChars="198"/>
              <w:rPr>
                <w:rFonts w:ascii="宋体" w:hAnsi="宋体" w:cs="宋体"/>
              </w:rPr>
            </w:pPr>
            <w:r>
              <w:rPr>
                <w:rFonts w:hint="eastAsia" w:ascii="宋体" w:hAnsi="宋体" w:cs="宋体"/>
                <w:b/>
                <w:bCs/>
                <w:szCs w:val="21"/>
              </w:rPr>
              <w:t>□</w:t>
            </w:r>
            <w:r>
              <w:rPr>
                <w:rFonts w:hint="eastAsia" w:ascii="宋体" w:hAnsi="宋体" w:cs="宋体"/>
                <w:szCs w:val="21"/>
              </w:rPr>
              <w:t>联合体投标的，按联合体协议约定的分工分别提供相应的业绩。</w:t>
            </w:r>
          </w:p>
          <w:p>
            <w:pPr>
              <w:autoSpaceDE w:val="0"/>
              <w:autoSpaceDN w:val="0"/>
              <w:adjustRightInd w:val="0"/>
              <w:snapToGrid w:val="0"/>
              <w:spacing w:line="320" w:lineRule="exact"/>
              <w:ind w:firstLine="415" w:firstLineChars="198"/>
              <w:jc w:val="left"/>
              <w:rPr>
                <w:rFonts w:ascii="宋体" w:hAnsi="宋体"/>
                <w:szCs w:val="21"/>
                <w:highlight w:val="none"/>
              </w:rPr>
            </w:pPr>
            <w:r>
              <w:rPr>
                <w:rFonts w:hint="eastAsia" w:ascii="宋体" w:hAnsi="宋体" w:cs="宋体"/>
                <w:szCs w:val="21"/>
              </w:rPr>
              <w:t>投标人须在投标文件资格审查部分提供该业绩的中标通知书（直接发包的项目可提供项目发包人出具的项目直接发包情况说明或证明文书代替）、合同协议书和工程竣工验收证明材料。</w:t>
            </w:r>
            <w:r>
              <w:rPr>
                <w:rFonts w:hint="eastAsia" w:ascii="宋体" w:hAnsi="宋体"/>
                <w:szCs w:val="21"/>
              </w:rPr>
              <w:t>若上述资料无法完全体现项目信息的，还须提供业主证明</w:t>
            </w:r>
            <w:r>
              <w:rPr>
                <w:rFonts w:hint="eastAsia" w:ascii="宋体" w:hAnsi="宋体"/>
                <w:szCs w:val="21"/>
                <w:highlight w:val="none"/>
              </w:rPr>
              <w:t>（含该业绩的项目业主的有效联系方式）。</w:t>
            </w:r>
          </w:p>
          <w:p>
            <w:pPr>
              <w:autoSpaceDE w:val="0"/>
              <w:autoSpaceDN w:val="0"/>
              <w:adjustRightInd w:val="0"/>
              <w:snapToGrid w:val="0"/>
              <w:spacing w:line="400" w:lineRule="exact"/>
              <w:ind w:firstLine="415" w:firstLineChars="198"/>
              <w:rPr>
                <w:rFonts w:ascii="宋体" w:hAnsi="宋体"/>
                <w:szCs w:val="21"/>
              </w:rPr>
            </w:pPr>
            <w:r>
              <w:rPr>
                <w:rFonts w:hint="eastAsia" w:ascii="宋体" w:hAnsi="宋体"/>
                <w:szCs w:val="21"/>
                <w:highlight w:val="none"/>
              </w:rPr>
              <w:t>注：投标人应对其提供的业绩证明材料的</w:t>
            </w:r>
            <w:r>
              <w:rPr>
                <w:rFonts w:hint="eastAsia" w:ascii="宋体" w:hAnsi="宋体"/>
                <w:szCs w:val="21"/>
              </w:rPr>
              <w:t>真实性负责。当上述资料中针对同一指标存在不一致时，以工程竣工验收的证明材料为准。</w:t>
            </w:r>
          </w:p>
          <w:p>
            <w:pPr>
              <w:autoSpaceDE w:val="0"/>
              <w:autoSpaceDN w:val="0"/>
              <w:adjustRightInd w:val="0"/>
              <w:snapToGrid w:val="0"/>
              <w:spacing w:line="400" w:lineRule="exact"/>
              <w:ind w:firstLine="415" w:firstLineChars="198"/>
            </w:pPr>
            <w:r>
              <w:rPr>
                <w:rFonts w:hint="eastAsia" w:ascii="宋体" w:hAnsi="宋体"/>
                <w:szCs w:val="21"/>
              </w:rPr>
              <w:t>不满足上述业绩要求的业绩无效。</w:t>
            </w:r>
          </w:p>
          <w:p>
            <w:pPr>
              <w:adjustRightInd w:val="0"/>
              <w:snapToGrid w:val="0"/>
              <w:spacing w:line="400" w:lineRule="exact"/>
              <w:ind w:firstLine="422" w:firstLineChars="200"/>
              <w:rPr>
                <w:rFonts w:ascii="宋体" w:hAnsi="宋体"/>
                <w:b/>
                <w:szCs w:val="21"/>
              </w:rPr>
            </w:pPr>
            <w:r>
              <w:rPr>
                <w:rFonts w:ascii="宋体" w:hAnsi="宋体"/>
                <w:b/>
                <w:szCs w:val="21"/>
              </w:rPr>
              <w:t>4.投标截止日投标资格情况</w:t>
            </w:r>
          </w:p>
          <w:p>
            <w:pPr>
              <w:snapToGrid w:val="0"/>
              <w:spacing w:line="400" w:lineRule="exact"/>
              <w:ind w:firstLine="420" w:firstLineChars="200"/>
              <w:rPr>
                <w:rFonts w:ascii="宋体" w:hAnsi="宋体"/>
                <w:szCs w:val="21"/>
              </w:rPr>
            </w:pPr>
            <w:r>
              <w:rPr>
                <w:rFonts w:hint="eastAsia" w:ascii="宋体" w:hAnsi="宋体"/>
                <w:szCs w:val="21"/>
              </w:rPr>
              <w:t>投标人自行承诺（格式见第八章投标文件格式）不得存在下列情形之一：</w:t>
            </w:r>
          </w:p>
          <w:p>
            <w:pPr>
              <w:snapToGrid w:val="0"/>
              <w:spacing w:line="400" w:lineRule="exact"/>
              <w:ind w:firstLine="420" w:firstLineChars="200"/>
              <w:jc w:val="left"/>
              <w:rPr>
                <w:rFonts w:ascii="宋体" w:hAnsi="宋体"/>
                <w:szCs w:val="21"/>
              </w:rPr>
            </w:pPr>
            <w:r>
              <w:rPr>
                <w:rFonts w:hint="eastAsia" w:ascii="宋体" w:hAnsi="宋体"/>
                <w:szCs w:val="21"/>
              </w:rPr>
              <w:t>（1）被人民法院列入失信被执行人名单且在被执行期内；</w:t>
            </w:r>
          </w:p>
          <w:p>
            <w:pPr>
              <w:snapToGrid w:val="0"/>
              <w:spacing w:line="400" w:lineRule="exact"/>
              <w:ind w:firstLine="420" w:firstLineChars="200"/>
              <w:rPr>
                <w:rFonts w:ascii="宋体" w:hAnsi="宋体"/>
                <w:szCs w:val="21"/>
              </w:rPr>
            </w:pPr>
            <w:r>
              <w:rPr>
                <w:rFonts w:hint="eastAsia" w:ascii="宋体" w:hAnsi="宋体"/>
                <w:szCs w:val="21"/>
              </w:rPr>
              <w:t>（2）被列入《重庆市工程建设领域招标投标信用管理暂行办法》规定的重点关注名单且记分达到12分且在记分有效期内；</w:t>
            </w:r>
          </w:p>
          <w:p>
            <w:pPr>
              <w:snapToGrid w:val="0"/>
              <w:spacing w:line="400" w:lineRule="exact"/>
              <w:ind w:firstLine="420" w:firstLineChars="200"/>
              <w:rPr>
                <w:rFonts w:ascii="宋体" w:hAnsi="宋体"/>
                <w:szCs w:val="21"/>
              </w:rPr>
            </w:pPr>
            <w:r>
              <w:rPr>
                <w:rFonts w:hint="eastAsia" w:ascii="宋体" w:hAnsi="宋体"/>
                <w:szCs w:val="21"/>
              </w:rPr>
              <w:t>（3）被列入《重庆市工程建设领域招标投标信用管理暂行办法》规定的重庆市工程建设领域招标投标失信惩戒对象名单（以下称黑名单）且在记分有效期内；</w:t>
            </w:r>
          </w:p>
          <w:p>
            <w:pPr>
              <w:snapToGrid w:val="0"/>
              <w:spacing w:line="400" w:lineRule="exact"/>
              <w:ind w:firstLine="420" w:firstLineChars="200"/>
            </w:pPr>
            <w:r>
              <w:rPr>
                <w:rFonts w:hint="eastAsia" w:ascii="宋体" w:hAnsi="宋体"/>
                <w:szCs w:val="21"/>
              </w:rPr>
              <w:t>（4）被国家、重庆市（含市或任意区县）有关行政部门处以暂停投标资格行政处罚</w:t>
            </w:r>
            <w:r>
              <w:rPr>
                <w:rFonts w:hint="eastAsia" w:ascii="宋体" w:hAnsi="宋体" w:eastAsia="宋体" w:cs="Times New Roman"/>
                <w:color w:val="auto"/>
                <w:sz w:val="21"/>
                <w:szCs w:val="21"/>
                <w:highlight w:val="none"/>
                <w:lang w:val="en-US" w:eastAsia="zh-CN"/>
              </w:rPr>
              <w:t>或暂停在渝承揽新业务</w:t>
            </w:r>
            <w:r>
              <w:rPr>
                <w:rFonts w:hint="eastAsia" w:ascii="宋体" w:hAnsi="宋体"/>
                <w:szCs w:val="21"/>
              </w:rPr>
              <w:t>，且在处罚期限内</w:t>
            </w:r>
            <w:r>
              <w:rPr>
                <w:rFonts w:hint="eastAsia" w:ascii="宋体" w:hAnsi="宋体"/>
                <w:szCs w:val="21"/>
                <w:lang w:eastAsia="zh-CN"/>
              </w:rPr>
              <w:t>。</w:t>
            </w:r>
          </w:p>
          <w:p>
            <w:pPr>
              <w:spacing w:line="400" w:lineRule="exact"/>
              <w:ind w:firstLine="420" w:firstLineChars="200"/>
            </w:pPr>
            <w:r>
              <w:rPr>
                <w:rFonts w:hint="eastAsia"/>
              </w:rPr>
              <w:t>投标人须在投标文件资格审查部分提供承诺。</w:t>
            </w:r>
          </w:p>
          <w:p>
            <w:pPr>
              <w:spacing w:line="400" w:lineRule="exact"/>
              <w:ind w:firstLine="420" w:firstLineChars="200"/>
              <w:rPr>
                <w:rFonts w:hint="eastAsia"/>
              </w:rPr>
            </w:pPr>
            <w:r>
              <w:rPr>
                <w:rFonts w:hint="eastAsia" w:asciiTheme="minorEastAsia" w:hAnsiTheme="minorEastAsia" w:eastAsiaTheme="minorEastAsia" w:cstheme="minorEastAsia"/>
                <w:color w:val="auto"/>
                <w:szCs w:val="21"/>
                <w:highlight w:val="none"/>
              </w:rPr>
              <w:t>□联合体投标的，联合体各成员均不得存在以上情形之一，由联合体牵头人代表联合体各成员进行承诺。</w:t>
            </w:r>
          </w:p>
          <w:p>
            <w:pPr>
              <w:spacing w:line="400" w:lineRule="exact"/>
              <w:ind w:firstLine="420" w:firstLineChars="200"/>
            </w:pPr>
            <w:r>
              <w:rPr>
                <w:rFonts w:hint="eastAsia"/>
              </w:rPr>
              <w:t>上述第（2）、（3）款信用状况在开标环节进行查询，查询结果交由评标委员会评审，若投标人针对上述第（2）、（3）款的承诺内容与查询结果不符，由评标委员会作否决投标处理。</w:t>
            </w:r>
          </w:p>
          <w:p>
            <w:pPr>
              <w:spacing w:line="400" w:lineRule="exact"/>
              <w:ind w:firstLine="420" w:firstLineChars="200"/>
            </w:pPr>
            <w:r>
              <w:rPr>
                <w:rFonts w:hint="eastAsia"/>
              </w:rPr>
              <w:t>注：投标人是否因有不良行为记分、进入重点关注名单或黑名单而被限制投标的，以开标环节信用状况查询结果为准。联合体投标的，任一成员单位出现被限制投标的情形，该联合体将被否决投标。</w:t>
            </w:r>
          </w:p>
          <w:p>
            <w:pPr>
              <w:snapToGrid w:val="0"/>
              <w:spacing w:line="400" w:lineRule="exact"/>
              <w:ind w:firstLine="420" w:firstLineChars="200"/>
              <w:rPr>
                <w:rFonts w:ascii="宋体" w:hAnsi="宋体"/>
                <w:b/>
                <w:szCs w:val="21"/>
              </w:rPr>
            </w:pPr>
            <w:r>
              <w:rPr>
                <w:rFonts w:hint="eastAsia"/>
              </w:rPr>
              <w:t>□联合体投标的，联合体各成员均不得存在以上情形之一，由联合体牵头人代表联合体各成员进行承诺。</w:t>
            </w:r>
          </w:p>
          <w:p>
            <w:pPr>
              <w:snapToGrid w:val="0"/>
              <w:spacing w:line="400" w:lineRule="exact"/>
              <w:ind w:firstLine="422" w:firstLineChars="200"/>
              <w:rPr>
                <w:rFonts w:ascii="宋体" w:hAnsi="宋体"/>
                <w:b/>
                <w:szCs w:val="21"/>
              </w:rPr>
            </w:pPr>
            <w:r>
              <w:rPr>
                <w:rFonts w:ascii="宋体" w:hAnsi="宋体"/>
                <w:b/>
                <w:szCs w:val="21"/>
              </w:rPr>
              <w:t>5.项目经理资格要求</w:t>
            </w:r>
          </w:p>
          <w:p>
            <w:pPr>
              <w:snapToGrid w:val="0"/>
              <w:spacing w:line="400" w:lineRule="exact"/>
              <w:ind w:firstLine="420" w:firstLineChars="200"/>
              <w:rPr>
                <w:rFonts w:ascii="Times New Roman" w:hAnsi="Times New Roman"/>
                <w:color w:val="auto"/>
                <w:szCs w:val="24"/>
                <w:highlight w:val="none"/>
              </w:rPr>
            </w:pPr>
            <w:r>
              <w:rPr>
                <w:rFonts w:hint="eastAsia" w:ascii="宋体" w:hAnsi="宋体"/>
                <w:b w:val="0"/>
                <w:bCs w:val="0"/>
                <w:szCs w:val="21"/>
              </w:rPr>
              <w:t>5.1</w:t>
            </w:r>
            <w:r>
              <w:rPr>
                <w:rFonts w:hint="eastAsia"/>
                <w:b w:val="0"/>
                <w:bCs w:val="0"/>
                <w:szCs w:val="21"/>
              </w:rPr>
              <w:t>投标人拟派的</w:t>
            </w:r>
            <w:r>
              <w:rPr>
                <w:b w:val="0"/>
                <w:bCs w:val="0"/>
                <w:szCs w:val="21"/>
              </w:rPr>
              <w:t>项目经理</w:t>
            </w:r>
            <w:r>
              <w:rPr>
                <w:rFonts w:hint="eastAsia"/>
                <w:b w:val="0"/>
                <w:bCs w:val="0"/>
                <w:szCs w:val="21"/>
                <w:lang w:val="en-US" w:eastAsia="zh-CN"/>
              </w:rPr>
              <w:t>为投标人本单位在职人员</w:t>
            </w:r>
            <w:r>
              <w:rPr>
                <w:rFonts w:hint="eastAsia"/>
                <w:b w:val="0"/>
                <w:bCs w:val="0"/>
                <w:szCs w:val="21"/>
                <w:lang w:eastAsia="zh-CN"/>
              </w:rPr>
              <w:t>，</w:t>
            </w:r>
            <w:r>
              <w:rPr>
                <w:color w:val="auto"/>
                <w:szCs w:val="21"/>
                <w:highlight w:val="none"/>
              </w:rPr>
              <w:t>具有</w:t>
            </w:r>
            <w:r>
              <w:rPr>
                <w:rFonts w:hint="eastAsia"/>
                <w:color w:val="auto"/>
                <w:szCs w:val="21"/>
                <w:highlight w:val="none"/>
                <w:u w:val="single"/>
              </w:rPr>
              <w:t xml:space="preserve">    </w:t>
            </w:r>
            <w:r>
              <w:rPr>
                <w:rFonts w:hint="eastAsia"/>
                <w:i/>
                <w:color w:val="auto"/>
                <w:szCs w:val="21"/>
                <w:highlight w:val="none"/>
                <w:u w:val="single"/>
              </w:rPr>
              <w:t xml:space="preserve"> </w:t>
            </w:r>
            <w:r>
              <w:rPr>
                <w:rFonts w:hint="eastAsia"/>
                <w:color w:val="auto"/>
                <w:szCs w:val="21"/>
                <w:highlight w:val="none"/>
              </w:rPr>
              <w:t>专业</w:t>
            </w:r>
            <w:r>
              <w:rPr>
                <w:rFonts w:hint="eastAsia"/>
                <w:color w:val="auto"/>
                <w:szCs w:val="21"/>
                <w:highlight w:val="none"/>
                <w:u w:val="single"/>
              </w:rPr>
              <w:t xml:space="preserve"> </w:t>
            </w:r>
            <w:r>
              <w:rPr>
                <w:color w:val="auto"/>
                <w:szCs w:val="21"/>
                <w:highlight w:val="none"/>
                <w:u w:val="single"/>
              </w:rPr>
              <w:t xml:space="preserve">  级及以上</w:t>
            </w:r>
            <w:r>
              <w:rPr>
                <w:color w:val="auto"/>
                <w:szCs w:val="21"/>
                <w:highlight w:val="none"/>
              </w:rPr>
              <w:t>注册建造师执业</w:t>
            </w:r>
            <w:r>
              <w:rPr>
                <w:rFonts w:ascii="宋体" w:hAnsi="宋体"/>
                <w:color w:val="auto"/>
                <w:szCs w:val="21"/>
                <w:highlight w:val="none"/>
              </w:rPr>
              <w:t>资格</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同时须</w:t>
            </w:r>
            <w:r>
              <w:rPr>
                <w:rFonts w:hint="eastAsia" w:ascii="宋体" w:hAnsi="宋体" w:cs="宋体"/>
                <w:color w:val="auto"/>
                <w:szCs w:val="21"/>
                <w:highlight w:val="none"/>
              </w:rPr>
              <w:t>具有</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专业</w:t>
            </w:r>
            <w:r>
              <w:rPr>
                <w:rFonts w:hint="eastAsia" w:ascii="宋体" w:hAnsi="宋体" w:cs="宋体"/>
                <w:color w:val="auto"/>
                <w:szCs w:val="21"/>
                <w:highlight w:val="none"/>
                <w:u w:val="single"/>
              </w:rPr>
              <w:t xml:space="preserve">    级及以上</w:t>
            </w:r>
            <w:r>
              <w:rPr>
                <w:rFonts w:hint="eastAsia" w:ascii="宋体" w:hAnsi="宋体" w:cs="宋体"/>
                <w:color w:val="auto"/>
                <w:szCs w:val="21"/>
                <w:highlight w:val="none"/>
              </w:rPr>
              <w:t>技术职称</w:t>
            </w:r>
            <w:r>
              <w:rPr>
                <w:rFonts w:hint="eastAsia" w:ascii="宋体" w:hAnsi="宋体"/>
                <w:color w:val="auto"/>
                <w:szCs w:val="21"/>
                <w:highlight w:val="none"/>
              </w:rPr>
              <w:t>。</w:t>
            </w:r>
          </w:p>
          <w:p>
            <w:pPr>
              <w:snapToGrid w:val="0"/>
              <w:spacing w:line="400" w:lineRule="exact"/>
              <w:ind w:firstLine="420" w:firstLineChars="200"/>
              <w:jc w:val="left"/>
              <w:rPr>
                <w:rFonts w:hint="default" w:ascii="宋体" w:hAnsi="宋体" w:eastAsia="宋体"/>
                <w:color w:val="0000FF"/>
                <w:szCs w:val="21"/>
                <w:lang w:val="en-US" w:eastAsia="zh-CN"/>
              </w:rPr>
            </w:pPr>
            <w:r>
              <w:rPr>
                <w:rFonts w:hint="eastAsia" w:ascii="宋体" w:hAnsi="宋体"/>
                <w:b w:val="0"/>
                <w:bCs w:val="0"/>
                <w:szCs w:val="21"/>
              </w:rPr>
              <w:t>5.2项目经理承诺要求：投标人须承诺拟派项目经理按注册建造师的相关规定到岗履职和未被禁止参与投标。</w:t>
            </w:r>
          </w:p>
          <w:p>
            <w:pPr>
              <w:snapToGrid w:val="0"/>
              <w:spacing w:line="400" w:lineRule="exact"/>
              <w:ind w:firstLine="420" w:firstLineChars="200"/>
              <w:rPr>
                <w:rFonts w:ascii="宋体" w:hAnsi="宋体"/>
                <w:b/>
                <w:bCs/>
                <w:color w:val="000000"/>
              </w:rPr>
            </w:pPr>
            <w:r>
              <w:rPr>
                <w:rFonts w:ascii="宋体" w:hAnsi="宋体"/>
                <w:b w:val="0"/>
                <w:bCs w:val="0"/>
                <w:color w:val="000000"/>
              </w:rPr>
              <w:t>5.2.1到岗履职承诺要求：</w:t>
            </w:r>
            <w:r>
              <w:rPr>
                <w:rFonts w:ascii="宋体" w:hAnsi="宋体"/>
                <w:color w:val="000000"/>
              </w:rPr>
              <w:t>承诺拟派项目经理中标后在本项目任职，签订合同时拟派的项目经理必须与投标文件中的项目经理一致，并满足办理施工许可手续的相关要求。不能按承诺到岗履</w:t>
            </w:r>
            <w:r>
              <w:rPr>
                <w:rFonts w:hint="eastAsia" w:ascii="宋体" w:hAnsi="宋体"/>
                <w:color w:val="000000"/>
                <w:lang w:val="en-US" w:eastAsia="zh-CN"/>
              </w:rPr>
              <w:t>职</w:t>
            </w:r>
            <w:r>
              <w:rPr>
                <w:rFonts w:ascii="宋体" w:hAnsi="宋体"/>
                <w:color w:val="000000"/>
              </w:rPr>
              <w:t>的，</w:t>
            </w:r>
            <w:r>
              <w:rPr>
                <w:rFonts w:hint="eastAsia" w:ascii="宋体" w:hAnsi="宋体"/>
                <w:color w:val="000000"/>
                <w:lang w:val="en-US" w:eastAsia="zh-CN"/>
              </w:rPr>
              <w:t>招标人</w:t>
            </w:r>
            <w:r>
              <w:rPr>
                <w:rFonts w:ascii="宋体" w:hAnsi="宋体"/>
                <w:color w:val="000000"/>
              </w:rPr>
              <w:t>按合同相关条款</w:t>
            </w:r>
            <w:r>
              <w:rPr>
                <w:rFonts w:hint="eastAsia" w:ascii="宋体" w:hAnsi="宋体"/>
                <w:color w:val="000000"/>
                <w:lang w:val="en-US" w:eastAsia="zh-CN"/>
              </w:rPr>
              <w:t>要求投标人承担责任</w:t>
            </w:r>
            <w:r>
              <w:rPr>
                <w:rFonts w:ascii="宋体" w:hAnsi="宋体"/>
                <w:color w:val="000000"/>
              </w:rPr>
              <w:t>并上报行政主管部门，给招标人造成损失的，投标人依法承担违约赔偿责任。拟派项目经理中标后不得随意更换。</w:t>
            </w:r>
          </w:p>
          <w:p>
            <w:pPr>
              <w:snapToGrid w:val="0"/>
              <w:spacing w:line="400" w:lineRule="exact"/>
              <w:ind w:firstLine="420" w:firstLineChars="200"/>
              <w:rPr>
                <w:rFonts w:ascii="宋体" w:hAnsi="宋体"/>
                <w:color w:val="000000"/>
              </w:rPr>
            </w:pPr>
            <w:r>
              <w:rPr>
                <w:rFonts w:ascii="宋体" w:hAnsi="宋体"/>
                <w:b w:val="0"/>
                <w:bCs w:val="0"/>
                <w:color w:val="000000"/>
              </w:rPr>
              <w:t>5.2.2未被禁止参与投标承诺要求：</w:t>
            </w:r>
            <w:r>
              <w:rPr>
                <w:rFonts w:ascii="宋体" w:hAnsi="宋体"/>
                <w:color w:val="000000"/>
              </w:rPr>
              <w:t>承诺拟派项目经理未被重庆市</w:t>
            </w:r>
            <w:r>
              <w:rPr>
                <w:rFonts w:hint="eastAsia" w:ascii="宋体" w:hAnsi="宋体"/>
                <w:color w:val="000000"/>
                <w:lang w:eastAsia="zh-CN"/>
              </w:rPr>
              <w:t>（</w:t>
            </w:r>
            <w:r>
              <w:rPr>
                <w:rFonts w:hint="eastAsia" w:ascii="宋体" w:hAnsi="宋体"/>
                <w:color w:val="000000"/>
                <w:lang w:val="en-US" w:eastAsia="zh-CN"/>
              </w:rPr>
              <w:t>含市或任意区县）有关行业</w:t>
            </w:r>
            <w:r>
              <w:rPr>
                <w:rFonts w:ascii="宋体" w:hAnsi="宋体"/>
                <w:color w:val="000000"/>
              </w:rPr>
              <w:t>主管部门暂停</w:t>
            </w:r>
            <w:r>
              <w:rPr>
                <w:rFonts w:hint="eastAsia" w:ascii="宋体" w:hAnsi="宋体"/>
                <w:color w:val="000000"/>
                <w:lang w:val="en-US" w:eastAsia="zh-CN"/>
              </w:rPr>
              <w:t>其</w:t>
            </w:r>
            <w:r>
              <w:rPr>
                <w:rFonts w:ascii="宋体" w:hAnsi="宋体"/>
                <w:color w:val="000000"/>
              </w:rPr>
              <w:t>在渝承揽</w:t>
            </w:r>
            <w:r>
              <w:rPr>
                <w:rFonts w:hint="eastAsia" w:ascii="宋体" w:hAnsi="宋体"/>
                <w:color w:val="000000"/>
                <w:lang w:val="en-US" w:eastAsia="zh-CN"/>
              </w:rPr>
              <w:t>的</w:t>
            </w:r>
            <w:r>
              <w:rPr>
                <w:rFonts w:ascii="宋体" w:hAnsi="宋体"/>
                <w:color w:val="000000"/>
              </w:rPr>
              <w:t>新业务</w:t>
            </w:r>
            <w:r>
              <w:rPr>
                <w:rFonts w:hint="eastAsia" w:ascii="宋体" w:hAnsi="宋体"/>
                <w:color w:val="000000"/>
                <w:lang w:val="en-US" w:eastAsia="zh-CN"/>
              </w:rPr>
              <w:t>中任职</w:t>
            </w:r>
            <w:r>
              <w:rPr>
                <w:rFonts w:ascii="宋体" w:hAnsi="宋体"/>
                <w:color w:val="000000"/>
              </w:rPr>
              <w:t>。若</w:t>
            </w:r>
            <w:r>
              <w:rPr>
                <w:rFonts w:hint="eastAsia" w:ascii="宋体" w:hAnsi="宋体"/>
                <w:color w:val="000000"/>
                <w:lang w:val="en-US" w:eastAsia="zh-CN"/>
              </w:rPr>
              <w:t>其</w:t>
            </w:r>
            <w:r>
              <w:rPr>
                <w:rFonts w:ascii="宋体" w:hAnsi="宋体"/>
                <w:color w:val="000000"/>
              </w:rPr>
              <w:t>被暂停在渝承揽</w:t>
            </w:r>
            <w:r>
              <w:rPr>
                <w:rFonts w:hint="eastAsia" w:ascii="宋体" w:hAnsi="宋体"/>
                <w:color w:val="000000"/>
                <w:lang w:val="en-US" w:eastAsia="zh-CN"/>
              </w:rPr>
              <w:t>的</w:t>
            </w:r>
            <w:r>
              <w:rPr>
                <w:rFonts w:ascii="宋体" w:hAnsi="宋体"/>
                <w:color w:val="000000"/>
              </w:rPr>
              <w:t>新业务</w:t>
            </w:r>
            <w:r>
              <w:rPr>
                <w:rFonts w:hint="eastAsia" w:ascii="宋体" w:hAnsi="宋体"/>
                <w:color w:val="000000"/>
                <w:lang w:val="en-US" w:eastAsia="zh-CN"/>
              </w:rPr>
              <w:t>中任职</w:t>
            </w:r>
            <w:r>
              <w:rPr>
                <w:rFonts w:ascii="宋体" w:hAnsi="宋体"/>
                <w:color w:val="000000"/>
              </w:rPr>
              <w:t>但仍参加投标，将被否决投标；已取得中标候选人资格或中标资格的，招标人有权取消</w:t>
            </w:r>
            <w:r>
              <w:rPr>
                <w:rFonts w:hint="eastAsia" w:ascii="宋体" w:hAnsi="宋体"/>
                <w:color w:val="000000"/>
                <w:lang w:val="en-US" w:eastAsia="zh-CN"/>
              </w:rPr>
              <w:t>投标人</w:t>
            </w:r>
            <w:r>
              <w:rPr>
                <w:rFonts w:ascii="宋体" w:hAnsi="宋体"/>
                <w:color w:val="000000"/>
              </w:rPr>
              <w:t>中标候选人资格或中标资格；给招标人造成损失的，投标人依法承担违约赔偿责任。</w:t>
            </w:r>
          </w:p>
          <w:p>
            <w:pPr>
              <w:snapToGrid w:val="0"/>
              <w:spacing w:line="400" w:lineRule="exact"/>
              <w:ind w:firstLine="420" w:firstLineChars="200"/>
              <w:rPr>
                <w:rFonts w:ascii="宋体" w:hAnsi="宋体"/>
                <w:color w:val="000000"/>
              </w:rPr>
            </w:pPr>
            <w:r>
              <w:rPr>
                <w:rFonts w:ascii="宋体" w:hAnsi="宋体"/>
                <w:b w:val="0"/>
                <w:bCs w:val="0"/>
                <w:color w:val="000000"/>
              </w:rPr>
              <w:t>5.2.3项目经理的其它承诺要求：</w:t>
            </w:r>
            <w:r>
              <w:rPr>
                <w:rFonts w:ascii="宋体" w:hAnsi="宋体"/>
                <w:color w:val="000000"/>
              </w:rPr>
              <w:t>为保证</w:t>
            </w:r>
            <w:r>
              <w:rPr>
                <w:rFonts w:hint="eastAsia" w:ascii="宋体" w:hAnsi="宋体"/>
                <w:color w:val="000000"/>
              </w:rPr>
              <w:t>投标人</w:t>
            </w:r>
            <w:r>
              <w:rPr>
                <w:rFonts w:ascii="宋体" w:hAnsi="宋体"/>
                <w:color w:val="000000"/>
              </w:rPr>
              <w:t>拟派的项目经理到本项目到岗履职，</w:t>
            </w:r>
            <w:r>
              <w:rPr>
                <w:rFonts w:hint="eastAsia" w:ascii="宋体" w:hAnsi="宋体"/>
                <w:color w:val="000000"/>
              </w:rPr>
              <w:t>投标人</w:t>
            </w:r>
            <w:r>
              <w:rPr>
                <w:rFonts w:ascii="宋体" w:hAnsi="宋体"/>
                <w:color w:val="000000"/>
              </w:rPr>
              <w:t>还需承诺：</w:t>
            </w:r>
          </w:p>
          <w:p>
            <w:pPr>
              <w:snapToGrid w:val="0"/>
              <w:spacing w:line="400" w:lineRule="exact"/>
              <w:ind w:firstLine="420" w:firstLineChars="200"/>
              <w:rPr>
                <w:rFonts w:ascii="宋体" w:hAnsi="宋体"/>
                <w:b/>
                <w:bCs/>
                <w:color w:val="000000"/>
                <w:highlight w:val="none"/>
              </w:rPr>
            </w:pPr>
            <w:r>
              <w:rPr>
                <w:rFonts w:ascii="宋体" w:hAnsi="宋体"/>
                <w:color w:val="000000"/>
              </w:rPr>
              <w:t>若</w:t>
            </w:r>
            <w:r>
              <w:rPr>
                <w:rFonts w:hint="eastAsia" w:ascii="宋体" w:hAnsi="宋体"/>
                <w:color w:val="000000"/>
              </w:rPr>
              <w:t>投标人</w:t>
            </w:r>
            <w:r>
              <w:rPr>
                <w:rFonts w:ascii="宋体" w:hAnsi="宋体"/>
                <w:color w:val="000000"/>
              </w:rPr>
              <w:t>拟派本项目的项目经理有在其他项目任职的情形的（或有在其他项目中标或拟中标的情形的），应在收到中标通知书后</w:t>
            </w:r>
            <w:r>
              <w:rPr>
                <w:rFonts w:ascii="宋体" w:hAnsi="宋体"/>
                <w:color w:val="000000"/>
                <w:u w:val="single"/>
              </w:rPr>
              <w:t xml:space="preserve"> 14 </w:t>
            </w:r>
            <w:r>
              <w:rPr>
                <w:rFonts w:ascii="宋体" w:hAnsi="宋体"/>
                <w:color w:val="000000"/>
              </w:rPr>
              <w:t>日</w:t>
            </w:r>
            <w:r>
              <w:rPr>
                <w:rFonts w:hint="eastAsia" w:ascii="宋体" w:hAnsi="宋体"/>
                <w:i/>
                <w:iCs/>
                <w:color w:val="000000"/>
              </w:rPr>
              <w:t>[提示：</w:t>
            </w:r>
            <w:r>
              <w:rPr>
                <w:rFonts w:ascii="宋体" w:hAnsi="宋体"/>
                <w:i/>
                <w:iCs/>
                <w:color w:val="000000"/>
              </w:rPr>
              <w:t>7～30日</w:t>
            </w:r>
            <w:r>
              <w:rPr>
                <w:rFonts w:hint="eastAsia" w:ascii="宋体" w:hAnsi="宋体"/>
                <w:i/>
                <w:iCs/>
                <w:color w:val="000000"/>
              </w:rPr>
              <w:t>]</w:t>
            </w:r>
            <w:r>
              <w:rPr>
                <w:rFonts w:ascii="宋体" w:hAnsi="宋体"/>
                <w:color w:val="000000"/>
              </w:rPr>
              <w:t>内，办理完成放弃在其他项目任职的手续（或办理完成放弃在其他项目中标</w:t>
            </w:r>
            <w:r>
              <w:rPr>
                <w:rFonts w:hint="eastAsia" w:ascii="宋体" w:hAnsi="宋体"/>
                <w:color w:val="000000"/>
              </w:rPr>
              <w:t>或拟中标</w:t>
            </w:r>
            <w:r>
              <w:rPr>
                <w:rFonts w:ascii="宋体" w:hAnsi="宋体"/>
                <w:color w:val="000000"/>
              </w:rPr>
              <w:t>的手续），招标人在合同签订前有权对</w:t>
            </w:r>
            <w:r>
              <w:rPr>
                <w:rFonts w:hint="eastAsia" w:ascii="宋体" w:hAnsi="宋体"/>
                <w:color w:val="000000"/>
              </w:rPr>
              <w:t>投标人</w:t>
            </w:r>
            <w:r>
              <w:rPr>
                <w:rFonts w:ascii="宋体" w:hAnsi="宋体"/>
                <w:color w:val="000000"/>
              </w:rPr>
              <w:t>拟派项目经理在其他项目的任职情形（或在其他项目的中标或拟中标情形）进行核查，若与</w:t>
            </w:r>
            <w:r>
              <w:rPr>
                <w:rFonts w:hint="eastAsia" w:ascii="宋体" w:hAnsi="宋体"/>
                <w:color w:val="000000"/>
              </w:rPr>
              <w:t>投标人</w:t>
            </w:r>
            <w:r>
              <w:rPr>
                <w:rFonts w:ascii="宋体" w:hAnsi="宋体"/>
                <w:color w:val="000000"/>
              </w:rPr>
              <w:t>承诺内容不符或</w:t>
            </w:r>
            <w:r>
              <w:rPr>
                <w:rFonts w:hint="eastAsia" w:ascii="宋体" w:hAnsi="宋体"/>
                <w:color w:val="000000"/>
              </w:rPr>
              <w:t>投标人</w:t>
            </w:r>
            <w:r>
              <w:rPr>
                <w:rFonts w:ascii="宋体" w:hAnsi="宋体"/>
                <w:color w:val="000000"/>
              </w:rPr>
              <w:t>未在上述时间内按照招标文件规定递交放弃在其他项目任职、中标或拟中标的相关资料，视为</w:t>
            </w:r>
            <w:r>
              <w:rPr>
                <w:rFonts w:hint="eastAsia" w:ascii="宋体" w:hAnsi="宋体"/>
                <w:color w:val="000000"/>
              </w:rPr>
              <w:t>投标人</w:t>
            </w:r>
            <w:r>
              <w:rPr>
                <w:rFonts w:ascii="宋体" w:hAnsi="宋体"/>
                <w:color w:val="000000"/>
              </w:rPr>
              <w:t>放弃中标资格，招标人不退还其投标保证金。在合同签订时，</w:t>
            </w:r>
            <w:r>
              <w:rPr>
                <w:rFonts w:hint="eastAsia" w:ascii="宋体" w:hAnsi="宋体"/>
                <w:color w:val="000000"/>
              </w:rPr>
              <w:t>投标人</w:t>
            </w:r>
            <w:r>
              <w:rPr>
                <w:rFonts w:ascii="宋体" w:hAnsi="宋体"/>
                <w:color w:val="000000"/>
              </w:rPr>
              <w:t>需确保拟派项目经理符合</w:t>
            </w:r>
            <w:r>
              <w:rPr>
                <w:rFonts w:ascii="宋体" w:hAnsi="宋体"/>
              </w:rPr>
              <w:t>《建筑施工企业项目经理资质管理办法》规定的项目经理任职条件，否</w:t>
            </w:r>
            <w:r>
              <w:rPr>
                <w:rFonts w:ascii="宋体" w:hAnsi="宋体"/>
                <w:color w:val="000000"/>
              </w:rPr>
              <w:t>则视为</w:t>
            </w:r>
            <w:r>
              <w:rPr>
                <w:rFonts w:hint="eastAsia" w:ascii="宋体" w:hAnsi="宋体"/>
                <w:color w:val="000000"/>
              </w:rPr>
              <w:t>投标人</w:t>
            </w:r>
            <w:r>
              <w:rPr>
                <w:rFonts w:ascii="宋体" w:hAnsi="宋体"/>
                <w:color w:val="000000"/>
              </w:rPr>
              <w:t>放弃中标资格，</w:t>
            </w:r>
            <w:r>
              <w:rPr>
                <w:rFonts w:hint="eastAsia" w:ascii="宋体" w:hAnsi="宋体" w:cs="宋体"/>
                <w:szCs w:val="21"/>
                <w:u w:val="single"/>
              </w:rPr>
              <w:t>投标保证金</w:t>
            </w:r>
            <w:r>
              <w:rPr>
                <w:rFonts w:hint="eastAsia" w:ascii="宋体" w:hAnsi="宋体" w:cs="宋体"/>
                <w:szCs w:val="21"/>
                <w:u w:val="single"/>
                <w:lang w:val="en-US" w:eastAsia="zh-CN"/>
              </w:rPr>
              <w:t>以现金形式交纳的招标人</w:t>
            </w:r>
            <w:r>
              <w:rPr>
                <w:rFonts w:hint="eastAsia" w:ascii="宋体" w:hAnsi="宋体" w:cs="宋体"/>
                <w:szCs w:val="21"/>
                <w:u w:val="single"/>
              </w:rPr>
              <w:t>不予退还，</w:t>
            </w:r>
            <w:r>
              <w:rPr>
                <w:rFonts w:hint="eastAsia" w:asciiTheme="minorEastAsia" w:hAnsiTheme="minorEastAsia" w:eastAsiaTheme="minorEastAsia" w:cstheme="minorEastAsia"/>
                <w:szCs w:val="21"/>
                <w:highlight w:val="none"/>
                <w:u w:val="single"/>
              </w:rPr>
              <w:t>以保函形式交纳的由保函开立人支付保函担保的与投标保证金等额的款项</w:t>
            </w:r>
            <w:r>
              <w:rPr>
                <w:rFonts w:ascii="宋体" w:hAnsi="宋体"/>
                <w:b/>
                <w:bCs/>
                <w:color w:val="000000"/>
                <w:highlight w:val="none"/>
              </w:rPr>
              <w:t>。</w:t>
            </w:r>
          </w:p>
          <w:p>
            <w:pPr>
              <w:snapToGrid w:val="0"/>
              <w:spacing w:line="400" w:lineRule="exact"/>
              <w:ind w:firstLine="420" w:firstLineChars="200"/>
              <w:rPr>
                <w:rFonts w:ascii="宋体" w:hAnsi="宋体"/>
                <w:color w:val="000000"/>
              </w:rPr>
            </w:pPr>
            <w:r>
              <w:rPr>
                <w:rFonts w:ascii="宋体" w:hAnsi="宋体"/>
                <w:color w:val="000000"/>
              </w:rPr>
              <w:t>放弃在其他项目任职的需提供</w:t>
            </w:r>
            <w:r>
              <w:rPr>
                <w:rFonts w:hint="eastAsia" w:ascii="宋体" w:hAnsi="宋体"/>
                <w:color w:val="000000"/>
              </w:rPr>
              <w:t>：</w:t>
            </w:r>
            <w:r>
              <w:rPr>
                <w:rFonts w:ascii="宋体" w:hAnsi="宋体"/>
                <w:color w:val="000000"/>
              </w:rPr>
              <w:t>①</w:t>
            </w:r>
            <w:r>
              <w:rPr>
                <w:rFonts w:hint="eastAsia" w:ascii="宋体" w:hAnsi="宋体"/>
                <w:color w:val="000000"/>
              </w:rPr>
              <w:t>经</w:t>
            </w:r>
            <w:r>
              <w:rPr>
                <w:rFonts w:ascii="宋体" w:hAnsi="宋体"/>
                <w:color w:val="000000"/>
              </w:rPr>
              <w:t>业主或建设单位同意任职变更的文件；②负责项目监管的行业行政主管部门出具同意任职变更的证明材料。</w:t>
            </w:r>
          </w:p>
          <w:p>
            <w:pPr>
              <w:snapToGrid w:val="0"/>
              <w:spacing w:line="400" w:lineRule="exact"/>
              <w:ind w:firstLine="420" w:firstLineChars="200"/>
              <w:rPr>
                <w:rFonts w:ascii="宋体" w:hAnsi="宋体"/>
                <w:color w:val="000000"/>
              </w:rPr>
            </w:pPr>
            <w:r>
              <w:rPr>
                <w:rFonts w:ascii="宋体" w:hAnsi="宋体"/>
                <w:color w:val="000000"/>
              </w:rPr>
              <w:t>放弃在其他项目中标或拟中标的需提供</w:t>
            </w:r>
            <w:r>
              <w:rPr>
                <w:rFonts w:hint="eastAsia" w:ascii="宋体" w:hAnsi="宋体"/>
                <w:color w:val="000000"/>
              </w:rPr>
              <w:t>：</w:t>
            </w:r>
            <w:r>
              <w:rPr>
                <w:rFonts w:ascii="宋体" w:hAnsi="宋体"/>
                <w:color w:val="000000"/>
              </w:rPr>
              <w:t>①经中标或拟中标的其他项目建设单位同意的放弃中标函</w:t>
            </w:r>
            <w:r>
              <w:rPr>
                <w:rFonts w:hint="eastAsia" w:ascii="宋体" w:hAnsi="宋体"/>
                <w:color w:val="000000"/>
              </w:rPr>
              <w:t>。</w:t>
            </w:r>
          </w:p>
          <w:p>
            <w:pPr>
              <w:snapToGrid w:val="0"/>
              <w:spacing w:line="400" w:lineRule="exact"/>
              <w:ind w:firstLine="420" w:firstLineChars="200"/>
              <w:rPr>
                <w:rFonts w:ascii="宋体" w:hAnsi="宋体"/>
                <w:b w:val="0"/>
                <w:bCs w:val="0"/>
                <w:szCs w:val="21"/>
              </w:rPr>
            </w:pPr>
            <w:r>
              <w:rPr>
                <w:rFonts w:hint="eastAsia" w:ascii="宋体" w:hAnsi="宋体"/>
                <w:b w:val="0"/>
                <w:bCs w:val="0"/>
                <w:color w:val="000000"/>
              </w:rPr>
              <w:t>5.2.4未提供上述承诺或承诺内容不符合要求的，由评标委员会作否决投标处理。</w:t>
            </w:r>
          </w:p>
          <w:p>
            <w:pPr>
              <w:snapToGrid w:val="0"/>
              <w:spacing w:line="400" w:lineRule="exact"/>
              <w:ind w:firstLine="420" w:firstLineChars="200"/>
              <w:rPr>
                <w:rFonts w:ascii="宋体" w:hAnsi="宋体"/>
                <w:szCs w:val="21"/>
              </w:rPr>
            </w:pPr>
            <w:r>
              <w:rPr>
                <w:rFonts w:hint="eastAsia" w:ascii="宋体" w:hAnsi="宋体"/>
                <w:szCs w:val="21"/>
              </w:rPr>
              <w:t>□联合体投标的，项目经理由联合体牵头人提供。</w:t>
            </w:r>
          </w:p>
          <w:p>
            <w:pPr>
              <w:snapToGrid w:val="0"/>
              <w:spacing w:line="400" w:lineRule="exact"/>
              <w:ind w:firstLine="420" w:firstLineChars="200"/>
              <w:rPr>
                <w:rFonts w:hint="eastAsia" w:ascii="宋体" w:hAnsi="宋体"/>
                <w:kern w:val="0"/>
                <w:szCs w:val="21"/>
              </w:rPr>
            </w:pPr>
            <w:r>
              <w:rPr>
                <w:rFonts w:hint="eastAsia" w:ascii="宋体" w:hAnsi="宋体"/>
                <w:kern w:val="0"/>
                <w:szCs w:val="21"/>
              </w:rPr>
              <w:t>投标人须在投标文件资格审查部分提供有效的拟派项目经理建造师注册证、身份证、投标人为其缴纳的养老保险证明材料，拟派项目经理到岗履职和未被禁止参与投标的承诺（承诺格式见第八章投标文件格式）。</w:t>
            </w:r>
          </w:p>
          <w:p>
            <w:pPr>
              <w:snapToGrid w:val="0"/>
              <w:spacing w:line="400" w:lineRule="exact"/>
              <w:ind w:firstLine="420" w:firstLineChars="200"/>
              <w:rPr>
                <w:rFonts w:hint="eastAsia" w:ascii="宋体" w:hAnsi="宋体"/>
                <w:kern w:val="0"/>
                <w:szCs w:val="21"/>
              </w:rPr>
            </w:pPr>
            <w:r>
              <w:rPr>
                <w:rFonts w:hint="eastAsia" w:ascii="宋体" w:hAnsi="宋体"/>
                <w:kern w:val="0"/>
                <w:szCs w:val="21"/>
              </w:rPr>
              <w:t>注：</w:t>
            </w:r>
            <w:r>
              <w:rPr>
                <w:rFonts w:hint="eastAsia" w:ascii="宋体" w:hAnsi="宋体"/>
                <w:kern w:val="0"/>
                <w:szCs w:val="21"/>
                <w:lang w:eastAsia="zh-CN"/>
              </w:rPr>
              <w:t>（</w:t>
            </w:r>
            <w:r>
              <w:rPr>
                <w:rFonts w:hint="eastAsia" w:ascii="宋体" w:hAnsi="宋体"/>
                <w:kern w:val="0"/>
                <w:szCs w:val="21"/>
                <w:lang w:val="en-US" w:eastAsia="zh-CN"/>
              </w:rPr>
              <w:t>1</w:t>
            </w:r>
            <w:r>
              <w:rPr>
                <w:rFonts w:hint="eastAsia" w:ascii="宋体" w:hAnsi="宋体"/>
                <w:kern w:val="0"/>
                <w:szCs w:val="21"/>
                <w:lang w:eastAsia="zh-CN"/>
              </w:rPr>
              <w:t>）</w:t>
            </w:r>
            <w:r>
              <w:rPr>
                <w:rFonts w:hint="eastAsia" w:ascii="宋体" w:hAnsi="宋体"/>
                <w:kern w:val="0"/>
                <w:szCs w:val="21"/>
              </w:rPr>
              <w:t>提供拟派的项目经理为一级建造师或重庆市二级建造师注册人员的，必须提供建造师电子注册证书，且该建造师电子注册证书须由建造师本人在个人签名处手写本人签名。</w:t>
            </w:r>
          </w:p>
          <w:p>
            <w:pPr>
              <w:snapToGrid w:val="0"/>
              <w:spacing w:line="400" w:lineRule="exact"/>
              <w:ind w:firstLine="420" w:firstLineChars="200"/>
              <w:rPr>
                <w:rFonts w:hint="eastAsia"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2</w:t>
            </w:r>
            <w:r>
              <w:rPr>
                <w:rFonts w:hint="eastAsia" w:ascii="宋体" w:hAnsi="宋体"/>
                <w:kern w:val="0"/>
                <w:szCs w:val="21"/>
                <w:lang w:eastAsia="zh-CN"/>
              </w:rPr>
              <w:t>）</w:t>
            </w:r>
            <w:r>
              <w:rPr>
                <w:rFonts w:hint="eastAsia" w:ascii="宋体" w:hAnsi="宋体"/>
                <w:kern w:val="0"/>
                <w:szCs w:val="21"/>
              </w:rPr>
              <w:t>重庆市以外的省级住房城乡建设主管部门对二级建造师电子注册证书使用有明确规定的，从其规定。未规定使用电子注册证书的，可提供纸质证书扫描件。</w:t>
            </w:r>
          </w:p>
          <w:p>
            <w:pPr>
              <w:snapToGrid w:val="0"/>
              <w:spacing w:line="400" w:lineRule="exact"/>
              <w:ind w:firstLine="420" w:firstLineChars="200"/>
              <w:rPr>
                <w:rFonts w:ascii="宋体" w:hAnsi="宋体"/>
                <w:szCs w:val="21"/>
              </w:rPr>
            </w:pPr>
            <w:r>
              <w:rPr>
                <w:rFonts w:hint="eastAsia" w:ascii="宋体" w:hAnsi="宋体"/>
                <w:kern w:val="0"/>
                <w:szCs w:val="21"/>
                <w:lang w:eastAsia="zh-CN"/>
              </w:rPr>
              <w:t>（</w:t>
            </w:r>
            <w:r>
              <w:rPr>
                <w:rFonts w:hint="eastAsia" w:ascii="宋体" w:hAnsi="宋体"/>
                <w:kern w:val="0"/>
                <w:szCs w:val="21"/>
                <w:lang w:val="en-US" w:eastAsia="zh-CN"/>
              </w:rPr>
              <w:t>3</w:t>
            </w:r>
            <w:r>
              <w:rPr>
                <w:rFonts w:hint="eastAsia" w:ascii="宋体" w:hAnsi="宋体"/>
                <w:kern w:val="0"/>
                <w:szCs w:val="21"/>
                <w:lang w:eastAsia="zh-CN"/>
              </w:rPr>
              <w:t>）</w:t>
            </w:r>
            <w:r>
              <w:rPr>
                <w:rFonts w:hint="eastAsia" w:ascii="宋体" w:hAnsi="宋体"/>
                <w:kern w:val="0"/>
                <w:szCs w:val="21"/>
              </w:rPr>
              <w:t>建造师电子注册证书本人手写签名与签名图像笔迹是否一致不作为否决投标的情形。</w:t>
            </w:r>
          </w:p>
          <w:p>
            <w:pPr>
              <w:autoSpaceDE w:val="0"/>
              <w:autoSpaceDN w:val="0"/>
              <w:adjustRightInd w:val="0"/>
              <w:snapToGrid w:val="0"/>
              <w:spacing w:line="400" w:lineRule="exact"/>
              <w:ind w:firstLine="422" w:firstLineChars="200"/>
              <w:rPr>
                <w:rFonts w:ascii="宋体" w:hAnsi="宋体"/>
                <w:b/>
                <w:bCs/>
                <w:szCs w:val="21"/>
              </w:rPr>
            </w:pPr>
            <w:r>
              <w:rPr>
                <w:rFonts w:hint="eastAsia" w:ascii="宋体" w:hAnsi="宋体"/>
                <w:b/>
                <w:bCs/>
                <w:szCs w:val="21"/>
              </w:rPr>
              <w:t>□5.3项目经理业绩</w:t>
            </w:r>
          </w:p>
          <w:p>
            <w:pPr>
              <w:autoSpaceDE w:val="0"/>
              <w:autoSpaceDN w:val="0"/>
              <w:adjustRightInd w:val="0"/>
              <w:snapToGrid w:val="0"/>
              <w:spacing w:line="360" w:lineRule="auto"/>
              <w:ind w:firstLine="420" w:firstLineChars="200"/>
              <w:rPr>
                <w:rFonts w:ascii="宋体" w:hAnsi="宋体" w:cs="宋体"/>
                <w:szCs w:val="21"/>
                <w:highlight w:val="none"/>
              </w:rPr>
            </w:pPr>
            <w:r>
              <w:rPr>
                <w:rFonts w:hint="eastAsia" w:asciiTheme="minorEastAsia" w:hAnsiTheme="minorEastAsia" w:eastAsiaTheme="minorEastAsia" w:cstheme="minorEastAsia"/>
                <w:kern w:val="0"/>
                <w:sz w:val="21"/>
                <w:szCs w:val="21"/>
                <w:lang w:eastAsia="zh-CN"/>
              </w:rPr>
              <w:t>投标人</w:t>
            </w:r>
            <w:r>
              <w:rPr>
                <w:rFonts w:hint="eastAsia" w:asciiTheme="minorEastAsia" w:hAnsiTheme="minorEastAsia" w:eastAsiaTheme="minorEastAsia" w:cstheme="minorEastAsia"/>
                <w:snapToGrid/>
                <w:sz w:val="21"/>
                <w:szCs w:val="21"/>
                <w:u w:val="none"/>
                <w:lang w:eastAsia="zh-CN"/>
              </w:rPr>
              <w:t>在</w:t>
            </w:r>
            <w:r>
              <w:rPr>
                <w:rFonts w:hint="eastAsia" w:asciiTheme="minorEastAsia" w:hAnsiTheme="minorEastAsia" w:eastAsiaTheme="minorEastAsia" w:cstheme="minorEastAsia"/>
                <w:snapToGrid/>
                <w:sz w:val="21"/>
                <w:szCs w:val="21"/>
                <w:u w:val="single"/>
                <w:lang w:eastAsia="zh-CN"/>
              </w:rPr>
              <w:t xml:space="preserve">    </w:t>
            </w:r>
            <w:r>
              <w:rPr>
                <w:rFonts w:hint="eastAsia" w:asciiTheme="minorEastAsia" w:hAnsiTheme="minorEastAsia" w:eastAsiaTheme="minorEastAsia" w:cstheme="minorEastAsia"/>
                <w:snapToGrid/>
                <w:sz w:val="21"/>
                <w:szCs w:val="21"/>
                <w:u w:val="none"/>
                <w:lang w:eastAsia="zh-CN"/>
              </w:rPr>
              <w:t>年1月1日起</w:t>
            </w:r>
            <w:r>
              <w:rPr>
                <w:rFonts w:hint="eastAsia" w:asciiTheme="minorEastAsia" w:hAnsiTheme="minorEastAsia" w:eastAsiaTheme="minorEastAsia" w:cstheme="minorEastAsia"/>
                <w:i/>
                <w:iCs/>
                <w:snapToGrid/>
                <w:sz w:val="21"/>
                <w:szCs w:val="21"/>
                <w:u w:val="none"/>
                <w:lang w:val="en-US" w:eastAsia="zh-CN"/>
              </w:rPr>
              <w:t>[</w:t>
            </w:r>
            <w:r>
              <w:rPr>
                <w:rFonts w:hint="eastAsia" w:asciiTheme="minorEastAsia" w:hAnsiTheme="minorEastAsia" w:eastAsiaTheme="minorEastAsia" w:cstheme="minorEastAsia"/>
                <w:i/>
                <w:iCs/>
                <w:snapToGrid/>
                <w:sz w:val="21"/>
                <w:szCs w:val="21"/>
                <w:u w:val="none"/>
                <w:lang w:eastAsia="zh-CN"/>
              </w:rPr>
              <w:t>提示：指投标截止日前3年、5年或者8年（不包含投标截止日当年），有8年以上要求的可自设。]</w:t>
            </w:r>
            <w:r>
              <w:rPr>
                <w:rFonts w:hint="eastAsia" w:ascii="宋体" w:hAnsi="宋体" w:cs="宋体"/>
                <w:kern w:val="0"/>
                <w:szCs w:val="21"/>
              </w:rPr>
              <w:t>至投标截止日止</w:t>
            </w:r>
            <w:r>
              <w:rPr>
                <w:rFonts w:hint="eastAsia" w:ascii="宋体" w:hAnsi="宋体" w:cs="宋体"/>
                <w:szCs w:val="21"/>
              </w:rPr>
              <w:t>（以竣工日期为</w:t>
            </w:r>
            <w:r>
              <w:rPr>
                <w:rFonts w:hint="eastAsia" w:ascii="宋体" w:hAnsi="宋体" w:cs="宋体"/>
                <w:szCs w:val="21"/>
                <w:highlight w:val="none"/>
              </w:rPr>
              <w:t>准）完成的1个</w:t>
            </w:r>
            <w:r>
              <w:rPr>
                <w:rFonts w:ascii="宋体" w:hAnsi="宋体" w:cs="宋体"/>
                <w:szCs w:val="21"/>
                <w:highlight w:val="none"/>
                <w:u w:val="single"/>
              </w:rPr>
              <w:t xml:space="preserve"> </w:t>
            </w:r>
            <w:r>
              <w:rPr>
                <w:rFonts w:ascii="宋体" w:hAnsi="宋体" w:cs="宋体"/>
                <w:i/>
                <w:iCs/>
                <w:szCs w:val="21"/>
                <w:highlight w:val="none"/>
                <w:u w:val="single"/>
              </w:rPr>
              <w:t>[</w:t>
            </w:r>
            <w:r>
              <w:rPr>
                <w:rFonts w:hint="eastAsia" w:ascii="宋体" w:hAnsi="宋体" w:cs="宋体"/>
                <w:i/>
                <w:iCs/>
                <w:szCs w:val="21"/>
                <w:highlight w:val="none"/>
                <w:u w:val="single"/>
              </w:rPr>
              <w:t>提示：填写合同金额，不设置合同金额的</w:t>
            </w:r>
            <w:r>
              <w:rPr>
                <w:rFonts w:hint="eastAsia" w:ascii="宋体" w:hAnsi="宋体"/>
                <w:i/>
                <w:iCs/>
                <w:kern w:val="0"/>
                <w:szCs w:val="21"/>
                <w:highlight w:val="none"/>
                <w:u w:val="single"/>
                <w:lang w:val="zh-CN"/>
              </w:rPr>
              <w:t>用“</w:t>
            </w:r>
            <w:r>
              <w:rPr>
                <w:rFonts w:ascii="宋体" w:hAnsi="宋体"/>
                <w:i/>
                <w:iCs/>
                <w:kern w:val="0"/>
                <w:szCs w:val="21"/>
                <w:highlight w:val="none"/>
                <w:u w:val="single"/>
                <w:lang w:val="zh-CN"/>
              </w:rPr>
              <w:t>/”标示</w:t>
            </w:r>
            <w:r>
              <w:rPr>
                <w:rFonts w:ascii="宋体" w:hAnsi="宋体" w:cs="宋体"/>
                <w:i/>
                <w:iCs/>
                <w:szCs w:val="21"/>
                <w:highlight w:val="none"/>
                <w:u w:val="single"/>
              </w:rPr>
              <w:t>]</w:t>
            </w:r>
            <w:r>
              <w:rPr>
                <w:rFonts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rPr>
              <w:t>的</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ascii="宋体" w:hAnsi="宋体" w:cs="宋体"/>
                <w:i/>
                <w:iCs/>
                <w:szCs w:val="21"/>
                <w:highlight w:val="none"/>
                <w:u w:val="single"/>
              </w:rPr>
              <w:t>[提示：填写</w:t>
            </w:r>
            <w:r>
              <w:rPr>
                <w:rFonts w:hint="eastAsia" w:ascii="宋体" w:hAnsi="宋体" w:cs="宋体"/>
                <w:i/>
                <w:iCs/>
                <w:szCs w:val="21"/>
                <w:highlight w:val="none"/>
                <w:u w:val="single"/>
              </w:rPr>
              <w:t>业绩的工程类别</w:t>
            </w:r>
            <w:r>
              <w:rPr>
                <w:rFonts w:ascii="宋体" w:hAnsi="宋体" w:cs="宋体"/>
                <w:i/>
                <w:iCs/>
                <w:szCs w:val="21"/>
                <w:highlight w:val="none"/>
                <w:u w:val="single"/>
              </w:rPr>
              <w:t>]</w:t>
            </w:r>
            <w:r>
              <w:rPr>
                <w:rFonts w:hint="eastAsia" w:ascii="宋体" w:hAnsi="宋体" w:cs="宋体"/>
                <w:szCs w:val="21"/>
                <w:highlight w:val="none"/>
                <w:u w:val="single"/>
              </w:rPr>
              <w:t xml:space="preserve"> </w:t>
            </w:r>
            <w:r>
              <w:rPr>
                <w:rFonts w:hint="eastAsia" w:ascii="宋体" w:hAnsi="宋体" w:cs="宋体"/>
                <w:szCs w:val="21"/>
                <w:highlight w:val="none"/>
              </w:rPr>
              <w:t>工程业绩中担任项目经理。</w:t>
            </w:r>
          </w:p>
          <w:p>
            <w:pPr>
              <w:spacing w:line="360" w:lineRule="auto"/>
              <w:ind w:firstLine="420" w:firstLineChars="200"/>
              <w:rPr>
                <w:rFonts w:ascii="宋体" w:hAnsi="宋体"/>
                <w:szCs w:val="21"/>
                <w:highlight w:val="none"/>
              </w:rPr>
            </w:pPr>
            <w:r>
              <w:rPr>
                <w:rFonts w:hint="eastAsia" w:ascii="宋体" w:hAnsi="宋体" w:cs="宋体"/>
                <w:szCs w:val="21"/>
              </w:rPr>
              <w:t>投标人须在投标文件资格审查部分提供该业绩的中标通知书（直接发包的项目可提供项目发包人出具的项目直接发包情况说明或证明文书代替）、合同协议书和工程竣工验收证明材料。若上述资料无法体项目信息、人员姓名职务信息的，</w:t>
            </w:r>
            <w:r>
              <w:rPr>
                <w:rFonts w:hint="eastAsia" w:ascii="宋体" w:hAnsi="宋体"/>
                <w:szCs w:val="21"/>
                <w:highlight w:val="none"/>
              </w:rPr>
              <w:t>还须提供业主证明（含该业绩的项目业主的有效联系方式）。</w:t>
            </w:r>
          </w:p>
          <w:p>
            <w:pPr>
              <w:spacing w:line="360" w:lineRule="auto"/>
              <w:ind w:firstLine="420" w:firstLineChars="200"/>
              <w:rPr>
                <w:rFonts w:ascii="宋体" w:hAnsi="宋体" w:cs="宋体"/>
                <w:szCs w:val="21"/>
              </w:rPr>
            </w:pPr>
            <w:r>
              <w:rPr>
                <w:rFonts w:hint="eastAsia" w:ascii="宋体" w:hAnsi="宋体" w:cs="宋体"/>
                <w:szCs w:val="21"/>
              </w:rPr>
              <w:t>注：当上述资料中针对同一指标存在不一致时，以工程验收合格证明材料为准。</w:t>
            </w:r>
          </w:p>
          <w:p>
            <w:pPr>
              <w:autoSpaceDE w:val="0"/>
              <w:autoSpaceDN w:val="0"/>
              <w:adjustRightInd w:val="0"/>
              <w:snapToGrid w:val="0"/>
              <w:spacing w:line="400" w:lineRule="exact"/>
              <w:ind w:firstLine="415" w:firstLineChars="198"/>
              <w:rPr>
                <w:rFonts w:ascii="宋体" w:hAnsi="宋体" w:cs="宋体"/>
                <w:szCs w:val="21"/>
              </w:rPr>
            </w:pPr>
            <w:r>
              <w:rPr>
                <w:rFonts w:hint="eastAsia" w:ascii="宋体" w:hAnsi="宋体" w:cs="宋体"/>
                <w:szCs w:val="21"/>
              </w:rPr>
              <w:t>不满足上述业绩要求的业绩无效。</w:t>
            </w:r>
          </w:p>
          <w:p>
            <w:pPr>
              <w:autoSpaceDE w:val="0"/>
              <w:autoSpaceDN w:val="0"/>
              <w:adjustRightInd w:val="0"/>
              <w:snapToGrid w:val="0"/>
              <w:spacing w:line="400" w:lineRule="exact"/>
              <w:ind w:firstLine="422" w:firstLineChars="200"/>
              <w:rPr>
                <w:rFonts w:ascii="宋体" w:hAnsi="宋体"/>
                <w:b/>
                <w:szCs w:val="21"/>
              </w:rPr>
            </w:pPr>
            <w:r>
              <w:rPr>
                <w:rFonts w:ascii="宋体" w:hAnsi="宋体"/>
                <w:b/>
                <w:szCs w:val="21"/>
              </w:rPr>
              <w:t>6.其他要求</w:t>
            </w:r>
          </w:p>
          <w:p>
            <w:pPr>
              <w:snapToGrid w:val="0"/>
              <w:spacing w:line="400" w:lineRule="exact"/>
              <w:ind w:firstLine="420" w:firstLineChars="200"/>
              <w:rPr>
                <w:rFonts w:ascii="宋体" w:hAnsi="宋体"/>
                <w:b/>
                <w:bCs/>
                <w:szCs w:val="21"/>
                <w:highlight w:val="none"/>
              </w:rPr>
            </w:pPr>
            <w:r>
              <w:rPr>
                <w:rFonts w:hint="eastAsia"/>
                <w:highlight w:val="none"/>
              </w:rPr>
              <w:sym w:font="Wingdings 2" w:char="00A3"/>
            </w:r>
            <w:r>
              <w:rPr>
                <w:rFonts w:ascii="宋体" w:hAnsi="宋体"/>
                <w:b/>
                <w:bCs/>
                <w:kern w:val="0"/>
                <w:szCs w:val="21"/>
                <w:highlight w:val="none"/>
              </w:rPr>
              <w:t>（1）</w:t>
            </w:r>
            <w:r>
              <w:rPr>
                <w:rFonts w:ascii="宋体" w:hAnsi="宋体"/>
                <w:b/>
                <w:bCs/>
                <w:szCs w:val="21"/>
                <w:highlight w:val="none"/>
              </w:rPr>
              <w:t>项目技术负责人</w:t>
            </w:r>
            <w:r>
              <w:rPr>
                <w:rFonts w:hint="eastAsia" w:ascii="宋体" w:hAnsi="宋体"/>
                <w:b/>
                <w:bCs/>
                <w:szCs w:val="21"/>
                <w:highlight w:val="none"/>
              </w:rPr>
              <w:t>资格要求</w:t>
            </w:r>
            <w:r>
              <w:rPr>
                <w:rFonts w:ascii="宋体" w:hAnsi="宋体"/>
                <w:b/>
                <w:bCs/>
                <w:szCs w:val="21"/>
                <w:highlight w:val="none"/>
              </w:rPr>
              <w:t>：</w:t>
            </w:r>
          </w:p>
          <w:p>
            <w:pPr>
              <w:snapToGrid w:val="0"/>
              <w:spacing w:line="400" w:lineRule="exact"/>
              <w:ind w:firstLine="420" w:firstLineChars="200"/>
              <w:rPr>
                <w:rFonts w:ascii="宋体" w:hAnsi="宋体"/>
                <w:szCs w:val="21"/>
              </w:rPr>
            </w:pPr>
            <w:r>
              <w:rPr>
                <w:rFonts w:ascii="宋体" w:hAnsi="宋体"/>
                <w:szCs w:val="21"/>
              </w:rPr>
              <w:t>应具有</w:t>
            </w:r>
            <w:r>
              <w:rPr>
                <w:rFonts w:hint="eastAsia" w:ascii="宋体" w:hAnsi="宋体"/>
                <w:szCs w:val="21"/>
                <w:u w:val="single"/>
              </w:rPr>
              <w:t xml:space="preserve">    </w:t>
            </w:r>
            <w:r>
              <w:rPr>
                <w:rFonts w:ascii="宋体" w:hAnsi="宋体"/>
                <w:szCs w:val="21"/>
                <w:u w:val="single"/>
              </w:rPr>
              <w:t>级及以上</w:t>
            </w:r>
            <w:r>
              <w:rPr>
                <w:rFonts w:ascii="宋体" w:hAnsi="宋体"/>
                <w:szCs w:val="21"/>
              </w:rPr>
              <w:t>职称；</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投标人须在投标文件资格审查部分提供拟派技术负责人身份证、职称证及投标人本单位为其缴纳的养老保险证明材料。</w:t>
            </w:r>
          </w:p>
          <w:p>
            <w:pPr>
              <w:autoSpaceDE w:val="0"/>
              <w:autoSpaceDN w:val="0"/>
              <w:adjustRightInd w:val="0"/>
              <w:snapToGrid w:val="0"/>
              <w:spacing w:line="400" w:lineRule="exact"/>
              <w:ind w:firstLine="422" w:firstLineChars="200"/>
              <w:rPr>
                <w:rFonts w:ascii="宋体" w:hAnsi="宋体"/>
                <w:b/>
                <w:bCs/>
                <w:szCs w:val="21"/>
                <w:highlight w:val="none"/>
              </w:rPr>
            </w:pPr>
            <w:r>
              <w:rPr>
                <w:rFonts w:hint="eastAsia" w:ascii="宋体" w:hAnsi="宋体"/>
                <w:b/>
                <w:bCs/>
                <w:szCs w:val="21"/>
                <w:highlight w:val="none"/>
              </w:rPr>
              <w:t>□（2）技术负责人业绩</w:t>
            </w:r>
          </w:p>
          <w:p>
            <w:pPr>
              <w:autoSpaceDE w:val="0"/>
              <w:autoSpaceDN w:val="0"/>
              <w:adjustRightInd w:val="0"/>
              <w:snapToGrid w:val="0"/>
              <w:spacing w:line="360" w:lineRule="auto"/>
              <w:ind w:firstLine="420" w:firstLineChars="200"/>
              <w:rPr>
                <w:rFonts w:ascii="宋体" w:hAnsi="宋体" w:cs="宋体"/>
                <w:szCs w:val="21"/>
                <w:highlight w:val="none"/>
              </w:rPr>
            </w:pPr>
            <w:r>
              <w:rPr>
                <w:rFonts w:hint="eastAsia" w:asciiTheme="minorEastAsia" w:hAnsiTheme="minorEastAsia" w:eastAsiaTheme="minorEastAsia" w:cstheme="minorEastAsia"/>
                <w:kern w:val="0"/>
                <w:sz w:val="21"/>
                <w:szCs w:val="21"/>
                <w:lang w:eastAsia="zh-CN"/>
              </w:rPr>
              <w:t>投标人</w:t>
            </w:r>
            <w:r>
              <w:rPr>
                <w:rFonts w:hint="eastAsia" w:asciiTheme="minorEastAsia" w:hAnsiTheme="minorEastAsia" w:eastAsiaTheme="minorEastAsia" w:cstheme="minorEastAsia"/>
                <w:snapToGrid/>
                <w:sz w:val="21"/>
                <w:szCs w:val="21"/>
                <w:u w:val="none"/>
                <w:lang w:eastAsia="zh-CN"/>
              </w:rPr>
              <w:t>在</w:t>
            </w:r>
            <w:r>
              <w:rPr>
                <w:rFonts w:hint="eastAsia" w:asciiTheme="minorEastAsia" w:hAnsiTheme="minorEastAsia" w:eastAsiaTheme="minorEastAsia" w:cstheme="minorEastAsia"/>
                <w:snapToGrid/>
                <w:sz w:val="21"/>
                <w:szCs w:val="21"/>
                <w:u w:val="single"/>
                <w:lang w:eastAsia="zh-CN"/>
              </w:rPr>
              <w:t xml:space="preserve">    </w:t>
            </w:r>
            <w:r>
              <w:rPr>
                <w:rFonts w:hint="eastAsia" w:asciiTheme="minorEastAsia" w:hAnsiTheme="minorEastAsia" w:eastAsiaTheme="minorEastAsia" w:cstheme="minorEastAsia"/>
                <w:snapToGrid/>
                <w:sz w:val="21"/>
                <w:szCs w:val="21"/>
                <w:u w:val="none"/>
                <w:lang w:eastAsia="zh-CN"/>
              </w:rPr>
              <w:t>年1月1日起</w:t>
            </w:r>
            <w:r>
              <w:rPr>
                <w:rFonts w:hint="eastAsia" w:asciiTheme="minorEastAsia" w:hAnsiTheme="minorEastAsia" w:eastAsiaTheme="minorEastAsia" w:cstheme="minorEastAsia"/>
                <w:i/>
                <w:iCs/>
                <w:snapToGrid/>
                <w:sz w:val="21"/>
                <w:szCs w:val="21"/>
                <w:u w:val="none"/>
                <w:lang w:val="en-US" w:eastAsia="zh-CN"/>
              </w:rPr>
              <w:t>[</w:t>
            </w:r>
            <w:r>
              <w:rPr>
                <w:rFonts w:hint="eastAsia" w:asciiTheme="minorEastAsia" w:hAnsiTheme="minorEastAsia" w:eastAsiaTheme="minorEastAsia" w:cstheme="minorEastAsia"/>
                <w:i/>
                <w:iCs/>
                <w:snapToGrid/>
                <w:sz w:val="21"/>
                <w:szCs w:val="21"/>
                <w:u w:val="none"/>
                <w:lang w:eastAsia="zh-CN"/>
              </w:rPr>
              <w:t>提示：指投标截止日前3年、5年或者8年（不包含投标截止日当年），有8年以上要求的可自设。]</w:t>
            </w:r>
            <w:r>
              <w:rPr>
                <w:rFonts w:hint="eastAsia" w:ascii="宋体" w:hAnsi="宋体" w:cs="宋体"/>
                <w:kern w:val="0"/>
                <w:szCs w:val="21"/>
              </w:rPr>
              <w:t>至投标截止日止</w:t>
            </w:r>
            <w:r>
              <w:rPr>
                <w:rFonts w:hint="eastAsia" w:ascii="宋体" w:hAnsi="宋体" w:cs="宋体"/>
                <w:szCs w:val="21"/>
              </w:rPr>
              <w:t>（以竣工日期为准）</w:t>
            </w:r>
            <w:r>
              <w:rPr>
                <w:rFonts w:hint="eastAsia" w:ascii="宋体" w:hAnsi="宋体" w:cs="宋体"/>
                <w:szCs w:val="21"/>
                <w:highlight w:val="none"/>
              </w:rPr>
              <w:t>完成的1个</w:t>
            </w:r>
            <w:r>
              <w:rPr>
                <w:rFonts w:hint="eastAsia" w:ascii="宋体" w:hAnsi="宋体" w:cs="宋体"/>
                <w:szCs w:val="21"/>
                <w:highlight w:val="none"/>
                <w:u w:val="single"/>
              </w:rPr>
              <w:t xml:space="preserve">      </w:t>
            </w:r>
            <w:r>
              <w:rPr>
                <w:rFonts w:ascii="宋体" w:hAnsi="宋体" w:cs="宋体"/>
                <w:i/>
                <w:szCs w:val="21"/>
                <w:highlight w:val="none"/>
                <w:u w:val="single"/>
              </w:rPr>
              <w:t>[提示：填写</w:t>
            </w:r>
            <w:r>
              <w:rPr>
                <w:rFonts w:hint="eastAsia" w:ascii="宋体" w:hAnsi="宋体" w:cs="宋体"/>
                <w:i/>
                <w:szCs w:val="21"/>
                <w:highlight w:val="none"/>
                <w:u w:val="single"/>
              </w:rPr>
              <w:t>合同金额，不设置合同金额的用“</w:t>
            </w:r>
            <w:r>
              <w:rPr>
                <w:rFonts w:ascii="宋体" w:hAnsi="宋体" w:cs="宋体"/>
                <w:i/>
                <w:szCs w:val="21"/>
                <w:highlight w:val="none"/>
                <w:u w:val="single"/>
              </w:rPr>
              <w:t>/”</w:t>
            </w:r>
            <w:r>
              <w:rPr>
                <w:rFonts w:hint="eastAsia" w:ascii="宋体" w:hAnsi="宋体" w:cs="宋体"/>
                <w:i/>
                <w:szCs w:val="21"/>
                <w:highlight w:val="none"/>
                <w:u w:val="single"/>
              </w:rPr>
              <w:t>标注</w:t>
            </w:r>
            <w:r>
              <w:rPr>
                <w:rFonts w:hint="eastAsia" w:ascii="宋体" w:hAnsi="宋体" w:cs="宋体"/>
                <w:szCs w:val="21"/>
                <w:highlight w:val="none"/>
                <w:u w:val="single"/>
              </w:rPr>
              <w:t xml:space="preserve">]的   </w:t>
            </w:r>
            <w:r>
              <w:rPr>
                <w:rFonts w:ascii="宋体" w:hAnsi="宋体" w:cs="宋体"/>
                <w:szCs w:val="21"/>
                <w:highlight w:val="none"/>
                <w:u w:val="none"/>
              </w:rPr>
              <w:t xml:space="preserve"> </w:t>
            </w:r>
            <w:r>
              <w:rPr>
                <w:rFonts w:ascii="宋体" w:hAnsi="宋体" w:cs="宋体"/>
                <w:i/>
                <w:szCs w:val="21"/>
                <w:highlight w:val="none"/>
              </w:rPr>
              <w:t>[提示：填写业绩的工程类别]</w:t>
            </w:r>
            <w:r>
              <w:rPr>
                <w:rFonts w:ascii="宋体" w:hAnsi="宋体" w:cs="宋体"/>
                <w:i/>
                <w:szCs w:val="21"/>
                <w:highlight w:val="none"/>
                <w:u w:val="none"/>
              </w:rPr>
              <w:t xml:space="preserve"> </w:t>
            </w:r>
            <w:r>
              <w:rPr>
                <w:rFonts w:hint="eastAsia" w:ascii="宋体" w:hAnsi="宋体" w:cs="宋体"/>
                <w:szCs w:val="21"/>
                <w:highlight w:val="none"/>
              </w:rPr>
              <w:t>工程业绩中担任技术负责人。</w:t>
            </w:r>
          </w:p>
          <w:p>
            <w:pPr>
              <w:spacing w:line="360" w:lineRule="auto"/>
              <w:ind w:firstLine="420" w:firstLineChars="200"/>
              <w:rPr>
                <w:rFonts w:ascii="宋体" w:hAnsi="宋体"/>
                <w:szCs w:val="21"/>
                <w:highlight w:val="none"/>
              </w:rPr>
            </w:pPr>
            <w:r>
              <w:rPr>
                <w:rFonts w:hint="eastAsia" w:ascii="宋体" w:hAnsi="宋体" w:cs="宋体"/>
                <w:szCs w:val="21"/>
              </w:rPr>
              <w:t>投标人须在投标文件资格审查部分提供该业绩的中标通知书（直接发包的项目可提供项目发包人出具的项目直接发包情况说明或证明文书代替）、合同协议书和工程竣工验收证明材料。若上述资料无法体项目信息、人员姓名职务信息的，</w:t>
            </w:r>
            <w:r>
              <w:rPr>
                <w:rFonts w:hint="eastAsia" w:ascii="宋体" w:hAnsi="宋体"/>
                <w:szCs w:val="21"/>
                <w:highlight w:val="none"/>
              </w:rPr>
              <w:t>还须提供业主证明（含该业绩的项目业主的有效联系方式）。</w:t>
            </w:r>
          </w:p>
          <w:p>
            <w:pPr>
              <w:spacing w:line="360" w:lineRule="auto"/>
              <w:ind w:firstLine="420" w:firstLineChars="200"/>
              <w:rPr>
                <w:rFonts w:ascii="宋体" w:hAnsi="宋体" w:cs="宋体"/>
                <w:szCs w:val="21"/>
              </w:rPr>
            </w:pPr>
            <w:r>
              <w:rPr>
                <w:rFonts w:hint="eastAsia" w:ascii="宋体" w:hAnsi="宋体" w:cs="宋体"/>
                <w:szCs w:val="21"/>
              </w:rPr>
              <w:t>注：当上述资料中针对同一指标存在不一致时，以工程验收合格证明材料为准。</w:t>
            </w:r>
          </w:p>
          <w:p>
            <w:pPr>
              <w:autoSpaceDE w:val="0"/>
              <w:autoSpaceDN w:val="0"/>
              <w:adjustRightInd w:val="0"/>
              <w:snapToGrid w:val="0"/>
              <w:spacing w:line="400" w:lineRule="exact"/>
              <w:ind w:firstLine="415" w:firstLineChars="198"/>
            </w:pPr>
            <w:r>
              <w:rPr>
                <w:rFonts w:hint="eastAsia" w:ascii="宋体" w:hAnsi="宋体" w:cs="宋体"/>
                <w:szCs w:val="21"/>
              </w:rPr>
              <w:t>不满足上述业绩要求的业绩无效。</w:t>
            </w:r>
          </w:p>
          <w:p>
            <w:pPr>
              <w:autoSpaceDE w:val="0"/>
              <w:autoSpaceDN w:val="0"/>
              <w:adjustRightInd w:val="0"/>
              <w:snapToGrid w:val="0"/>
              <w:spacing w:line="400" w:lineRule="exact"/>
              <w:ind w:firstLine="420" w:firstLineChars="200"/>
              <w:rPr>
                <w:rFonts w:ascii="宋体" w:hAnsi="宋体"/>
                <w:spacing w:val="-24"/>
                <w:kern w:val="0"/>
                <w:szCs w:val="21"/>
              </w:rPr>
            </w:pPr>
            <w:r>
              <w:rPr>
                <w:rFonts w:hint="eastAsia" w:ascii="宋体" w:hAnsi="宋体"/>
                <w:kern w:val="0"/>
                <w:szCs w:val="21"/>
              </w:rPr>
              <w:t>□联合体投标的，技术负责人由联合体牵头人提供。</w:t>
            </w:r>
          </w:p>
          <w:p>
            <w:pPr>
              <w:autoSpaceDE w:val="0"/>
              <w:autoSpaceDN w:val="0"/>
              <w:adjustRightInd w:val="0"/>
              <w:snapToGrid w:val="0"/>
              <w:spacing w:line="400" w:lineRule="exact"/>
              <w:ind w:firstLine="422" w:firstLineChars="200"/>
              <w:rPr>
                <w:rFonts w:ascii="宋体" w:hAnsi="宋体"/>
                <w:b/>
                <w:bCs/>
                <w:szCs w:val="21"/>
              </w:rPr>
            </w:pPr>
            <w:r>
              <w:rPr>
                <w:rFonts w:ascii="宋体" w:hAnsi="宋体"/>
                <w:b/>
                <w:bCs/>
                <w:kern w:val="0"/>
                <w:szCs w:val="21"/>
              </w:rPr>
              <w:t>（2）</w:t>
            </w:r>
            <w:r>
              <w:rPr>
                <w:rFonts w:ascii="宋体" w:hAnsi="宋体"/>
                <w:b/>
                <w:bCs/>
                <w:szCs w:val="21"/>
              </w:rPr>
              <w:t>主要管理人员：</w:t>
            </w:r>
          </w:p>
          <w:p>
            <w:pPr>
              <w:autoSpaceDE w:val="0"/>
              <w:autoSpaceDN w:val="0"/>
              <w:adjustRightInd w:val="0"/>
              <w:spacing w:line="360" w:lineRule="auto"/>
              <w:ind w:firstLine="420" w:firstLineChars="200"/>
              <w:rPr>
                <w:rFonts w:ascii="宋体" w:hAnsi="宋体" w:cs="宋体"/>
                <w:szCs w:val="21"/>
              </w:rPr>
            </w:pPr>
            <w:r>
              <w:rPr>
                <w:rFonts w:hint="eastAsia" w:ascii="宋体" w:hAnsi="宋体" w:cs="宋体"/>
                <w:szCs w:val="21"/>
              </w:rPr>
              <w:t>投标人自行承诺中标后在签订合同之前，须按照相关行政部门要求组建施工项目部，配置项目管理班子，出具任命文件。任命文件应当明确施工项目部的职责、岗位设置、人员配备，并书面通知</w:t>
            </w:r>
            <w:r>
              <w:rPr>
                <w:rFonts w:hint="eastAsia" w:ascii="宋体" w:hAnsi="宋体" w:cs="宋体"/>
                <w:szCs w:val="21"/>
                <w:lang w:val="en-US" w:eastAsia="zh-CN"/>
              </w:rPr>
              <w:t>招标人</w:t>
            </w:r>
            <w:r>
              <w:rPr>
                <w:rFonts w:hint="eastAsia" w:ascii="宋体" w:hAnsi="宋体" w:cs="宋体"/>
                <w:szCs w:val="21"/>
              </w:rPr>
              <w:t>。主要管理人员应持有相关行政部门要求的岗位证书，并提供本单位为其缴纳的养老保险证明材料。不能满足该要求的，招标人可取消其中标资格，给招标人造成损失的，投标人依法承担违约赔偿责任。</w:t>
            </w:r>
          </w:p>
          <w:p>
            <w:pPr>
              <w:autoSpaceDE w:val="0"/>
              <w:autoSpaceDN w:val="0"/>
              <w:adjustRightInd w:val="0"/>
              <w:spacing w:line="360" w:lineRule="auto"/>
              <w:ind w:firstLine="420" w:firstLineChars="200"/>
              <w:rPr>
                <w:rFonts w:ascii="宋体" w:hAnsi="宋体" w:cs="宋体"/>
                <w:szCs w:val="21"/>
              </w:rPr>
            </w:pPr>
            <w:r>
              <w:rPr>
                <w:rFonts w:hint="eastAsia" w:ascii="宋体" w:hAnsi="宋体" w:cs="宋体"/>
                <w:szCs w:val="21"/>
              </w:rPr>
              <w:t>投标人须在投标文件资格审查部分提供承诺函（承诺格式见第八章投标文件格式）。</w:t>
            </w:r>
          </w:p>
          <w:p>
            <w:pPr>
              <w:autoSpaceDE w:val="0"/>
              <w:autoSpaceDN w:val="0"/>
              <w:adjustRightInd w:val="0"/>
              <w:snapToGrid w:val="0"/>
              <w:spacing w:line="400" w:lineRule="exact"/>
              <w:ind w:firstLine="422" w:firstLineChars="200"/>
              <w:rPr>
                <w:rFonts w:ascii="宋体" w:hAnsi="宋体"/>
                <w:b/>
                <w:bCs/>
                <w:kern w:val="0"/>
                <w:szCs w:val="21"/>
              </w:rPr>
            </w:pPr>
            <w:r>
              <w:rPr>
                <w:rFonts w:ascii="宋体" w:hAnsi="宋体"/>
                <w:b/>
                <w:bCs/>
                <w:kern w:val="0"/>
                <w:szCs w:val="21"/>
              </w:rPr>
              <w:t>（</w:t>
            </w:r>
            <w:r>
              <w:rPr>
                <w:rFonts w:hint="eastAsia" w:ascii="宋体" w:hAnsi="宋体"/>
                <w:b/>
                <w:bCs/>
                <w:kern w:val="0"/>
                <w:szCs w:val="21"/>
              </w:rPr>
              <w:t>3</w:t>
            </w:r>
            <w:r>
              <w:rPr>
                <w:rFonts w:ascii="宋体" w:hAnsi="宋体"/>
                <w:b/>
                <w:bCs/>
                <w:kern w:val="0"/>
                <w:szCs w:val="21"/>
              </w:rPr>
              <w:t>）委托代理人</w:t>
            </w:r>
            <w:r>
              <w:rPr>
                <w:rFonts w:hint="eastAsia" w:ascii="宋体" w:hAnsi="宋体"/>
                <w:b/>
                <w:bCs/>
                <w:kern w:val="0"/>
                <w:szCs w:val="21"/>
              </w:rPr>
              <w:t>：</w:t>
            </w:r>
          </w:p>
          <w:p>
            <w:pPr>
              <w:autoSpaceDE w:val="0"/>
              <w:autoSpaceDN w:val="0"/>
              <w:adjustRightInd w:val="0"/>
              <w:snapToGrid w:val="0"/>
              <w:spacing w:line="400" w:lineRule="exact"/>
              <w:ind w:firstLine="420" w:firstLineChars="200"/>
              <w:rPr>
                <w:rFonts w:ascii="宋体" w:hAnsi="宋体"/>
                <w:i/>
                <w:kern w:val="0"/>
                <w:szCs w:val="21"/>
              </w:rPr>
            </w:pPr>
            <w:r>
              <w:rPr>
                <w:rFonts w:hint="eastAsia" w:ascii="宋体" w:hAnsi="宋体"/>
                <w:i/>
                <w:kern w:val="0"/>
                <w:szCs w:val="21"/>
              </w:rPr>
              <w:t>[提示：根据授权委托书的授权范围，委托代理人可以以投标人的名义签署、澄清、说明、补正、递交、撤回、修改本项目投标文件、签订合同和处理有关事宜，其法律后果由投标人承担。]</w:t>
            </w:r>
          </w:p>
          <w:p>
            <w:pPr>
              <w:autoSpaceDE w:val="0"/>
              <w:autoSpaceDN w:val="0"/>
              <w:adjustRightInd w:val="0"/>
              <w:snapToGrid w:val="0"/>
              <w:spacing w:line="400" w:lineRule="exact"/>
              <w:ind w:firstLine="420" w:firstLineChars="200"/>
              <w:rPr>
                <w:rFonts w:ascii="宋体" w:hAnsi="宋体"/>
                <w:kern w:val="0"/>
                <w:szCs w:val="21"/>
              </w:rPr>
            </w:pPr>
            <w:r>
              <w:rPr>
                <w:rFonts w:ascii="宋体" w:hAnsi="宋体"/>
                <w:kern w:val="0"/>
                <w:szCs w:val="21"/>
              </w:rPr>
              <w:t>委托代理人必须为投标人本单位</w:t>
            </w:r>
            <w:r>
              <w:rPr>
                <w:rFonts w:hint="eastAsia" w:ascii="宋体" w:hAnsi="宋体"/>
                <w:kern w:val="0"/>
                <w:szCs w:val="21"/>
              </w:rPr>
              <w:t>人员</w:t>
            </w:r>
            <w:r>
              <w:rPr>
                <w:rFonts w:ascii="宋体" w:hAnsi="宋体"/>
                <w:kern w:val="0"/>
                <w:szCs w:val="21"/>
              </w:rPr>
              <w:t>。</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投标人</w:t>
            </w:r>
            <w:r>
              <w:rPr>
                <w:rFonts w:ascii="宋体" w:hAnsi="宋体"/>
                <w:kern w:val="0"/>
                <w:szCs w:val="21"/>
              </w:rPr>
              <w:t>须</w:t>
            </w:r>
            <w:r>
              <w:rPr>
                <w:rFonts w:hint="eastAsia" w:ascii="宋体" w:hAnsi="宋体"/>
                <w:kern w:val="0"/>
                <w:szCs w:val="21"/>
              </w:rPr>
              <w:t>在投标文件资格审查部分</w:t>
            </w:r>
            <w:r>
              <w:rPr>
                <w:rFonts w:ascii="宋体" w:hAnsi="宋体"/>
                <w:kern w:val="0"/>
                <w:szCs w:val="21"/>
              </w:rPr>
              <w:t>提供</w:t>
            </w:r>
            <w:r>
              <w:rPr>
                <w:rFonts w:hint="eastAsia" w:ascii="宋体" w:hAnsi="宋体"/>
                <w:kern w:val="0"/>
                <w:szCs w:val="21"/>
              </w:rPr>
              <w:t>投标人为该</w:t>
            </w:r>
            <w:r>
              <w:rPr>
                <w:rFonts w:ascii="宋体" w:hAnsi="宋体"/>
                <w:kern w:val="0"/>
                <w:szCs w:val="21"/>
              </w:rPr>
              <w:t>委托代理人</w:t>
            </w:r>
            <w:r>
              <w:rPr>
                <w:rFonts w:hint="eastAsia" w:ascii="宋体" w:hAnsi="宋体"/>
                <w:kern w:val="0"/>
                <w:szCs w:val="21"/>
              </w:rPr>
              <w:t>缴纳的养老保险证明。否则，将由评标委员会作否决投标处理。</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rPr>
              <w:t>□</w:t>
            </w:r>
            <w:r>
              <w:rPr>
                <w:rFonts w:hint="eastAsia" w:ascii="宋体" w:hAnsi="宋体"/>
                <w:kern w:val="0"/>
                <w:szCs w:val="21"/>
              </w:rPr>
              <w:t>联合体投标的，由联合体牵头人委派委托代理人，并在联合体协议中明确。</w:t>
            </w:r>
          </w:p>
          <w:p>
            <w:pPr>
              <w:autoSpaceDE w:val="0"/>
              <w:autoSpaceDN w:val="0"/>
              <w:adjustRightInd w:val="0"/>
              <w:snapToGrid w:val="0"/>
              <w:spacing w:line="400" w:lineRule="exact"/>
              <w:ind w:firstLine="417" w:firstLineChars="198"/>
              <w:rPr>
                <w:rFonts w:ascii="宋体" w:hAnsi="宋体" w:cs="宋体"/>
                <w:b/>
                <w:szCs w:val="21"/>
              </w:rPr>
            </w:pPr>
            <w:r>
              <w:rPr>
                <w:rFonts w:hint="eastAsia" w:ascii="宋体" w:hAnsi="宋体" w:cs="宋体"/>
                <w:b/>
                <w:szCs w:val="21"/>
              </w:rPr>
              <w:t>特别说明：</w:t>
            </w:r>
          </w:p>
          <w:p>
            <w:pPr>
              <w:autoSpaceDE w:val="0"/>
              <w:autoSpaceDN w:val="0"/>
              <w:adjustRightInd w:val="0"/>
              <w:snapToGrid w:val="0"/>
              <w:spacing w:line="400" w:lineRule="exact"/>
              <w:ind w:firstLine="415" w:firstLineChars="198"/>
              <w:rPr>
                <w:rFonts w:ascii="宋体" w:hAnsi="宋体" w:cs="宋体"/>
                <w:kern w:val="0"/>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上述要求须提交的相关证明材料均为扫描件（原件或复印件的扫描件均可），扫描件须清晰可辨，</w:t>
            </w:r>
            <w:r>
              <w:rPr>
                <w:rFonts w:hint="eastAsia" w:ascii="宋体" w:hAnsi="宋体" w:cs="宋体"/>
                <w:kern w:val="0"/>
                <w:szCs w:val="21"/>
              </w:rPr>
              <w:t>有一条不满足，则投标文件由评标委员会</w:t>
            </w:r>
            <w:r>
              <w:rPr>
                <w:rFonts w:hint="eastAsia" w:ascii="宋体" w:hAnsi="宋体" w:cs="宋体"/>
                <w:szCs w:val="21"/>
              </w:rPr>
              <w:t>作否决投标处理</w:t>
            </w:r>
            <w:r>
              <w:rPr>
                <w:rFonts w:hint="eastAsia" w:ascii="宋体" w:hAnsi="宋体" w:cs="宋体"/>
                <w:kern w:val="0"/>
                <w:szCs w:val="21"/>
              </w:rPr>
              <w:t>。</w:t>
            </w:r>
          </w:p>
          <w:p>
            <w:pPr>
              <w:autoSpaceDE w:val="0"/>
              <w:autoSpaceDN w:val="0"/>
              <w:adjustRightInd w:val="0"/>
              <w:snapToGrid w:val="0"/>
              <w:spacing w:line="400" w:lineRule="exact"/>
              <w:ind w:firstLine="415" w:firstLineChars="198"/>
              <w:rPr>
                <w:rFonts w:ascii="宋体" w:hAnsi="宋体" w:cs="宋体"/>
                <w:szCs w:val="21"/>
                <w:highlight w:val="none"/>
              </w:rPr>
            </w:pPr>
            <w:r>
              <w:rPr>
                <w:rFonts w:hint="eastAsia" w:ascii="宋体" w:hAnsi="宋体" w:cs="宋体"/>
                <w:szCs w:val="21"/>
              </w:rPr>
              <w:t>（2）</w:t>
            </w:r>
            <w:r>
              <w:rPr>
                <w:rFonts w:hint="eastAsia" w:ascii="宋体" w:hAnsi="宋体" w:cs="宋体"/>
                <w:szCs w:val="21"/>
                <w:u w:val="single"/>
              </w:rPr>
              <w:t>招标人在合同签订前均有权对投标人提供的资料进行核实，若发现弄虚作假，</w:t>
            </w:r>
            <w:r>
              <w:rPr>
                <w:rFonts w:hint="eastAsia" w:asciiTheme="minorEastAsia" w:hAnsiTheme="minorEastAsia" w:eastAsiaTheme="minorEastAsia" w:cstheme="minorEastAsia"/>
                <w:szCs w:val="21"/>
                <w:u w:val="single"/>
              </w:rPr>
              <w:t>按相关规定</w:t>
            </w:r>
            <w:r>
              <w:rPr>
                <w:rFonts w:hint="eastAsia" w:ascii="宋体" w:hAnsi="宋体" w:cs="宋体"/>
                <w:szCs w:val="21"/>
                <w:u w:val="single"/>
              </w:rPr>
              <w:t>取消其中标资格，并按相关法律法规报招标投标监督部门，其投标保证金</w:t>
            </w:r>
            <w:r>
              <w:rPr>
                <w:rFonts w:hint="eastAsia" w:ascii="宋体" w:hAnsi="宋体" w:cs="宋体"/>
                <w:szCs w:val="21"/>
                <w:u w:val="single"/>
                <w:lang w:val="en-US" w:eastAsia="zh-CN"/>
              </w:rPr>
              <w:t>以现金形式交纳的</w:t>
            </w:r>
            <w:r>
              <w:rPr>
                <w:rFonts w:hint="eastAsia" w:ascii="宋体" w:hAnsi="宋体" w:cs="宋体"/>
                <w:szCs w:val="21"/>
                <w:u w:val="single"/>
              </w:rPr>
              <w:t>不予退还，</w:t>
            </w:r>
            <w:r>
              <w:rPr>
                <w:rFonts w:hint="eastAsia" w:asciiTheme="minorEastAsia" w:hAnsiTheme="minorEastAsia" w:eastAsiaTheme="minorEastAsia" w:cstheme="minorEastAsia"/>
                <w:szCs w:val="21"/>
                <w:highlight w:val="none"/>
                <w:u w:val="single"/>
              </w:rPr>
              <w:t>以保函形式交纳的由保函开立人支付保函担保的与投标保证金等额的款项，</w:t>
            </w:r>
            <w:r>
              <w:rPr>
                <w:rFonts w:hint="eastAsia" w:ascii="宋体" w:hAnsi="宋体" w:cs="宋体"/>
                <w:szCs w:val="21"/>
                <w:highlight w:val="none"/>
                <w:u w:val="single"/>
              </w:rPr>
              <w:t>投标人承担因此造成的相关责任并赔偿相应损失</w:t>
            </w:r>
            <w:r>
              <w:rPr>
                <w:rFonts w:hint="eastAsia" w:ascii="宋体" w:hAnsi="宋体" w:cs="宋体"/>
                <w:szCs w:val="21"/>
                <w:highlight w:val="none"/>
              </w:rPr>
              <w:t>。</w:t>
            </w:r>
          </w:p>
          <w:p>
            <w:pPr>
              <w:spacing w:line="400" w:lineRule="exact"/>
              <w:ind w:firstLine="210" w:firstLineChars="100"/>
              <w:rPr>
                <w:rFonts w:ascii="宋体" w:hAnsi="宋体"/>
                <w:bCs/>
                <w:kern w:val="0"/>
                <w:szCs w:val="21"/>
              </w:rPr>
            </w:pPr>
            <w:r>
              <w:rPr>
                <w:rFonts w:hint="eastAsia" w:ascii="宋体" w:hAnsi="宋体"/>
                <w:bCs/>
                <w:kern w:val="0"/>
                <w:szCs w:val="21"/>
              </w:rPr>
              <w:t>（3）</w:t>
            </w:r>
            <w:r>
              <w:rPr>
                <w:rFonts w:ascii="宋体" w:hAnsi="宋体"/>
                <w:bCs/>
                <w:kern w:val="0"/>
                <w:szCs w:val="21"/>
              </w:rPr>
              <w:t>本招标文件中所要求的人员</w:t>
            </w:r>
            <w:r>
              <w:rPr>
                <w:rFonts w:hint="eastAsia" w:ascii="宋体" w:hAnsi="宋体"/>
                <w:bCs/>
                <w:kern w:val="0"/>
                <w:szCs w:val="21"/>
              </w:rPr>
              <w:t>养老保险</w:t>
            </w:r>
            <w:r>
              <w:rPr>
                <w:rFonts w:ascii="宋体" w:hAnsi="宋体"/>
                <w:bCs/>
                <w:kern w:val="0"/>
                <w:szCs w:val="21"/>
              </w:rPr>
              <w:t>证明要求如下：</w:t>
            </w:r>
          </w:p>
          <w:p>
            <w:pPr>
              <w:spacing w:line="400" w:lineRule="exact"/>
              <w:ind w:firstLine="420" w:firstLineChars="200"/>
              <w:rPr>
                <w:rFonts w:ascii="宋体" w:hAnsi="宋体"/>
                <w:bCs/>
                <w:kern w:val="0"/>
                <w:szCs w:val="21"/>
              </w:rPr>
            </w:pPr>
            <w:r>
              <w:rPr>
                <w:rFonts w:ascii="宋体" w:hAnsi="宋体"/>
                <w:bCs/>
                <w:kern w:val="0"/>
                <w:szCs w:val="21"/>
              </w:rPr>
              <w:t>①</w:t>
            </w:r>
            <w:r>
              <w:rPr>
                <w:rFonts w:hint="eastAsia" w:ascii="宋体" w:hAnsi="宋体"/>
                <w:bCs/>
                <w:kern w:val="0"/>
                <w:szCs w:val="21"/>
              </w:rPr>
              <w:t>企业</w:t>
            </w:r>
            <w:r>
              <w:rPr>
                <w:rFonts w:ascii="宋体" w:hAnsi="宋体"/>
                <w:bCs/>
                <w:kern w:val="0"/>
                <w:szCs w:val="21"/>
              </w:rPr>
              <w:t>提供</w:t>
            </w:r>
            <w:r>
              <w:rPr>
                <w:rFonts w:hint="eastAsia" w:ascii="宋体" w:hAnsi="宋体"/>
                <w:bCs/>
                <w:kern w:val="0"/>
                <w:szCs w:val="21"/>
              </w:rPr>
              <w:t>养老保险</w:t>
            </w:r>
            <w:r>
              <w:rPr>
                <w:rFonts w:ascii="宋体" w:hAnsi="宋体"/>
                <w:bCs/>
                <w:kern w:val="0"/>
                <w:szCs w:val="21"/>
              </w:rPr>
              <w:t>证明，事业单位提供</w:t>
            </w:r>
            <w:r>
              <w:rPr>
                <w:rFonts w:hint="eastAsia" w:ascii="宋体" w:hAnsi="宋体"/>
                <w:bCs/>
                <w:kern w:val="0"/>
                <w:szCs w:val="21"/>
              </w:rPr>
              <w:t>养老保险</w:t>
            </w:r>
            <w:r>
              <w:rPr>
                <w:rFonts w:ascii="宋体" w:hAnsi="宋体"/>
                <w:bCs/>
                <w:kern w:val="0"/>
                <w:szCs w:val="21"/>
              </w:rPr>
              <w:t>证明或行政主管部门在编证明。</w:t>
            </w:r>
          </w:p>
          <w:p>
            <w:pPr>
              <w:spacing w:line="400" w:lineRule="exact"/>
              <w:ind w:firstLine="420" w:firstLineChars="200"/>
              <w:rPr>
                <w:rFonts w:ascii="宋体" w:hAnsi="宋体"/>
                <w:bCs/>
                <w:szCs w:val="21"/>
              </w:rPr>
            </w:pPr>
            <w:r>
              <w:rPr>
                <w:rFonts w:ascii="宋体" w:hAnsi="宋体"/>
                <w:bCs/>
                <w:kern w:val="0"/>
                <w:szCs w:val="21"/>
              </w:rPr>
              <w:t>②</w:t>
            </w:r>
            <w:r>
              <w:rPr>
                <w:rFonts w:hint="eastAsia" w:ascii="宋体" w:hAnsi="宋体"/>
                <w:bCs/>
                <w:snapToGrid w:val="0"/>
                <w:kern w:val="0"/>
                <w:szCs w:val="21"/>
              </w:rPr>
              <w:t>项目经理、</w:t>
            </w:r>
            <w:r>
              <w:rPr>
                <w:rFonts w:ascii="宋体" w:hAnsi="宋体"/>
                <w:bCs/>
                <w:snapToGrid w:val="0"/>
                <w:kern w:val="0"/>
                <w:szCs w:val="21"/>
              </w:rPr>
              <w:t>项目技术负责人和委托代理人的</w:t>
            </w:r>
            <w:r>
              <w:rPr>
                <w:rFonts w:hint="eastAsia" w:ascii="宋体" w:hAnsi="宋体"/>
                <w:bCs/>
                <w:snapToGrid w:val="0"/>
                <w:kern w:val="0"/>
                <w:szCs w:val="21"/>
              </w:rPr>
              <w:t>连续养老保险</w:t>
            </w:r>
            <w:r>
              <w:rPr>
                <w:rFonts w:ascii="宋体" w:hAnsi="宋体"/>
                <w:bCs/>
                <w:snapToGrid w:val="0"/>
                <w:kern w:val="0"/>
                <w:szCs w:val="21"/>
              </w:rPr>
              <w:t>证明期限</w:t>
            </w:r>
            <w:r>
              <w:rPr>
                <w:rFonts w:hint="eastAsia" w:ascii="宋体" w:hAnsi="宋体"/>
                <w:bCs/>
                <w:snapToGrid w:val="0"/>
                <w:kern w:val="0"/>
                <w:szCs w:val="21"/>
              </w:rPr>
              <w:t>须包含</w:t>
            </w:r>
            <w:r>
              <w:rPr>
                <w:rFonts w:hint="eastAsia" w:ascii="宋体" w:hAnsi="宋体"/>
                <w:bCs/>
                <w:snapToGrid w:val="0"/>
                <w:kern w:val="0"/>
                <w:szCs w:val="21"/>
                <w:u w:val="single"/>
              </w:rPr>
              <w:t xml:space="preserve">    </w:t>
            </w:r>
            <w:r>
              <w:rPr>
                <w:rFonts w:ascii="宋体" w:hAnsi="宋体"/>
                <w:bCs/>
                <w:snapToGrid w:val="0"/>
                <w:kern w:val="0"/>
                <w:szCs w:val="21"/>
              </w:rPr>
              <w:t>年</w:t>
            </w:r>
            <w:r>
              <w:rPr>
                <w:rFonts w:hint="eastAsia" w:ascii="宋体" w:hAnsi="宋体"/>
                <w:bCs/>
                <w:snapToGrid w:val="0"/>
                <w:kern w:val="0"/>
                <w:szCs w:val="21"/>
                <w:u w:val="single"/>
              </w:rPr>
              <w:t xml:space="preserve">  </w:t>
            </w:r>
            <w:r>
              <w:rPr>
                <w:rFonts w:ascii="宋体" w:hAnsi="宋体"/>
                <w:bCs/>
                <w:snapToGrid w:val="0"/>
                <w:kern w:val="0"/>
                <w:szCs w:val="21"/>
              </w:rPr>
              <w:t>月至</w:t>
            </w:r>
            <w:r>
              <w:rPr>
                <w:rFonts w:hint="eastAsia" w:ascii="宋体" w:hAnsi="宋体"/>
                <w:bCs/>
                <w:snapToGrid w:val="0"/>
                <w:kern w:val="0"/>
                <w:szCs w:val="21"/>
                <w:u w:val="single"/>
              </w:rPr>
              <w:t xml:space="preserve">    </w:t>
            </w:r>
            <w:r>
              <w:rPr>
                <w:rFonts w:ascii="宋体" w:hAnsi="宋体"/>
                <w:bCs/>
                <w:snapToGrid w:val="0"/>
                <w:kern w:val="0"/>
                <w:szCs w:val="21"/>
              </w:rPr>
              <w:t>年</w:t>
            </w:r>
            <w:r>
              <w:rPr>
                <w:rFonts w:hint="eastAsia" w:ascii="宋体" w:hAnsi="宋体"/>
                <w:bCs/>
                <w:snapToGrid w:val="0"/>
                <w:kern w:val="0"/>
                <w:szCs w:val="21"/>
                <w:u w:val="single"/>
              </w:rPr>
              <w:t xml:space="preserve">  </w:t>
            </w:r>
            <w:r>
              <w:rPr>
                <w:rFonts w:ascii="宋体" w:hAnsi="宋体"/>
                <w:bCs/>
                <w:snapToGrid w:val="0"/>
                <w:kern w:val="0"/>
                <w:szCs w:val="21"/>
              </w:rPr>
              <w:t>月</w:t>
            </w:r>
            <w:r>
              <w:rPr>
                <w:rFonts w:hint="eastAsia" w:ascii="宋体" w:hAnsi="宋体"/>
                <w:bCs/>
                <w:szCs w:val="21"/>
              </w:rPr>
              <w:t>。提供的养老保险参保证明须体现上述人员的姓名、身份证号（或社保号）、单位名称、</w:t>
            </w:r>
            <w:r>
              <w:rPr>
                <w:rFonts w:hint="eastAsia" w:ascii="宋体" w:hAnsi="宋体"/>
                <w:bCs/>
                <w:szCs w:val="21"/>
                <w:lang w:val="en-US" w:eastAsia="zh-CN"/>
              </w:rPr>
              <w:t>上述人员在</w:t>
            </w:r>
            <w:r>
              <w:rPr>
                <w:rFonts w:hint="eastAsia" w:ascii="宋体" w:hAnsi="宋体"/>
                <w:bCs/>
                <w:szCs w:val="21"/>
              </w:rPr>
              <w:t>本单位参保时间（或起始参保时间），并带有社保部门公章或社保部门的有效电子印章。</w:t>
            </w:r>
          </w:p>
          <w:p>
            <w:pPr>
              <w:spacing w:line="400" w:lineRule="exact"/>
              <w:ind w:firstLine="422" w:firstLineChars="200"/>
              <w:rPr>
                <w:rFonts w:ascii="宋体" w:hAnsi="宋体"/>
                <w:bCs/>
                <w:snapToGrid w:val="0"/>
                <w:kern w:val="0"/>
                <w:szCs w:val="21"/>
              </w:rPr>
            </w:pPr>
            <w:r>
              <w:rPr>
                <w:rFonts w:hint="eastAsia" w:ascii="宋体" w:hAnsi="宋体"/>
                <w:b/>
                <w:i/>
                <w:szCs w:val="21"/>
              </w:rPr>
              <w:t xml:space="preserve">[提示：项目经理、项目技术负责人和委托代理人提交的养老保险时间段必须一致；从招标公告发布之日前一月起算，养老保险时间段建议为6个月。]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1.4.2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是否接受联合体投标</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不接受</w:t>
            </w:r>
          </w:p>
          <w:p>
            <w:pPr>
              <w:snapToGrid w:val="0"/>
              <w:spacing w:after="15" w:afterLines="5"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接受，应满足下列要求：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1.9.1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踏勘现场</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不组织</w:t>
            </w:r>
          </w:p>
          <w:p>
            <w:pPr>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组织，</w:t>
            </w:r>
            <w:r>
              <w:rPr>
                <w:rFonts w:hint="eastAsia" w:ascii="宋体" w:hAnsi="宋体"/>
                <w:kern w:val="0"/>
                <w:szCs w:val="21"/>
              </w:rPr>
              <w:t>集中</w:t>
            </w:r>
            <w:r>
              <w:rPr>
                <w:rFonts w:ascii="宋体" w:hAnsi="宋体"/>
                <w:kern w:val="0"/>
                <w:szCs w:val="21"/>
              </w:rPr>
              <w:t>踏勘时间：</w:t>
            </w:r>
          </w:p>
          <w:p>
            <w:pPr>
              <w:snapToGrid w:val="0"/>
              <w:spacing w:line="400" w:lineRule="exact"/>
              <w:ind w:firstLine="1260" w:firstLineChars="600"/>
              <w:rPr>
                <w:rFonts w:ascii="宋体" w:hAnsi="宋体"/>
                <w:kern w:val="0"/>
                <w:szCs w:val="21"/>
              </w:rPr>
            </w:pPr>
            <w:r>
              <w:rPr>
                <w:rFonts w:ascii="宋体" w:hAnsi="宋体"/>
                <w:kern w:val="0"/>
                <w:szCs w:val="21"/>
              </w:rPr>
              <w:t>集中踏勘地点：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1.10.1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投标预备会</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不召开</w:t>
            </w:r>
          </w:p>
          <w:p>
            <w:pPr>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召开，召开时间：</w:t>
            </w:r>
          </w:p>
          <w:p>
            <w:pPr>
              <w:snapToGrid w:val="0"/>
              <w:spacing w:after="15" w:afterLines="5" w:line="400" w:lineRule="exact"/>
              <w:ind w:firstLine="1260" w:firstLineChars="600"/>
              <w:rPr>
                <w:rFonts w:ascii="宋体" w:hAnsi="宋体"/>
                <w:kern w:val="0"/>
                <w:szCs w:val="21"/>
              </w:rPr>
            </w:pPr>
            <w:r>
              <w:rPr>
                <w:rFonts w:ascii="宋体" w:hAnsi="宋体"/>
                <w:kern w:val="0"/>
                <w:szCs w:val="21"/>
              </w:rPr>
              <w:t>召开地点：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1.11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分包</w:t>
            </w:r>
          </w:p>
        </w:tc>
        <w:tc>
          <w:tcPr>
            <w:tcW w:w="6698" w:type="dxa"/>
            <w:vAlign w:val="center"/>
          </w:tcPr>
          <w:p>
            <w:pPr>
              <w:snapToGrid w:val="0"/>
              <w:spacing w:line="400" w:lineRule="exact"/>
              <w:ind w:firstLine="420" w:firstLineChars="200"/>
            </w:pPr>
            <w:r>
              <w:rPr>
                <w:rFonts w:hint="eastAsia"/>
              </w:rPr>
              <w:t>□</w:t>
            </w:r>
            <w:r>
              <w:t>不允许</w:t>
            </w:r>
          </w:p>
          <w:p>
            <w:pPr>
              <w:snapToGrid w:val="0"/>
              <w:spacing w:line="400" w:lineRule="exact"/>
              <w:ind w:firstLine="420" w:firstLineChars="200"/>
            </w:pPr>
            <w:r>
              <w:rPr>
                <w:rFonts w:hint="eastAsia"/>
              </w:rPr>
              <w:t>□</w:t>
            </w:r>
            <w:r>
              <w:t>允许，分包内容要求：</w:t>
            </w:r>
          </w:p>
          <w:p>
            <w:pPr>
              <w:snapToGrid w:val="0"/>
              <w:spacing w:line="400" w:lineRule="exact"/>
              <w:ind w:firstLine="1260" w:firstLineChars="600"/>
            </w:pPr>
            <w:r>
              <w:t>分包金额要求：</w:t>
            </w:r>
          </w:p>
          <w:p>
            <w:pPr>
              <w:snapToGrid w:val="0"/>
              <w:spacing w:after="15" w:afterLines="5" w:line="400" w:lineRule="exact"/>
            </w:pPr>
            <w:r>
              <w:t>接受分包的第三人资质要求：</w:t>
            </w:r>
          </w:p>
          <w:p>
            <w:pPr>
              <w:pStyle w:val="2"/>
            </w:pPr>
            <w:r>
              <w:rPr>
                <w:rFonts w:hint="eastAsia"/>
              </w:rPr>
              <w:t>注：分包应按照相关法律法规及规范性文件执行，不得违法分包。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2.1</w:t>
            </w:r>
          </w:p>
        </w:tc>
        <w:tc>
          <w:tcPr>
            <w:tcW w:w="1436" w:type="dxa"/>
            <w:vAlign w:val="center"/>
          </w:tcPr>
          <w:p>
            <w:pPr>
              <w:snapToGrid w:val="0"/>
              <w:spacing w:after="15" w:afterLines="5" w:line="400" w:lineRule="exact"/>
              <w:jc w:val="center"/>
              <w:rPr>
                <w:rFonts w:ascii="宋体" w:hAnsi="宋体"/>
                <w:kern w:val="0"/>
                <w:szCs w:val="21"/>
              </w:rPr>
            </w:pPr>
            <w:r>
              <w:rPr>
                <w:rFonts w:ascii="宋体" w:hAnsi="宋体"/>
                <w:kern w:val="0"/>
                <w:szCs w:val="21"/>
              </w:rPr>
              <w:t>构成招标文件的其他材料</w:t>
            </w:r>
          </w:p>
        </w:tc>
        <w:tc>
          <w:tcPr>
            <w:tcW w:w="6698" w:type="dxa"/>
            <w:vAlign w:val="center"/>
          </w:tcPr>
          <w:p>
            <w:pPr>
              <w:snapToGrid w:val="0"/>
              <w:spacing w:line="400" w:lineRule="exact"/>
              <w:ind w:firstLine="420" w:firstLineChars="200"/>
              <w:rPr>
                <w:rFonts w:ascii="宋体" w:hAnsi="宋体"/>
                <w:szCs w:val="21"/>
              </w:rPr>
            </w:pPr>
            <w:r>
              <w:rPr>
                <w:rFonts w:ascii="宋体" w:hAnsi="宋体"/>
                <w:szCs w:val="21"/>
              </w:rPr>
              <w:t>招标人发出的</w:t>
            </w:r>
            <w:r>
              <w:rPr>
                <w:rFonts w:hint="eastAsia" w:ascii="宋体" w:hAnsi="宋体"/>
                <w:szCs w:val="21"/>
              </w:rPr>
              <w:t>澄清</w:t>
            </w:r>
            <w:r>
              <w:rPr>
                <w:rFonts w:ascii="宋体" w:hAnsi="宋体"/>
                <w:szCs w:val="21"/>
              </w:rPr>
              <w:t>及</w:t>
            </w:r>
            <w:r>
              <w:rPr>
                <w:rFonts w:hint="eastAsia" w:ascii="宋体" w:hAnsi="宋体"/>
                <w:szCs w:val="21"/>
              </w:rPr>
              <w:t>修改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2</w:t>
            </w:r>
            <w:r>
              <w:rPr>
                <w:rFonts w:ascii="宋体" w:hAnsi="宋体"/>
                <w:kern w:val="0"/>
                <w:szCs w:val="21"/>
              </w:rPr>
              <w:t>.</w:t>
            </w:r>
            <w:r>
              <w:rPr>
                <w:rFonts w:hint="eastAsia" w:ascii="宋体" w:hAnsi="宋体"/>
                <w:kern w:val="0"/>
                <w:szCs w:val="21"/>
              </w:rPr>
              <w:t>2</w:t>
            </w:r>
            <w:r>
              <w:rPr>
                <w:rFonts w:ascii="宋体" w:hAnsi="宋体"/>
                <w:kern w:val="0"/>
                <w:szCs w:val="21"/>
              </w:rPr>
              <w:t>.</w:t>
            </w:r>
            <w:r>
              <w:rPr>
                <w:rFonts w:hint="eastAsia" w:ascii="宋体" w:hAnsi="宋体"/>
                <w:kern w:val="0"/>
                <w:szCs w:val="21"/>
              </w:rPr>
              <w:t>1</w:t>
            </w:r>
          </w:p>
        </w:tc>
        <w:tc>
          <w:tcPr>
            <w:tcW w:w="1436" w:type="dxa"/>
            <w:tcBorders>
              <w:bottom w:val="single" w:color="auto" w:sz="4" w:space="0"/>
            </w:tcBorders>
            <w:vAlign w:val="center"/>
          </w:tcPr>
          <w:p>
            <w:pPr>
              <w:snapToGrid w:val="0"/>
              <w:spacing w:line="400" w:lineRule="exact"/>
              <w:jc w:val="center"/>
              <w:rPr>
                <w:rFonts w:ascii="宋体" w:hAnsi="宋体"/>
                <w:kern w:val="0"/>
                <w:szCs w:val="21"/>
              </w:rPr>
            </w:pPr>
            <w:r>
              <w:rPr>
                <w:rFonts w:ascii="宋体" w:hAnsi="宋体"/>
                <w:kern w:val="0"/>
                <w:szCs w:val="21"/>
              </w:rPr>
              <w:t>投标人对招标文件提出</w:t>
            </w:r>
            <w:r>
              <w:rPr>
                <w:rFonts w:hint="eastAsia" w:ascii="宋体" w:hAnsi="宋体"/>
                <w:kern w:val="0"/>
                <w:szCs w:val="21"/>
              </w:rPr>
              <w:t>疑问</w:t>
            </w:r>
            <w:r>
              <w:rPr>
                <w:rFonts w:ascii="宋体" w:hAnsi="宋体"/>
                <w:kern w:val="0"/>
                <w:szCs w:val="21"/>
              </w:rPr>
              <w:t>的截止时间</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投标人应仔细</w:t>
            </w:r>
            <w:r>
              <w:rPr>
                <w:rFonts w:hint="eastAsia" w:ascii="宋体" w:hAnsi="宋体"/>
                <w:kern w:val="0"/>
                <w:szCs w:val="21"/>
              </w:rPr>
              <w:t>阅读</w:t>
            </w:r>
            <w:r>
              <w:rPr>
                <w:rFonts w:ascii="宋体" w:hAnsi="宋体"/>
                <w:kern w:val="0"/>
                <w:szCs w:val="21"/>
              </w:rPr>
              <w:t>招标文件</w:t>
            </w:r>
            <w:r>
              <w:rPr>
                <w:rFonts w:hint="eastAsia" w:ascii="宋体" w:hAnsi="宋体"/>
                <w:kern w:val="0"/>
                <w:szCs w:val="21"/>
              </w:rPr>
              <w:t>及附件</w:t>
            </w:r>
            <w:r>
              <w:rPr>
                <w:rFonts w:ascii="宋体" w:hAnsi="宋体"/>
                <w:kern w:val="0"/>
                <w:szCs w:val="21"/>
              </w:rPr>
              <w:t>的所有内容，如有文字表述不清，图纸尺寸标注不明以及存在错、漏、缺、概念模糊和有可能出现歧义或理解上的偏差的内容等应</w:t>
            </w:r>
            <w:r>
              <w:rPr>
                <w:rFonts w:hint="eastAsia" w:ascii="宋体" w:hAnsi="宋体" w:cs="宋体"/>
                <w:kern w:val="0"/>
                <w:szCs w:val="21"/>
              </w:rPr>
              <w:t>在招标公告规定的时间</w:t>
            </w:r>
            <w:r>
              <w:rPr>
                <w:rFonts w:ascii="宋体" w:hAnsi="宋体"/>
                <w:kern w:val="0"/>
                <w:szCs w:val="21"/>
              </w:rPr>
              <w:t>前</w:t>
            </w:r>
            <w:r>
              <w:rPr>
                <w:rFonts w:hint="eastAsia" w:ascii="宋体" w:hAnsi="宋体"/>
                <w:kern w:val="0"/>
                <w:szCs w:val="21"/>
              </w:rPr>
              <w:t>在本项目招标公告网页下方“我要提问”栏</w:t>
            </w:r>
            <w:r>
              <w:rPr>
                <w:rFonts w:ascii="宋体" w:hAnsi="宋体"/>
                <w:kern w:val="0"/>
                <w:szCs w:val="21"/>
              </w:rPr>
              <w:t>提交。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75" w:hRule="atLeast"/>
          <w:jc w:val="center"/>
        </w:trPr>
        <w:tc>
          <w:tcPr>
            <w:tcW w:w="1335" w:type="dxa"/>
            <w:vMerge w:val="restart"/>
            <w:vAlign w:val="center"/>
          </w:tcPr>
          <w:p>
            <w:pPr>
              <w:snapToGrid w:val="0"/>
              <w:spacing w:line="400" w:lineRule="exact"/>
              <w:jc w:val="center"/>
              <w:rPr>
                <w:rFonts w:ascii="宋体" w:hAnsi="宋体"/>
                <w:kern w:val="0"/>
                <w:szCs w:val="21"/>
              </w:rPr>
            </w:pPr>
            <w:r>
              <w:rPr>
                <w:rFonts w:ascii="宋体" w:hAnsi="宋体"/>
                <w:kern w:val="0"/>
                <w:szCs w:val="21"/>
              </w:rPr>
              <w:t>2.2.2</w:t>
            </w:r>
          </w:p>
        </w:tc>
        <w:tc>
          <w:tcPr>
            <w:tcW w:w="1436" w:type="dxa"/>
            <w:tcBorders>
              <w:top w:val="single" w:color="auto" w:sz="4" w:space="0"/>
            </w:tcBorders>
            <w:vAlign w:val="center"/>
          </w:tcPr>
          <w:p>
            <w:pPr>
              <w:snapToGrid w:val="0"/>
              <w:spacing w:line="400" w:lineRule="exact"/>
              <w:jc w:val="center"/>
              <w:rPr>
                <w:rFonts w:ascii="宋体" w:hAnsi="宋体"/>
                <w:kern w:val="0"/>
                <w:szCs w:val="21"/>
              </w:rPr>
            </w:pPr>
            <w:r>
              <w:rPr>
                <w:rFonts w:ascii="宋体" w:hAnsi="宋体"/>
                <w:kern w:val="0"/>
                <w:szCs w:val="21"/>
              </w:rPr>
              <w:t>招标人对招标文件澄清的截止时间</w:t>
            </w:r>
          </w:p>
        </w:tc>
        <w:tc>
          <w:tcPr>
            <w:tcW w:w="6698" w:type="dxa"/>
            <w:vAlign w:val="center"/>
          </w:tcPr>
          <w:p>
            <w:pPr>
              <w:snapToGrid w:val="0"/>
              <w:spacing w:line="400" w:lineRule="exact"/>
              <w:ind w:firstLine="420" w:firstLineChars="200"/>
              <w:rPr>
                <w:rFonts w:ascii="宋体" w:hAnsi="宋体"/>
                <w:snapToGrid w:val="0"/>
                <w:kern w:val="0"/>
                <w:szCs w:val="21"/>
              </w:rPr>
            </w:pPr>
            <w:r>
              <w:rPr>
                <w:rFonts w:hint="eastAsia" w:ascii="宋体" w:hAnsi="宋体"/>
                <w:szCs w:val="21"/>
              </w:rPr>
              <w:t>招标人应在招标公告规定的时间前</w:t>
            </w:r>
            <w:r>
              <w:rPr>
                <w:rFonts w:ascii="宋体" w:hAnsi="宋体"/>
                <w:szCs w:val="21"/>
              </w:rPr>
              <w:t>，</w:t>
            </w:r>
            <w:r>
              <w:rPr>
                <w:rFonts w:ascii="宋体" w:hAnsi="宋体"/>
                <w:kern w:val="0"/>
                <w:szCs w:val="21"/>
              </w:rPr>
              <w:t>在</w:t>
            </w:r>
            <w:r>
              <w:rPr>
                <w:rFonts w:hint="eastAsia" w:ascii="宋体" w:hAnsi="宋体"/>
                <w:kern w:val="0"/>
                <w:szCs w:val="21"/>
                <w:u w:val="single"/>
              </w:rPr>
              <w:t>重庆市公共资源交易网（www.cqggzy.com）</w:t>
            </w:r>
            <w:r>
              <w:rPr>
                <w:rFonts w:ascii="宋体" w:hAnsi="宋体"/>
                <w:kern w:val="0"/>
                <w:szCs w:val="21"/>
              </w:rPr>
              <w:t>发布</w:t>
            </w:r>
            <w:r>
              <w:rPr>
                <w:rFonts w:hint="eastAsia" w:ascii="宋体" w:hAnsi="宋体"/>
                <w:kern w:val="0"/>
                <w:szCs w:val="21"/>
              </w:rPr>
              <w:t>澄清</w:t>
            </w:r>
            <w:r>
              <w:rPr>
                <w:rFonts w:ascii="宋体" w:hAnsi="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1335" w:type="dxa"/>
            <w:vMerge w:val="continue"/>
            <w:vAlign w:val="center"/>
          </w:tcPr>
          <w:p>
            <w:pPr>
              <w:snapToGrid w:val="0"/>
              <w:spacing w:line="400" w:lineRule="exact"/>
              <w:jc w:val="center"/>
              <w:rPr>
                <w:rFonts w:ascii="宋体" w:hAnsi="宋体"/>
                <w:kern w:val="0"/>
                <w:szCs w:val="21"/>
              </w:rPr>
            </w:pP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投标截止时间</w:t>
            </w:r>
          </w:p>
        </w:tc>
        <w:tc>
          <w:tcPr>
            <w:tcW w:w="6698" w:type="dxa"/>
            <w:vAlign w:val="center"/>
          </w:tcPr>
          <w:p>
            <w:pPr>
              <w:snapToGrid w:val="0"/>
              <w:spacing w:line="400" w:lineRule="exact"/>
              <w:ind w:firstLine="420" w:firstLineChars="200"/>
              <w:rPr>
                <w:rFonts w:ascii="宋体" w:hAnsi="宋体"/>
                <w:szCs w:val="21"/>
                <w:u w:val="single"/>
              </w:rPr>
            </w:pPr>
            <w:r>
              <w:rPr>
                <w:rFonts w:hint="eastAsia" w:ascii="宋体" w:hAnsi="宋体"/>
                <w:szCs w:val="21"/>
              </w:rPr>
              <w:t>详见招标公告规定的投标截止时间。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2.2.3</w:t>
            </w:r>
          </w:p>
        </w:tc>
        <w:tc>
          <w:tcPr>
            <w:tcW w:w="1436" w:type="dxa"/>
            <w:vAlign w:val="center"/>
          </w:tcPr>
          <w:p>
            <w:pPr>
              <w:snapToGrid w:val="0"/>
              <w:spacing w:after="15" w:afterLines="5" w:line="400" w:lineRule="exact"/>
              <w:jc w:val="center"/>
              <w:rPr>
                <w:rFonts w:ascii="宋体" w:hAnsi="宋体"/>
                <w:kern w:val="0"/>
                <w:szCs w:val="21"/>
              </w:rPr>
            </w:pPr>
            <w:r>
              <w:rPr>
                <w:rFonts w:ascii="宋体" w:hAnsi="宋体"/>
                <w:kern w:val="0"/>
                <w:szCs w:val="21"/>
              </w:rPr>
              <w:t>招标人对招标文件进行</w:t>
            </w:r>
            <w:r>
              <w:rPr>
                <w:rFonts w:hint="eastAsia" w:ascii="宋体" w:hAnsi="宋体"/>
                <w:kern w:val="0"/>
                <w:szCs w:val="21"/>
              </w:rPr>
              <w:t>修改</w:t>
            </w:r>
            <w:r>
              <w:rPr>
                <w:rFonts w:ascii="宋体" w:hAnsi="宋体"/>
                <w:kern w:val="0"/>
                <w:szCs w:val="21"/>
              </w:rPr>
              <w:t>的时间</w:t>
            </w:r>
          </w:p>
        </w:tc>
        <w:tc>
          <w:tcPr>
            <w:tcW w:w="6698" w:type="dxa"/>
            <w:vAlign w:val="center"/>
          </w:tcPr>
          <w:p>
            <w:pPr>
              <w:snapToGrid w:val="0"/>
              <w:spacing w:line="400" w:lineRule="exact"/>
              <w:ind w:firstLine="420" w:firstLineChars="200"/>
              <w:rPr>
                <w:rFonts w:ascii="宋体" w:hAnsi="宋体"/>
                <w:szCs w:val="21"/>
              </w:rPr>
            </w:pPr>
            <w:r>
              <w:rPr>
                <w:rFonts w:hint="eastAsia" w:ascii="宋体" w:hAnsi="宋体"/>
                <w:snapToGrid w:val="0"/>
                <w:kern w:val="0"/>
                <w:szCs w:val="21"/>
              </w:rPr>
              <w:t>修改</w:t>
            </w:r>
            <w:r>
              <w:rPr>
                <w:rFonts w:ascii="宋体" w:hAnsi="宋体"/>
                <w:snapToGrid w:val="0"/>
                <w:kern w:val="0"/>
                <w:szCs w:val="21"/>
              </w:rPr>
              <w:t>内容可能影响投标文件编制的，须在投标截止时间15日前发布，发布时间至投标截止时间不足15日的，须相应延后投标截止时间。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2.2.4</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投标人对招标文件及澄清修改提出异议的截止时间</w:t>
            </w:r>
          </w:p>
        </w:tc>
        <w:tc>
          <w:tcPr>
            <w:tcW w:w="6698" w:type="dxa"/>
            <w:vAlign w:val="center"/>
          </w:tcPr>
          <w:p>
            <w:pPr>
              <w:snapToGrid w:val="0"/>
              <w:spacing w:line="400" w:lineRule="exact"/>
              <w:ind w:firstLine="420" w:firstLineChars="200"/>
              <w:rPr>
                <w:rFonts w:ascii="宋体" w:hAnsi="宋体"/>
                <w:snapToGrid w:val="0"/>
                <w:kern w:val="0"/>
                <w:szCs w:val="21"/>
              </w:rPr>
            </w:pPr>
            <w:r>
              <w:rPr>
                <w:rFonts w:ascii="宋体" w:hAnsi="宋体"/>
                <w:snapToGrid w:val="0"/>
                <w:kern w:val="0"/>
                <w:szCs w:val="21"/>
              </w:rPr>
              <w:t>投标人对招标文件和</w:t>
            </w:r>
            <w:r>
              <w:rPr>
                <w:rFonts w:hint="eastAsia" w:ascii="宋体" w:hAnsi="宋体"/>
                <w:snapToGrid w:val="0"/>
                <w:kern w:val="0"/>
                <w:szCs w:val="21"/>
              </w:rPr>
              <w:t>澄清修改</w:t>
            </w:r>
            <w:r>
              <w:rPr>
                <w:rFonts w:ascii="宋体" w:hAnsi="宋体"/>
                <w:snapToGrid w:val="0"/>
                <w:kern w:val="0"/>
                <w:szCs w:val="21"/>
              </w:rPr>
              <w:t>有异议的，应当在投标截止时间10日前，</w:t>
            </w:r>
            <w:r>
              <w:rPr>
                <w:rFonts w:hint="eastAsia" w:ascii="宋体" w:hAnsi="宋体"/>
                <w:snapToGrid w:val="0"/>
                <w:kern w:val="0"/>
                <w:szCs w:val="21"/>
              </w:rPr>
              <w:t>通过重庆市电子招投标系统提出</w:t>
            </w:r>
            <w:r>
              <w:rPr>
                <w:rFonts w:ascii="宋体" w:hAnsi="宋体"/>
                <w:snapToGrid w:val="0"/>
                <w:kern w:val="0"/>
                <w:szCs w:val="21"/>
              </w:rPr>
              <w:t>。招标人应当自收到异议之日起3日内做出答复，</w:t>
            </w:r>
            <w:r>
              <w:rPr>
                <w:rFonts w:hint="eastAsia" w:ascii="宋体" w:hAnsi="宋体"/>
                <w:snapToGrid w:val="0"/>
                <w:kern w:val="0"/>
                <w:szCs w:val="21"/>
              </w:rPr>
              <w:t>答复内容可能影响投标文件编制的，将以修改的形式于投标截止时间15日前在</w:t>
            </w:r>
            <w:r>
              <w:rPr>
                <w:rFonts w:hint="eastAsia" w:ascii="宋体" w:hAnsi="宋体"/>
                <w:snapToGrid w:val="0"/>
                <w:kern w:val="0"/>
                <w:szCs w:val="21"/>
                <w:u w:val="single"/>
              </w:rPr>
              <w:t>重庆市公共资源交易网（www.cqggzy.com）</w:t>
            </w:r>
            <w:r>
              <w:rPr>
                <w:rFonts w:hint="eastAsia" w:ascii="宋体" w:hAnsi="宋体"/>
                <w:snapToGrid w:val="0"/>
                <w:kern w:val="0"/>
                <w:szCs w:val="21"/>
              </w:rPr>
              <w:t>澄清修改区发布，发布时间至投标截止时间不足15日的，须相应延后投标截止时间。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3.1.1</w:t>
            </w:r>
          </w:p>
        </w:tc>
        <w:tc>
          <w:tcPr>
            <w:tcW w:w="1436" w:type="dxa"/>
            <w:vAlign w:val="center"/>
          </w:tcPr>
          <w:p>
            <w:pPr>
              <w:snapToGrid w:val="0"/>
              <w:spacing w:after="31" w:afterLines="10" w:line="400" w:lineRule="exact"/>
              <w:jc w:val="center"/>
              <w:rPr>
                <w:rFonts w:ascii="宋体" w:hAnsi="宋体"/>
                <w:kern w:val="0"/>
                <w:szCs w:val="21"/>
              </w:rPr>
            </w:pPr>
            <w:r>
              <w:rPr>
                <w:rFonts w:ascii="宋体" w:hAnsi="宋体"/>
                <w:kern w:val="0"/>
                <w:szCs w:val="21"/>
              </w:rPr>
              <w:t>构成投标文件的其他材料</w:t>
            </w:r>
          </w:p>
        </w:tc>
        <w:tc>
          <w:tcPr>
            <w:tcW w:w="6698" w:type="dxa"/>
            <w:vAlign w:val="center"/>
          </w:tcPr>
          <w:p>
            <w:pPr>
              <w:snapToGrid w:val="0"/>
              <w:spacing w:line="400" w:lineRule="exact"/>
              <w:ind w:firstLine="420" w:firstLineChars="200"/>
              <w:rPr>
                <w:rFonts w:ascii="宋体" w:hAnsi="宋体"/>
                <w:szCs w:val="21"/>
              </w:rPr>
            </w:pPr>
            <w:r>
              <w:rPr>
                <w:rFonts w:ascii="宋体" w:hAnsi="宋体"/>
                <w:szCs w:val="21"/>
              </w:rPr>
              <w:t>投标人的书面澄清、说明和补正（但不得改变投标文件的实质性内容）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3.2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投标报价</w:t>
            </w:r>
          </w:p>
        </w:tc>
        <w:tc>
          <w:tcPr>
            <w:tcW w:w="6698" w:type="dxa"/>
            <w:vAlign w:val="center"/>
          </w:tcPr>
          <w:p>
            <w:pPr>
              <w:snapToGrid w:val="0"/>
              <w:spacing w:line="360" w:lineRule="auto"/>
              <w:ind w:firstLine="420" w:firstLineChars="200"/>
              <w:rPr>
                <w:rFonts w:ascii="宋体" w:hAnsi="宋体" w:cs="宋体"/>
                <w:snapToGrid w:val="0"/>
                <w:kern w:val="0"/>
                <w:szCs w:val="21"/>
              </w:rPr>
            </w:pPr>
            <w:r>
              <w:rPr>
                <w:rFonts w:hint="eastAsia" w:ascii="宋体" w:hAnsi="宋体" w:cs="宋体"/>
                <w:szCs w:val="21"/>
              </w:rPr>
              <w:t>1</w:t>
            </w:r>
            <w:r>
              <w:rPr>
                <w:rFonts w:hint="eastAsia" w:ascii="宋体" w:hAnsi="宋体" w:cs="宋体"/>
                <w:snapToGrid w:val="0"/>
                <w:kern w:val="0"/>
                <w:szCs w:val="21"/>
              </w:rPr>
              <w:t>.使用国有资金投资的地质灾害治理工程发承包，必须采用工程量清单计价。工程量清单应采用综合单价计价。</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2.投标报价范围</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投标人投标报价范围应为招标文件所附施工图纸、施工图纸说明及施工中的监测等（专业效果监测除外）、安全生产视频监控（如有）的所有工程内容。报价应包含完成工程的成本、利润、税金、各种风险(包括施工过程中材料价格涨价等)、为完成本工程所需的临时工程以及相应的施工措施（包括工作区域内由本工程施工产生的余土、渣土、垃圾及其他废弃物外运处理等）和施工过程中的水电费以及工程多次验收等所有费用。招标人提供的工程量清单由投标人根据图纸自行复核。</w:t>
            </w:r>
            <w:r>
              <w:rPr>
                <w:rFonts w:hint="eastAsia" w:ascii="宋体" w:hAnsi="宋体" w:cs="宋体"/>
                <w:snapToGrid w:val="0"/>
                <w:kern w:val="0"/>
                <w:szCs w:val="21"/>
              </w:rPr>
              <w:br w:type="textWrapping"/>
            </w:r>
            <w:r>
              <w:rPr>
                <w:rFonts w:hint="eastAsia" w:ascii="宋体" w:hAnsi="宋体" w:cs="宋体"/>
                <w:snapToGrid w:val="0"/>
                <w:kern w:val="0"/>
                <w:szCs w:val="21"/>
              </w:rPr>
              <w:t xml:space="preserve">  3.报价原则</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本工程根据招标人提供的施工图纸、施工图纸说明按以下原则进行投标报价:</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 xml:space="preserve">（1）报价依据： </w:t>
            </w:r>
            <w:r>
              <w:rPr>
                <w:rFonts w:hint="eastAsia" w:ascii="宋体" w:hAnsi="宋体" w:cs="宋体"/>
                <w:snapToGrid w:val="0"/>
                <w:kern w:val="0"/>
                <w:szCs w:val="21"/>
                <w:u w:val="single"/>
              </w:rPr>
              <w:t xml:space="preserve">（根据本项目预算编制依据确定）   </w:t>
            </w:r>
            <w:r>
              <w:rPr>
                <w:rFonts w:hint="eastAsia" w:ascii="宋体" w:hAnsi="宋体" w:cs="宋体"/>
                <w:snapToGrid w:val="0"/>
                <w:kern w:val="0"/>
                <w:szCs w:val="21"/>
              </w:rPr>
              <w:t xml:space="preserve"> 。</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 xml:space="preserve">（2）材料价格： </w:t>
            </w:r>
            <w:r>
              <w:rPr>
                <w:rFonts w:hint="eastAsia" w:ascii="宋体" w:hAnsi="宋体" w:cs="宋体"/>
                <w:snapToGrid w:val="0"/>
                <w:kern w:val="0"/>
                <w:szCs w:val="21"/>
                <w:u w:val="single"/>
              </w:rPr>
              <w:t xml:space="preserve">（根据本项目预算编制依据确定）  </w:t>
            </w:r>
            <w:r>
              <w:rPr>
                <w:rFonts w:hint="eastAsia" w:ascii="宋体" w:hAnsi="宋体" w:cs="宋体"/>
                <w:snapToGrid w:val="0"/>
                <w:kern w:val="0"/>
                <w:szCs w:val="21"/>
              </w:rPr>
              <w:t xml:space="preserve">  。</w:t>
            </w:r>
          </w:p>
          <w:p>
            <w:pPr>
              <w:snapToGrid w:val="0"/>
              <w:spacing w:line="360" w:lineRule="auto"/>
              <w:ind w:firstLine="420" w:firstLineChars="200"/>
            </w:pPr>
            <w:r>
              <w:rPr>
                <w:rFonts w:hint="eastAsia" w:ascii="宋体" w:hAnsi="宋体" w:cs="宋体"/>
                <w:snapToGrid w:val="0"/>
                <w:kern w:val="0"/>
                <w:szCs w:val="21"/>
              </w:rPr>
              <w:t xml:space="preserve">（3）人工价格： </w:t>
            </w:r>
            <w:r>
              <w:rPr>
                <w:rFonts w:hint="eastAsia" w:ascii="宋体" w:hAnsi="宋体" w:cs="宋体"/>
                <w:snapToGrid w:val="0"/>
                <w:kern w:val="0"/>
                <w:szCs w:val="21"/>
                <w:u w:val="single"/>
              </w:rPr>
              <w:t xml:space="preserve">（根据本项目预算编制依据确定）  </w:t>
            </w:r>
            <w:r>
              <w:rPr>
                <w:rFonts w:hint="eastAsia" w:ascii="宋体" w:hAnsi="宋体" w:cs="宋体"/>
                <w:snapToGrid w:val="0"/>
                <w:kern w:val="0"/>
                <w:szCs w:val="21"/>
              </w:rPr>
              <w:t xml:space="preserve">  。</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4）安全生产视频监控的重点对象为：一是工程投资概算在1000万元以上的治理工程项目；二是分部、分项工程施工难度大、危险性高的治理工程项目；三是保护对象极端重要的工程治理项目。以上三类项目均应开展施工现场安全生产视屏监控。由投标人负责安装安全生产远程视频监控（前端摄像头、设备安装及网络服务等）。视频监控时间，从项目开工至主体工程完工为止。（如有）</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料场、渣场等，投标人可以在招标人指定之外的料场、渣场取料和弃渣。其运距和报价由投标人自行确定，由此产生风险投标人自行承担，不得因与招标人提供有差异而向招标人进行任何索赔，自选的料场、渣场取料和弃渣须确保安全，应符合相关部门的管理规定，若因发生的相关费用由投标人承担。</w:t>
            </w:r>
          </w:p>
          <w:p>
            <w:pPr>
              <w:pStyle w:val="2"/>
              <w:tabs>
                <w:tab w:val="left" w:pos="546"/>
                <w:tab w:val="left" w:pos="711"/>
              </w:tabs>
              <w:snapToGrid w:val="0"/>
              <w:spacing w:after="0" w:line="400" w:lineRule="exact"/>
              <w:ind w:left="6" w:leftChars="3" w:firstLine="420" w:firstLineChars="200"/>
              <w:rPr>
                <w:rFonts w:ascii="宋体" w:hAnsi="宋体" w:cs="宋体"/>
                <w:szCs w:val="21"/>
              </w:rPr>
            </w:pPr>
            <w:r>
              <w:rPr>
                <w:rFonts w:hint="eastAsia" w:ascii="宋体" w:hAnsi="宋体" w:cs="宋体"/>
                <w:szCs w:val="21"/>
              </w:rPr>
              <w:t>4、增值税计税方法由招标人依据国家税法规定选择：</w:t>
            </w:r>
          </w:p>
          <w:p>
            <w:pPr>
              <w:pStyle w:val="2"/>
              <w:tabs>
                <w:tab w:val="left" w:pos="546"/>
                <w:tab w:val="left" w:pos="711"/>
              </w:tabs>
              <w:snapToGrid w:val="0"/>
              <w:spacing w:after="0" w:line="400" w:lineRule="exact"/>
              <w:ind w:left="6" w:leftChars="3" w:firstLine="420" w:firstLineChars="200"/>
              <w:rPr>
                <w:rFonts w:ascii="宋体" w:hAnsi="宋体" w:cs="宋体"/>
                <w:szCs w:val="21"/>
              </w:rPr>
            </w:pPr>
            <w:r>
              <w:rPr>
                <w:rFonts w:hint="eastAsia" w:ascii="宋体" w:hAnsi="宋体" w:cs="宋体"/>
                <w:szCs w:val="21"/>
              </w:rPr>
              <w:t>□一般计税法</w:t>
            </w:r>
          </w:p>
          <w:p>
            <w:pPr>
              <w:pStyle w:val="2"/>
              <w:tabs>
                <w:tab w:val="left" w:pos="546"/>
                <w:tab w:val="left" w:pos="711"/>
              </w:tabs>
              <w:snapToGrid w:val="0"/>
              <w:spacing w:after="0" w:line="400" w:lineRule="exact"/>
              <w:ind w:left="6" w:leftChars="3" w:firstLine="420" w:firstLineChars="200"/>
              <w:rPr>
                <w:rFonts w:ascii="宋体" w:hAnsi="宋体" w:cs="宋体"/>
                <w:szCs w:val="21"/>
              </w:rPr>
            </w:pPr>
            <w:r>
              <w:rPr>
                <w:rFonts w:hint="eastAsia" w:ascii="宋体" w:hAnsi="宋体" w:cs="宋体"/>
                <w:szCs w:val="21"/>
              </w:rPr>
              <w:t>□简易计税法</w:t>
            </w:r>
          </w:p>
          <w:p>
            <w:pPr>
              <w:pStyle w:val="2"/>
              <w:tabs>
                <w:tab w:val="left" w:pos="546"/>
                <w:tab w:val="left" w:pos="711"/>
              </w:tabs>
              <w:snapToGrid w:val="0"/>
              <w:spacing w:after="0" w:line="400" w:lineRule="exact"/>
              <w:ind w:left="6" w:leftChars="3" w:firstLine="420" w:firstLineChars="200"/>
              <w:rPr>
                <w:rFonts w:ascii="宋体" w:hAnsi="宋体" w:cs="宋体"/>
                <w:i/>
                <w:szCs w:val="21"/>
              </w:rPr>
            </w:pPr>
            <w:r>
              <w:rPr>
                <w:rFonts w:hint="eastAsia" w:ascii="宋体" w:hAnsi="宋体" w:cs="宋体"/>
                <w:i/>
                <w:szCs w:val="21"/>
              </w:rPr>
              <w:t>[提示：招标人在编制招标文件时增值税计算方法选其一。]</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5.最高限价</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本工程招标将设置投标总报价最高限价，投标总报价最高限价最迟应于投标截止日15日前发布，投标人的投标总报价不得超过投标总报价最高限价，否则由评标委员会作否决投标处理。</w:t>
            </w:r>
          </w:p>
          <w:p>
            <w:pPr>
              <w:snapToGrid w:val="0"/>
              <w:spacing w:line="360" w:lineRule="auto"/>
              <w:ind w:firstLine="420" w:firstLineChars="200"/>
              <w:rPr>
                <w:rFonts w:ascii="宋体" w:hAnsi="宋体" w:cs="宋体"/>
                <w:snapToGrid w:val="0"/>
                <w:kern w:val="0"/>
                <w:szCs w:val="21"/>
                <w:highlight w:val="yellow"/>
              </w:rPr>
            </w:pPr>
            <w:r>
              <w:rPr>
                <w:rFonts w:hint="eastAsia" w:ascii="宋体" w:hAnsi="宋体" w:cs="宋体"/>
                <w:snapToGrid w:val="0"/>
                <w:kern w:val="0"/>
                <w:szCs w:val="21"/>
                <w:highlight w:val="none"/>
              </w:rPr>
              <w:t>□本工程招标将设置全部工程量清单综合单价最高限价，工程量清单综合单价最高限价最迟应于投标截止日15日前发布。</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6.招标人提供的工程量清单由投标人根据图纸自行复核，如对招标人所提供的工程量清单有疑义（包括工程量不符、漏项、错项等），应按照“前附表”规定时间和方式提出。招标人或招标代理机构将对有疑义的内容进行复核，并将结果以规定时间和方式发布，复核后的工程量清单将被视为已涵盖本工程图纸的全部的工作内容工程量；如果在开标前投标人未对工程量清单提出任何异议，将视为投标人已认可招标文件中的工程量清单已涵盖本工程图纸的全部的工作内容工程量。如投标人中标，该</w:t>
            </w:r>
            <w:bookmarkStart w:id="184" w:name="_Toc83438968"/>
            <w:r>
              <w:rPr>
                <w:rFonts w:hint="eastAsia" w:ascii="宋体" w:hAnsi="宋体" w:cs="宋体"/>
                <w:snapToGrid w:val="0"/>
                <w:kern w:val="0"/>
                <w:szCs w:val="21"/>
              </w:rPr>
              <w:t>投标人的投标价即被认为是涵盖了施工图纸中全部工作内容（除专业效果监测外）的合同价</w:t>
            </w:r>
            <w:bookmarkEnd w:id="184"/>
            <w:r>
              <w:rPr>
                <w:rFonts w:hint="eastAsia" w:ascii="宋体" w:hAnsi="宋体" w:cs="宋体"/>
                <w:snapToGrid w:val="0"/>
                <w:kern w:val="0"/>
                <w:szCs w:val="21"/>
              </w:rPr>
              <w:t>，实行工程图纸建设任务和固定单价，除合同规定可以进行调整的事项外，在合同实施期间不得变动。</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7.工程量清单计价采用综合单价计价。即在综合单价中应包含完成一个清单项目所需的人工费、材料和工程设备费、施工机具使用费和企业管理费、利润等，并充分考虑风险因素；一旦中标后，招标人不接受中标人以组价不当（包括但不限于对工作内容理解的偏差、工料消耗量水平的确定、生产要素市场价格的判断、取费决策等原因）为理由而主张的任何损失或索赔。</w:t>
            </w:r>
          </w:p>
          <w:p>
            <w:pPr>
              <w:snapToGrid w:val="0"/>
              <w:spacing w:line="360" w:lineRule="auto"/>
              <w:ind w:firstLine="420" w:firstLineChars="200"/>
              <w:rPr>
                <w:rFonts w:ascii="宋体" w:hAnsi="宋体" w:cs="宋体"/>
                <w:snapToGrid w:val="0"/>
                <w:kern w:val="0"/>
                <w:szCs w:val="21"/>
              </w:rPr>
            </w:pPr>
            <w:bookmarkStart w:id="185" w:name="_Toc83438974"/>
            <w:r>
              <w:rPr>
                <w:rFonts w:hint="eastAsia" w:ascii="宋体" w:hAnsi="宋体" w:cs="宋体"/>
                <w:snapToGrid w:val="0"/>
                <w:kern w:val="0"/>
                <w:szCs w:val="21"/>
              </w:rPr>
              <w:t>8.投标人应认真填写工程量清单中所列的本合同各工程子目的单价或总价。投标人没有填入单价或总价的工程子目，招标人将认为该子目的价款已包括在工程量清单其他子目的单价和总价中。投标人必须按招标工程量清单填报价格。投标工程量清单中的各级项目分组表、项目编号、名称、单位、数量必须与招标工程量清单一致。</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9.投标函中的总报价必须与已标价工程量清单总报价一致，否则由评标委员会作否决投标处理。</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10.招标人在工程量清单中所列出的暂列金额、暂估价等暂定金额，投标人不得修改，否则由评标委员会作否决投标处理。</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11.投标人投标报价中的各清单子目单价不应高于各清单子目单价最高限价。招标人在合同签订前将对中标人“已标价工程量清单”进行复核，若出现差错则按以下原则进行处理（或结算）：</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1）投标总报价汇总计算结果与投标函总报价不一致时，按就低不就高原则进行修正，即：汇总计算结果高于投标函总报价则以投标函总报价为准，按汇总计算结果与投标函总报价相比的降低幅度同比例修正分组报价和各清单子目单价；汇总计算结果低于投标函总报价则以投标总报价汇总计算结果为准进行签约或结算；</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（2）依据单价和数量计算结果与其合价不符的，按不利于投标人原则（就低不就高）对其单价和合价进行修正。</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（3）单价报价超过工程量清单综合单价最高限价的，以工程量清单综合单价最高限价为基础，按照中标总报价与总价最高限价的下浮比例进行同比例下调修正其单价和合价。</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4）工程量清单漏项的，按该项单价为0进行修正（即视为该项工作内容的报价已包括在其他项目报价内），超出招标人提供的工程量清单范围的清单项目报价不予认可，按该清单项目报价为0对其单价和合价进行修正。</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12、投标人须在投标文件资格审查部分进行承诺（格式详见第八章投标文件格式），但必须包括以下内容：</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（1）按照招标文件第二章3.2“投标报价”、第五章“工程量清单”的规定进行报价。</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（2）招标文件中规定工程量清单不允许修改的内容不得修改。</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（3）若出现差错，按招标文件第二章投标人须知前附表第3.2款的第11条规定的原则进行处理（或结算）。</w:t>
            </w:r>
          </w:p>
          <w:p>
            <w:pPr>
              <w:snapToGrid w:val="0"/>
              <w:spacing w:line="360" w:lineRule="auto"/>
              <w:ind w:firstLine="420" w:firstLineChars="200"/>
              <w:rPr>
                <w:rFonts w:ascii="宋体" w:hAnsi="宋体" w:cs="宋体"/>
                <w:snapToGrid w:val="0"/>
                <w:kern w:val="0"/>
                <w:szCs w:val="21"/>
                <w:highlight w:val="none"/>
              </w:rPr>
            </w:pPr>
            <w:r>
              <w:rPr>
                <w:rFonts w:hint="eastAsia" w:ascii="宋体" w:hAnsi="宋体" w:cs="宋体"/>
                <w:snapToGrid w:val="0"/>
                <w:kern w:val="0"/>
                <w:szCs w:val="21"/>
                <w:highlight w:val="none"/>
              </w:rPr>
              <w:t>投标人未按上述要求提供承诺的，由评标委员会作否决投标处理。</w:t>
            </w:r>
          </w:p>
          <w:bookmarkEnd w:id="185"/>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13.施工临时工程报价，由投标人自行了解清楚工程现场情况，并根据企业自身实力和施工组织设计自主报价，包干使用，其风险自行承担，投标人不得因为设计变更和其它不可预见因素等任何理由对此项费用进行索赔。施工临时工程费包括施工临时道路（场内、外）费、施工临时用水用电（场内、外）费、施工临时设施费和其它施工临时工程费。</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14.投标人应踏勘现场以充分了解工地位置、环境、道路、储存空间、装卸限制及地方材料等任何其他足以影响承包价的情况，任何因忽视或误解工地情况而导致对施工产生不利影响的情况的索赔或工期延长申请将被拒绝。</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15.在有条件的情况下招标人协助解决施工用水、电接口，否则自备发电机和自行抽水。如没有水电接口，投标人自己负责接口前的工作并支付所有费用，从接口至施工现场的施工用水的管道及临时用电线路的铺设均由投标人按批准的施工方案实施，招标人承担由此发生的所有费用。</w:t>
            </w:r>
          </w:p>
          <w:p>
            <w:pPr>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16.投标人应充分考虑多次多级别多时段的验收成本，并有义务到场接受验收，否则按照违约处理。</w:t>
            </w:r>
          </w:p>
          <w:p>
            <w:pPr>
              <w:tabs>
                <w:tab w:val="left" w:pos="546"/>
                <w:tab w:val="left" w:pos="711"/>
              </w:tabs>
              <w:snapToGrid w:val="0"/>
              <w:spacing w:line="400" w:lineRule="exact"/>
              <w:ind w:firstLine="420" w:firstLineChars="200"/>
              <w:rPr>
                <w:rFonts w:ascii="宋体" w:hAnsi="宋体"/>
                <w:szCs w:val="21"/>
              </w:rPr>
            </w:pPr>
            <w:r>
              <w:rPr>
                <w:rFonts w:hint="eastAsia" w:ascii="宋体" w:hAnsi="宋体" w:cs="宋体"/>
                <w:szCs w:val="21"/>
              </w:rPr>
              <w:t xml:space="preserve"> </w:t>
            </w:r>
            <w:r>
              <w:rPr>
                <w:rFonts w:hint="eastAsia" w:ascii="宋体" w:hAnsi="宋体" w:cs="宋体"/>
                <w:b/>
                <w:i/>
                <w:szCs w:val="21"/>
              </w:rPr>
              <w:t>[提示：招标人在编制招标文件时，可根据项目实际情况在3.2款中予以增加相关内容，但增加的内容不得违背法律、法规及规范性文件的规定。]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3.3.1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投标有效期</w:t>
            </w:r>
          </w:p>
        </w:tc>
        <w:tc>
          <w:tcPr>
            <w:tcW w:w="6698" w:type="dxa"/>
            <w:vAlign w:val="center"/>
          </w:tcPr>
          <w:p>
            <w:pPr>
              <w:snapToGrid w:val="0"/>
              <w:spacing w:line="400" w:lineRule="exact"/>
              <w:ind w:firstLine="420" w:firstLineChars="200"/>
              <w:rPr>
                <w:rFonts w:ascii="宋体" w:hAnsi="宋体"/>
                <w:szCs w:val="21"/>
              </w:rPr>
            </w:pPr>
            <w:r>
              <w:rPr>
                <w:rFonts w:ascii="宋体" w:hAnsi="宋体"/>
                <w:szCs w:val="21"/>
                <w:u w:val="single"/>
              </w:rPr>
              <w:t xml:space="preserve">       </w:t>
            </w:r>
            <w:r>
              <w:rPr>
                <w:rFonts w:ascii="宋体" w:hAnsi="宋体"/>
                <w:szCs w:val="21"/>
              </w:rPr>
              <w:t>日历天（从提交投标文件截止日起计算）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3.4</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投标保证金</w:t>
            </w:r>
          </w:p>
        </w:tc>
        <w:tc>
          <w:tcPr>
            <w:tcW w:w="6698" w:type="dxa"/>
            <w:vAlign w:val="center"/>
          </w:tcPr>
          <w:p>
            <w:pPr>
              <w:snapToGrid w:val="0"/>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不要求。</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要求，</w:t>
            </w:r>
            <w:r>
              <w:rPr>
                <w:rFonts w:hint="eastAsia" w:asciiTheme="minorEastAsia" w:hAnsiTheme="minorEastAsia" w:eastAsiaTheme="minorEastAsia" w:cstheme="minorEastAsia"/>
                <w:color w:val="auto"/>
                <w:szCs w:val="21"/>
                <w:highlight w:val="none"/>
              </w:rPr>
              <w:t>投标保证金的交纳方式：投标人可选择以下三种方式之一。</w:t>
            </w:r>
          </w:p>
          <w:p>
            <w:pPr>
              <w:snapToGrid w:val="0"/>
              <w:spacing w:line="400" w:lineRule="exact"/>
              <w:ind w:firstLine="420" w:firstLineChars="200"/>
            </w:pPr>
            <w:r>
              <w:rPr>
                <w:rFonts w:hint="eastAsia"/>
              </w:rPr>
              <w:t>方式一</w:t>
            </w:r>
          </w:p>
          <w:p>
            <w:pPr>
              <w:snapToGrid w:val="0"/>
              <w:spacing w:line="400" w:lineRule="exact"/>
              <w:ind w:firstLine="420" w:firstLineChars="200"/>
            </w:pPr>
            <w:r>
              <w:t>一、</w:t>
            </w:r>
            <w:r>
              <w:rPr>
                <w:rFonts w:hint="eastAsia"/>
              </w:rPr>
              <w:t>以电子投标保函形式交纳投标保证金</w:t>
            </w:r>
          </w:p>
          <w:p>
            <w:pPr>
              <w:snapToGrid w:val="0"/>
              <w:spacing w:line="400" w:lineRule="exact"/>
              <w:ind w:firstLine="420" w:firstLineChars="200"/>
            </w:pPr>
            <w:r>
              <w:rPr>
                <w:rFonts w:hint="eastAsia"/>
              </w:rPr>
              <w:t>1. 电子投标保函交纳形式及要求：投标人在投标截止时间前通过重庆市公共资源交易金融服务平台电子投标保函系统</w:t>
            </w:r>
            <w:r>
              <w:rPr>
                <w:rFonts w:hint="eastAsia" w:asciiTheme="minorEastAsia" w:hAnsiTheme="minorEastAsia" w:eastAsiaTheme="minorEastAsia" w:cstheme="minorEastAsia"/>
                <w:color w:val="auto"/>
                <w:szCs w:val="21"/>
                <w:highlight w:val="none"/>
              </w:rPr>
              <w:t>https://jrfw.cqggzy.com/，下同）</w:t>
            </w:r>
            <w:r>
              <w:rPr>
                <w:rFonts w:hint="eastAsia"/>
              </w:rPr>
              <w:t>向金融机构申请开具电子投标保函，电子投标保函应至少体现如下内容：①担保项目必须为本项目；②受益人必须为本项目招标人；③保函担保金额必须满足本项目要求；④保函生效时间必须在投标截止时间前，有效期限必须至少包含整个投标有效期；⑤保函须不可撤销且见索即付。</w:t>
            </w:r>
          </w:p>
          <w:p>
            <w:pPr>
              <w:snapToGrid w:val="0"/>
              <w:spacing w:line="400" w:lineRule="exact"/>
              <w:ind w:firstLine="420" w:firstLineChars="200"/>
            </w:pPr>
            <w:r>
              <w:rPr>
                <w:rFonts w:hint="eastAsia"/>
              </w:rPr>
              <w:t>若投标截止时间延期，则电子投标保函提交的截止时间和投标截止时间应当保持一致。</w:t>
            </w:r>
          </w:p>
          <w:p>
            <w:pPr>
              <w:snapToGrid w:val="0"/>
              <w:spacing w:line="400" w:lineRule="exact"/>
              <w:ind w:firstLine="420" w:firstLineChars="200"/>
            </w:pPr>
            <w:r>
              <w:rPr>
                <w:rFonts w:hint="eastAsia"/>
              </w:rPr>
              <w:t>不满足上述要求的电子</w:t>
            </w:r>
            <w:r>
              <w:t>投标保函无效。</w:t>
            </w:r>
          </w:p>
          <w:p>
            <w:pPr>
              <w:snapToGrid w:val="0"/>
              <w:spacing w:line="400" w:lineRule="exact"/>
              <w:ind w:firstLine="420" w:firstLineChars="200"/>
            </w:pPr>
            <w:r>
              <w:t>2</w:t>
            </w:r>
            <w:r>
              <w:rPr>
                <w:rFonts w:hint="eastAsia"/>
              </w:rPr>
              <w:t>. 以电子投标保函形式担保的</w:t>
            </w:r>
            <w:r>
              <w:t>投标保证金的金额：</w:t>
            </w:r>
            <w:r>
              <w:rPr>
                <w:u w:val="single"/>
              </w:rPr>
              <w:t xml:space="preserve">    </w:t>
            </w:r>
            <w:r>
              <w:rPr>
                <w:rFonts w:hint="eastAsia"/>
                <w:u w:val="single"/>
              </w:rPr>
              <w:t xml:space="preserve">  </w:t>
            </w:r>
            <w:r>
              <w:t>万元整（人民币）</w:t>
            </w:r>
            <w:r>
              <w:rPr>
                <w:rFonts w:hint="eastAsia"/>
              </w:rPr>
              <w:t>，重庆市工程建设领域招标投标守信激励对象名单（</w:t>
            </w:r>
            <w:r>
              <w:rPr>
                <w:rFonts w:hint="eastAsia" w:asciiTheme="minorEastAsia" w:hAnsiTheme="minorEastAsia" w:eastAsiaTheme="minorEastAsia" w:cstheme="minorEastAsia"/>
                <w:color w:val="auto"/>
                <w:highlight w:val="none"/>
              </w:rPr>
              <w:t>（http://ggzyjyjgj.cq.gov.cn/xyxx/moreinfo_blackList.html，</w:t>
            </w:r>
            <w:r>
              <w:rPr>
                <w:rFonts w:hint="eastAsia"/>
              </w:rPr>
              <w:t>以下简称红名单）中的投标人投标保证金金额为应缴纳金额的50%；联合体投标的，须联合体牵头人在红名单中。投标人是否属于红名单，以开标环节信用状况查询结果为准。</w:t>
            </w:r>
          </w:p>
          <w:p>
            <w:pPr>
              <w:snapToGrid w:val="0"/>
              <w:spacing w:line="400" w:lineRule="exact"/>
              <w:ind w:firstLine="420" w:firstLineChars="200"/>
            </w:pPr>
            <w:r>
              <w:rPr>
                <w:rFonts w:hint="eastAsia"/>
              </w:rPr>
              <w:t>[提示：投标保证金金额不超过该招标项目估算价或经批准的概算金额或最高限价的2%。]</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jc w:val="left"/>
              <w:rPr>
                <w:i/>
                <w:iCs/>
              </w:rPr>
            </w:pPr>
            <w:r>
              <w:rPr>
                <w:rFonts w:hint="eastAsia"/>
              </w:rPr>
              <w:t>[</w:t>
            </w:r>
            <w:r>
              <w:rPr>
                <w:rFonts w:hint="eastAsia"/>
                <w:i/>
                <w:iCs/>
              </w:rPr>
              <w:t>提示： 招标人可自行决定是否设置上述条款，若需要设置，则在上述选项中只可选择其中一项进行设置]。</w:t>
            </w:r>
          </w:p>
          <w:p>
            <w:pPr>
              <w:ind w:firstLine="420" w:firstLineChars="200"/>
            </w:pPr>
            <w:r>
              <w:rPr>
                <w:rFonts w:hint="eastAsia"/>
              </w:rPr>
              <w:t>3. 电子投标保函</w:t>
            </w:r>
          </w:p>
          <w:p>
            <w:pPr>
              <w:snapToGrid w:val="0"/>
              <w:spacing w:line="400" w:lineRule="exact"/>
              <w:ind w:firstLine="420" w:firstLineChars="200"/>
            </w:pPr>
            <w:r>
              <w:rPr>
                <w:rFonts w:hint="eastAsia"/>
              </w:rPr>
              <w:t>以重庆市公共资源交易中心开标现场展示的电子投标保函交纳情况为准，投标人在投标时无须再提供电子投标保函的相关资料。</w:t>
            </w:r>
          </w:p>
          <w:p>
            <w:pPr>
              <w:snapToGrid w:val="0"/>
              <w:spacing w:line="400" w:lineRule="exact"/>
              <w:ind w:firstLine="420" w:firstLineChars="200"/>
            </w:pPr>
            <w:r>
              <w:rPr>
                <w:rFonts w:hint="eastAsia"/>
              </w:rPr>
              <w:t>4.</w:t>
            </w:r>
            <w:r>
              <w:t xml:space="preserve"> </w:t>
            </w:r>
            <w:r>
              <w:rPr>
                <w:rFonts w:hint="eastAsia"/>
              </w:rPr>
              <w:t>若投标人为联合体，则由联合体牵头人提供电子投标保函。</w:t>
            </w:r>
          </w:p>
          <w:p>
            <w:pPr>
              <w:snapToGrid w:val="0"/>
              <w:spacing w:line="400" w:lineRule="exact"/>
              <w:ind w:firstLine="420" w:firstLineChars="200"/>
            </w:pPr>
            <w:r>
              <w:t>二、</w:t>
            </w:r>
            <w:r>
              <w:rPr>
                <w:rFonts w:hint="eastAsia"/>
              </w:rPr>
              <w:t>电子</w:t>
            </w:r>
            <w:r>
              <w:t>投标保函的</w:t>
            </w:r>
            <w:r>
              <w:rPr>
                <w:rFonts w:hint="eastAsia"/>
              </w:rPr>
              <w:t>注销</w:t>
            </w:r>
          </w:p>
          <w:p>
            <w:pPr>
              <w:snapToGrid w:val="0"/>
              <w:spacing w:line="400" w:lineRule="exact"/>
              <w:ind w:firstLine="420" w:firstLineChars="200"/>
            </w:pPr>
            <w:r>
              <w:rPr>
                <w:rFonts w:hint="eastAsia"/>
              </w:rPr>
              <w:t>招标人应当在法定时间内确定中标人。招标人应当在中标通知书发出后2个工作日内将中标通知书和电子投标保函退还通知抄告重庆市公共资源交易中心，重庆市公共资源交易中心在收到电子投标保函退还通知后2个工作日内，将保函注销信息推送给重庆市公共资源交易金融服务平台，由保函出具机构注销除中标人和中标候选人以外的投标人电子投标保函。</w:t>
            </w:r>
          </w:p>
          <w:p>
            <w:pPr>
              <w:spacing w:line="400" w:lineRule="exact"/>
              <w:ind w:firstLine="420" w:firstLineChars="200"/>
            </w:pPr>
            <w:r>
              <w:rPr>
                <w:rFonts w:hint="eastAsia"/>
              </w:rPr>
              <w:t>招标人应当在法定时间内和中标人签订合同。招标人应当在合同生效后2个工作日内将签订的合同和电子投标保函退还通知抄告重庆市公共资源交易中心，重庆市公共资源交易中心在收到电子投标保函退还通知后2个工作日内，将保函注销信息推送给重庆市公共资源交易金融服务平台，由保函出具机构注销中标人和中标候选人的电子投标保函。</w:t>
            </w:r>
          </w:p>
          <w:p>
            <w:pPr>
              <w:snapToGrid w:val="0"/>
              <w:spacing w:line="400" w:lineRule="exact"/>
              <w:ind w:firstLine="420" w:firstLineChars="200"/>
            </w:pPr>
            <w:r>
              <w:rPr>
                <w:rFonts w:hint="eastAsia"/>
              </w:rPr>
              <w:t>方式二</w:t>
            </w:r>
          </w:p>
          <w:p>
            <w:pPr>
              <w:snapToGrid w:val="0"/>
              <w:spacing w:line="400" w:lineRule="exact"/>
              <w:ind w:firstLine="420" w:firstLineChars="200"/>
            </w:pPr>
            <w:r>
              <w:rPr>
                <w:rFonts w:hint="eastAsia"/>
              </w:rPr>
              <w:t>一、以转账支票或电汇形式交纳投标保证金</w:t>
            </w:r>
          </w:p>
          <w:p>
            <w:pPr>
              <w:snapToGrid w:val="0"/>
              <w:spacing w:line="400" w:lineRule="exact"/>
              <w:ind w:firstLine="420" w:firstLineChars="200"/>
            </w:pPr>
            <w:r>
              <w:rPr>
                <w:rFonts w:hint="eastAsia"/>
              </w:rPr>
              <w:t>1、投标保证金交款形式及要求：投标人从企业的基本账户（开户行）在投标截止时间前通过转账支票直接划付或以电汇方式直接划付至指定的投标保证金账户。若投标截止时间延期，则投标保证金提交的截止时间和投标截止时间应当保持一致。不满足上述要求的投标保证金</w:t>
            </w:r>
            <w:r>
              <w:t>无效。</w:t>
            </w:r>
          </w:p>
          <w:p>
            <w:pPr>
              <w:snapToGrid w:val="0"/>
              <w:spacing w:line="400" w:lineRule="exact"/>
              <w:ind w:firstLine="420" w:firstLineChars="200"/>
            </w:pPr>
            <w:r>
              <w:rPr>
                <w:rFonts w:hint="eastAsia"/>
              </w:rPr>
              <w:t>投标人自行考虑汇入时间风险，如同城汇入、异地汇入、跨行汇入的时间要求。</w:t>
            </w:r>
          </w:p>
          <w:p>
            <w:pPr>
              <w:snapToGrid w:val="0"/>
              <w:spacing w:line="400" w:lineRule="exact"/>
              <w:ind w:firstLine="420" w:firstLineChars="200"/>
            </w:pPr>
            <w:r>
              <w:rPr>
                <w:rFonts w:hint="eastAsia"/>
              </w:rPr>
              <w:t>2、以转账支票或电汇形式提交投标保证金的金额：</w:t>
            </w:r>
            <w:r>
              <w:rPr>
                <w:rFonts w:hint="eastAsia"/>
                <w:u w:val="single"/>
              </w:rPr>
              <w:t xml:space="preserve">    </w:t>
            </w:r>
            <w:r>
              <w:rPr>
                <w:rFonts w:hint="eastAsia"/>
              </w:rPr>
              <w:t>万元整（人民币），红名单中的投标人投标保证金金额为应缴纳金额的50%；联合体投标的，须联合体牵头人在红名单中。投标人是否属于红名单，以开标环节信用状况查询结果为准。</w:t>
            </w:r>
          </w:p>
          <w:p>
            <w:pPr>
              <w:spacing w:line="400" w:lineRule="exact"/>
              <w:ind w:firstLine="420" w:firstLineChars="200"/>
              <w:rPr>
                <w:i/>
                <w:iCs/>
              </w:rPr>
            </w:pPr>
            <w:r>
              <w:rPr>
                <w:rFonts w:hint="eastAsia"/>
                <w:i/>
                <w:iCs/>
              </w:rPr>
              <w:t>[提示：投标保证金金额不超过该招标项目估算价或经批准的概算金额或最高限价的2%。]</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pPr>
            <w:r>
              <w:rPr>
                <w:rFonts w:hint="eastAsia"/>
              </w:rPr>
              <w:t>[提示： 招标人可自行决定是否设置上述条款，若需要设置，则在上述选项中只可选择其中一项进行设置]。</w:t>
            </w:r>
          </w:p>
          <w:p>
            <w:pPr>
              <w:snapToGrid w:val="0"/>
              <w:spacing w:line="400" w:lineRule="exact"/>
              <w:ind w:firstLine="420" w:firstLineChars="200"/>
            </w:pPr>
            <w:r>
              <w:rPr>
                <w:rFonts w:hint="eastAsia"/>
              </w:rPr>
              <w:t>3、投标保证金账户及账号（任选其一）：</w:t>
            </w:r>
          </w:p>
          <w:p>
            <w:pPr>
              <w:snapToGrid w:val="0"/>
              <w:spacing w:line="400" w:lineRule="exact"/>
              <w:ind w:firstLine="420" w:firstLineChars="200"/>
            </w:pPr>
            <w:r>
              <w:rPr>
                <w:rFonts w:hint="eastAsia"/>
              </w:rPr>
              <w:t>详见重庆市公共资源交易网对应本项目招标公告信息栏中的保证金信息。</w:t>
            </w:r>
          </w:p>
          <w:p>
            <w:pPr>
              <w:snapToGrid w:val="0"/>
              <w:spacing w:line="400" w:lineRule="exact"/>
              <w:ind w:firstLine="420" w:firstLineChars="200"/>
            </w:pPr>
            <w:r>
              <w:rPr>
                <w:rFonts w:hint="eastAsia"/>
              </w:rPr>
              <w:t>投标保证金以重庆市公共资源交易中心开标现场展示的保证金交纳情况为准。投标人须在投标文件资格审查部分“（八）其他资料”中提供企业基本账户开户证明文件。</w:t>
            </w:r>
          </w:p>
          <w:p>
            <w:pPr>
              <w:snapToGrid w:val="0"/>
              <w:spacing w:line="400" w:lineRule="exact"/>
              <w:ind w:firstLine="420" w:firstLineChars="200"/>
            </w:pPr>
            <w:r>
              <w:rPr>
                <w:rFonts w:hint="eastAsia"/>
              </w:rPr>
              <w:t xml:space="preserve">4、投标人必须在付款凭证备注栏中注明是“ </w:t>
            </w:r>
            <w:r>
              <w:rPr>
                <w:rFonts w:hint="eastAsia"/>
                <w:u w:val="single"/>
              </w:rPr>
              <w:t xml:space="preserve">       </w:t>
            </w:r>
            <w:r>
              <w:rPr>
                <w:rFonts w:hint="eastAsia"/>
              </w:rPr>
              <w:t>项目投标保证金”。项目名称可简写成：</w:t>
            </w:r>
            <w:r>
              <w:rPr>
                <w:rFonts w:hint="eastAsia"/>
                <w:u w:val="single"/>
              </w:rPr>
              <w:t xml:space="preserve">        </w:t>
            </w:r>
            <w:r>
              <w:rPr>
                <w:rFonts w:hint="eastAsia"/>
              </w:rPr>
              <w:t>。</w:t>
            </w:r>
          </w:p>
          <w:p>
            <w:pPr>
              <w:snapToGrid w:val="0"/>
              <w:spacing w:line="400" w:lineRule="exact"/>
              <w:ind w:firstLine="420" w:firstLineChars="200"/>
            </w:pPr>
            <w:r>
              <w:rPr>
                <w:rFonts w:hint="eastAsia"/>
              </w:rPr>
              <w:t>5、投标保证金有效期与投标有效期一致。</w:t>
            </w:r>
          </w:p>
          <w:p>
            <w:pPr>
              <w:snapToGrid w:val="0"/>
              <w:spacing w:line="400" w:lineRule="exact"/>
              <w:ind w:firstLine="420" w:firstLineChars="200"/>
            </w:pPr>
            <w:r>
              <w:rPr>
                <w:rFonts w:hint="eastAsia"/>
              </w:rPr>
              <w:t>6、根据重庆市公共资源交易中心《关于开展公共资源交易市场主体信息登记工作的公告》的要求，投标人在开标前需在重庆市公共资源交易网办理市场主体信息登记手续。因故未能提前办理市场主体信息登记或更新的，评标过程中由评标委员会根据投标人在投标文件中提供的企业基本账户开户证明文件核实其投标保证金是否由基本账户转入，未从基本账户转入的，由评标委员会作否决投标处理。</w:t>
            </w:r>
          </w:p>
          <w:p>
            <w:pPr>
              <w:snapToGrid w:val="0"/>
              <w:spacing w:line="400" w:lineRule="exact"/>
              <w:ind w:firstLine="420" w:firstLineChars="200"/>
            </w:pPr>
            <w:r>
              <w:rPr>
                <w:rFonts w:hint="eastAsia"/>
              </w:rPr>
              <w:t>7、若投标人为联合体，则由联合体牵头人提交投标保证金。</w:t>
            </w:r>
          </w:p>
          <w:p>
            <w:pPr>
              <w:snapToGrid w:val="0"/>
              <w:spacing w:line="400" w:lineRule="exact"/>
              <w:ind w:firstLine="420" w:firstLineChars="200"/>
            </w:pPr>
            <w:r>
              <w:rPr>
                <w:rFonts w:hint="eastAsia"/>
              </w:rPr>
              <w:t>二、投标保证金的退还</w:t>
            </w:r>
          </w:p>
          <w:p>
            <w:pPr>
              <w:snapToGrid w:val="0"/>
              <w:spacing w:line="400" w:lineRule="exact"/>
              <w:ind w:firstLine="420" w:firstLineChars="200"/>
            </w:pPr>
            <w:r>
              <w:rPr>
                <w:rFonts w:hint="eastAsia"/>
              </w:rPr>
              <w:t>招标人应当在法定时间内确定中标人。招标人应当在中标通知书发出后2个工作日内将中标通知书和保证金退还通知抄告重庆市公共资源交易中心，重庆市公共资源交易中心在收到保证金退还通知后2个工作日内，向除中标人和中标候选人以外的投标人，退还投标保证金及银行同期活期存款利息。</w:t>
            </w:r>
          </w:p>
          <w:p>
            <w:pPr>
              <w:snapToGrid w:val="0"/>
              <w:spacing w:line="400" w:lineRule="exact"/>
              <w:ind w:firstLine="420" w:firstLineChars="200"/>
            </w:pPr>
            <w:r>
              <w:rPr>
                <w:rFonts w:hint="eastAsia"/>
              </w:rPr>
              <w:t>招标人应当在法定时间内和中标人签订合同。招标人应当在合同生效后2个工作日内将签订的合同和保证金退还通知抄告重庆市公共资源交易中心，重庆市公共资源交易中心在收到保证金退还通知后2个工作日内，向中标人和中标候选人退还投标保证金及银行同期活期存款利息。</w:t>
            </w:r>
          </w:p>
          <w:p>
            <w:pPr>
              <w:snapToGrid w:val="0"/>
              <w:spacing w:line="400" w:lineRule="exact"/>
              <w:ind w:firstLine="420" w:firstLineChars="200"/>
              <w:jc w:val="left"/>
            </w:pPr>
            <w:r>
              <w:rPr>
                <w:rFonts w:hint="eastAsia"/>
              </w:rPr>
              <w:t>投标保证金专用账户由重庆市公共资源交易中心</w:t>
            </w:r>
            <w:r>
              <w:rPr>
                <w:rFonts w:hint="eastAsia"/>
                <w:lang w:val="en-US" w:eastAsia="zh-CN"/>
              </w:rPr>
              <w:t>指定</w:t>
            </w:r>
            <w:r>
              <w:rPr>
                <w:rFonts w:hint="eastAsia"/>
              </w:rPr>
              <w:t>，关于保证金相关情况的问题请咨询重庆市公共资源交易中心，联系电话023-     。</w:t>
            </w:r>
          </w:p>
          <w:p>
            <w:pPr>
              <w:snapToGrid w:val="0"/>
              <w:spacing w:line="400" w:lineRule="exact"/>
              <w:ind w:firstLine="420" w:firstLineChars="200"/>
            </w:pPr>
          </w:p>
          <w:p>
            <w:pPr>
              <w:snapToGrid w:val="0"/>
              <w:spacing w:line="400" w:lineRule="exact"/>
              <w:ind w:firstLine="420" w:firstLineChars="200"/>
            </w:pPr>
            <w:r>
              <w:rPr>
                <w:rFonts w:hint="eastAsia"/>
              </w:rPr>
              <w:t>方式三</w:t>
            </w:r>
          </w:p>
          <w:p>
            <w:pPr>
              <w:snapToGrid w:val="0"/>
              <w:spacing w:line="400" w:lineRule="exact"/>
              <w:ind w:firstLine="420" w:firstLineChars="200"/>
            </w:pPr>
            <w:r>
              <w:t>一、</w:t>
            </w:r>
            <w:r>
              <w:rPr>
                <w:rFonts w:hint="eastAsia"/>
              </w:rPr>
              <w:t>以纸质投标保函形式交纳投标保证金</w:t>
            </w:r>
          </w:p>
          <w:p>
            <w:pPr>
              <w:snapToGrid w:val="0"/>
              <w:spacing w:line="400" w:lineRule="exact"/>
              <w:ind w:firstLine="420" w:firstLineChars="200"/>
            </w:pPr>
            <w:r>
              <w:t>1</w:t>
            </w:r>
            <w:r>
              <w:rPr>
                <w:rFonts w:hint="eastAsia"/>
              </w:rPr>
              <w:t>. 纸质投标保函</w:t>
            </w:r>
            <w:r>
              <w:t>交纳形式及要求：</w:t>
            </w:r>
          </w:p>
          <w:p>
            <w:pPr>
              <w:snapToGrid w:val="0"/>
              <w:spacing w:line="400" w:lineRule="exact"/>
              <w:ind w:firstLine="420" w:firstLineChars="200"/>
            </w:pPr>
            <w:r>
              <w:rPr>
                <w:rFonts w:hint="eastAsia"/>
              </w:rPr>
              <w:t>一、以纸质投标保函形式交纳投标保证金</w:t>
            </w:r>
          </w:p>
          <w:p>
            <w:pPr>
              <w:snapToGrid w:val="0"/>
              <w:spacing w:line="400" w:lineRule="exact"/>
              <w:ind w:firstLine="420" w:firstLineChars="200"/>
            </w:pPr>
            <w:r>
              <w:rPr>
                <w:rFonts w:hint="eastAsia"/>
              </w:rPr>
              <w:t>1. 纸质投标保函交纳形式及要求：</w:t>
            </w:r>
          </w:p>
          <w:p>
            <w:pPr>
              <w:snapToGrid w:val="0"/>
              <w:spacing w:line="400" w:lineRule="exact"/>
              <w:ind w:firstLine="420" w:firstLineChars="200"/>
            </w:pPr>
            <w:r>
              <w:rPr>
                <w:rFonts w:hint="eastAsia"/>
              </w:rPr>
              <w:t>（1）缴纳形式：纸质投标保函包括银行保函、保证保险和担保保函，其示范文本详见第八章投标文件格式。投标人提交的纸质投标保函应严格执行其示范文本，不得对示范文本中的实质性内容进行修改。</w:t>
            </w:r>
          </w:p>
          <w:p>
            <w:pPr>
              <w:snapToGrid w:val="0"/>
              <w:spacing w:line="400" w:lineRule="exact"/>
              <w:ind w:firstLine="420" w:firstLineChars="200"/>
            </w:pPr>
            <w:r>
              <w:rPr>
                <w:rFonts w:hint="eastAsia"/>
              </w:rPr>
              <w:t>（2）具体要求：纸质投标保函的开立人应当是具有相应资格的银行、保险机构、融资担保公司，其信用资质、履约能力、担保能力、赔付流程、安全保密等应符合工程保函业务条件。纸质投标保函应合法合规，符合招投标行政监督部门、行业主管部门和金融监管部门的相关规定，满足招标文件约定要求。投标人应选择在渝依法设立总部或者设有分支机构的金融机构开具纸质投标保函。投标人对所提交的纸质投标保函的真实性、合法性、有效性负责。</w:t>
            </w:r>
          </w:p>
          <w:p>
            <w:pPr>
              <w:snapToGrid w:val="0"/>
              <w:spacing w:line="400" w:lineRule="exact"/>
              <w:ind w:firstLine="420" w:firstLineChars="200"/>
            </w:pPr>
            <w:r>
              <w:rPr>
                <w:rFonts w:hint="eastAsia"/>
              </w:rPr>
              <w:t>投标人须在投标文件资格审查部分“其他资料”中提供纸质投标保函扫描件，纸质投标保函原件应当于投标截止时间前在开标现场递交招标人保管。</w:t>
            </w:r>
          </w:p>
          <w:p>
            <w:pPr>
              <w:snapToGrid w:val="0"/>
              <w:spacing w:line="400" w:lineRule="exact"/>
              <w:ind w:firstLine="420" w:firstLineChars="200"/>
            </w:pPr>
            <w:r>
              <w:rPr>
                <w:rFonts w:hint="eastAsia"/>
              </w:rPr>
              <w:t>若投标截止时间延期，则纸质投标保函递交的截止时间和投标截止时间保持一致。</w:t>
            </w:r>
          </w:p>
          <w:p>
            <w:pPr>
              <w:snapToGrid w:val="0"/>
              <w:spacing w:line="400" w:lineRule="exact"/>
              <w:ind w:firstLine="420" w:firstLineChars="200"/>
            </w:pPr>
            <w:r>
              <w:rPr>
                <w:rFonts w:hint="eastAsia"/>
              </w:rPr>
              <w:t>不满足上述要求的纸质</w:t>
            </w:r>
            <w:r>
              <w:t>投标保函无效。</w:t>
            </w:r>
          </w:p>
          <w:p>
            <w:pPr>
              <w:snapToGrid w:val="0"/>
              <w:spacing w:line="400" w:lineRule="exact"/>
              <w:ind w:firstLine="420" w:firstLineChars="200"/>
            </w:pPr>
            <w:r>
              <w:t>2</w:t>
            </w:r>
            <w:r>
              <w:rPr>
                <w:rFonts w:hint="eastAsia"/>
              </w:rPr>
              <w:t>. 以纸质投标保函形式担保的</w:t>
            </w:r>
            <w:r>
              <w:t>投标保证金的金额：</w:t>
            </w:r>
            <w:r>
              <w:rPr>
                <w:u w:val="single"/>
              </w:rPr>
              <w:t xml:space="preserve">    </w:t>
            </w:r>
            <w:r>
              <w:t>万元整（人民币）</w:t>
            </w:r>
            <w:r>
              <w:rPr>
                <w:rFonts w:hint="eastAsia"/>
              </w:rPr>
              <w:t>，红名单中的投标人投标保证金金额为应缴纳金额的50%；联合体投标的，须联合体牵头人在红名单中。投标人是否属于红名单，以开标环节信用状况查询结果为准。</w:t>
            </w:r>
          </w:p>
          <w:p>
            <w:pPr>
              <w:spacing w:line="400" w:lineRule="exact"/>
              <w:ind w:firstLine="420" w:firstLineChars="200"/>
            </w:pPr>
            <w:r>
              <w:rPr>
                <w:rFonts w:hint="eastAsia"/>
              </w:rPr>
              <w:t>[提示：投标保证金金额不超过该招标项目估算价或经批准的概算金额或最高限价的2%。]</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 xml:space="preserve"> 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pPr>
            <w:r>
              <w:rPr>
                <w:rFonts w:hint="eastAsia"/>
              </w:rPr>
              <w:t>□</w:t>
            </w:r>
            <w:r>
              <w:rPr>
                <w:rFonts w:hint="eastAsia" w:ascii="宋体" w:hAnsi="宋体" w:cs="宋体"/>
              </w:rPr>
              <w:t>对符合《关于印发中小企业划型标准规定的通知》（工信部联企业〔2011〕300号）规定的</w:t>
            </w:r>
            <w:r>
              <w:rPr>
                <w:rFonts w:hint="eastAsia"/>
                <w:u w:val="single"/>
              </w:rPr>
              <w:t xml:space="preserve">            </w:t>
            </w:r>
            <w:r>
              <w:rPr>
                <w:rFonts w:hint="eastAsia"/>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pPr>
            <w:r>
              <w:rPr>
                <w:rFonts w:hint="eastAsia"/>
                <w:i/>
                <w:iCs/>
              </w:rPr>
              <w:t>[提示： 招标人可自行决定是否设置上述条款，若需要设置，则在上述选项中只可选择其中一项进行设置]。</w:t>
            </w:r>
          </w:p>
          <w:p>
            <w:pPr>
              <w:snapToGrid w:val="0"/>
              <w:spacing w:line="400" w:lineRule="exact"/>
              <w:ind w:firstLine="420" w:firstLineChars="200"/>
            </w:pPr>
            <w:r>
              <w:rPr>
                <w:rFonts w:hint="eastAsia"/>
              </w:rPr>
              <w:t>3. 投标人须在纸质投标保函中注明在重庆市辖区范围内的核验地址和核验方式，并确保其递交的纸质投标保函能在开立人在渝的总部或者分支机构进行核验。</w:t>
            </w:r>
          </w:p>
          <w:p>
            <w:pPr>
              <w:snapToGrid w:val="0"/>
              <w:spacing w:line="400" w:lineRule="exact"/>
              <w:ind w:firstLine="420" w:firstLineChars="200"/>
            </w:pPr>
            <w:r>
              <w:rPr>
                <w:rFonts w:hint="eastAsia"/>
              </w:rPr>
              <w:t>4. 投标人在开标现场递交的纸质投标保函原件应与投标文件中提供的纸质投标保函扫描件一致，否则由评标委员会作否决投标处理。</w:t>
            </w:r>
          </w:p>
          <w:p>
            <w:pPr>
              <w:snapToGrid w:val="0"/>
              <w:spacing w:line="400" w:lineRule="exact"/>
              <w:ind w:firstLine="420" w:firstLineChars="200"/>
            </w:pPr>
            <w:r>
              <w:rPr>
                <w:rFonts w:hint="eastAsia"/>
              </w:rPr>
              <w:t>5. 在发出中标通知书前，招标人应当对投标人（至少中标候选人或中标人）递交的纸质投标保函的真实性、合法性、有效性进行核验，对核验不合格或无法按纸质投标保函注明的核验地点、核验方式进行核验的，视为投标人未提交纸质投标保函，对已取得中标候选人资格或中标资格的投标人，按相关规定取消中标候选人资格或中标资格，给招标人造成损失的，投标人依法承担赔偿责任。投标人提交的纸质投标保函涉及弄虚作假或其他违法违规情形的，移送相关部门处理。</w:t>
            </w:r>
          </w:p>
          <w:p>
            <w:pPr>
              <w:snapToGrid w:val="0"/>
              <w:spacing w:line="400" w:lineRule="exact"/>
              <w:ind w:firstLine="420" w:firstLineChars="200"/>
            </w:pPr>
            <w:r>
              <w:rPr>
                <w:rFonts w:hint="eastAsia"/>
              </w:rPr>
              <w:t>6. 若投标人为联合体，则由联合体牵头人提供纸质投标保函。</w:t>
            </w:r>
          </w:p>
          <w:p>
            <w:pPr>
              <w:snapToGrid w:val="0"/>
              <w:spacing w:line="400" w:lineRule="exact"/>
              <w:ind w:firstLine="420" w:firstLineChars="200"/>
            </w:pPr>
            <w:r>
              <w:rPr>
                <w:rFonts w:hint="eastAsia"/>
              </w:rPr>
              <w:t>二、纸质投标保函的退还、注销</w:t>
            </w:r>
          </w:p>
          <w:p>
            <w:pPr>
              <w:snapToGrid w:val="0"/>
              <w:spacing w:line="400" w:lineRule="exact"/>
              <w:ind w:firstLine="420" w:firstLineChars="200"/>
            </w:pPr>
            <w:r>
              <w:rPr>
                <w:rFonts w:hint="eastAsia"/>
              </w:rPr>
              <w:t>招标人应当在法定时间内确定中标人，向中标人发出中标通知书，同时向除中标候选人以外的其他投标人退还纸质投标保函并书面通知相关金融机构本项目准予提前注销纸质投标保函。具体注销事宜由投标人与金融机构协商。</w:t>
            </w:r>
          </w:p>
          <w:p>
            <w:pPr>
              <w:snapToGrid w:val="0"/>
              <w:spacing w:line="400" w:lineRule="exact"/>
              <w:ind w:firstLine="420" w:firstLineChars="200"/>
              <w:jc w:val="left"/>
              <w:rPr>
                <w:rFonts w:hint="eastAsia"/>
              </w:rPr>
            </w:pPr>
            <w:r>
              <w:rPr>
                <w:rFonts w:hint="eastAsia"/>
              </w:rPr>
              <w:t>招标人应在法定时间内和中标人签订合同，并同时书面通知相关金融机构向中标人和其他中标候选人注销纸质投标保函。具体注销事宜由投标人与金融机构协商。</w:t>
            </w:r>
          </w:p>
          <w:p>
            <w:pPr>
              <w:snapToGrid w:val="0"/>
              <w:spacing w:line="400" w:lineRule="exact"/>
              <w:ind w:firstLine="420" w:firstLineChars="200"/>
              <w:jc w:val="left"/>
              <w:rPr>
                <w:rFonts w:ascii="宋体" w:hAnsi="宋体" w:cs="宋体"/>
              </w:rPr>
            </w:pPr>
            <w:r>
              <w:rPr>
                <w:rFonts w:hint="eastAsia" w:ascii="宋体" w:hAnsi="宋体" w:cs="宋体"/>
              </w:rPr>
              <w:t>□说明：1.中小微企业投标人如需免除投标保证金，须在投标文件资格审查部分“（八）其他资料”中提供《中小微企业声明函》（格式详见第八章）及相应证明材料。以联合体形式参与投标的，符合中小微企业认定标准的联合体成员单位需提供《中小微企业声明函》（格式详见第八章）及相应证明材料。</w:t>
            </w:r>
          </w:p>
          <w:p>
            <w:pPr>
              <w:pStyle w:val="2"/>
            </w:pPr>
            <w:r>
              <w:rPr>
                <w:rFonts w:hint="eastAsia" w:ascii="宋体" w:hAnsi="宋体" w:cs="宋体"/>
              </w:rPr>
              <w:t>2.提供了《中小微企业声明函》且未在规定时间内足额递交投标保证金的中标候选人，经查实不属于中小微企业的，将依照相关法律法规进行处理。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3.6</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是否允许递交</w:t>
            </w:r>
          </w:p>
          <w:p>
            <w:pPr>
              <w:snapToGrid w:val="0"/>
              <w:spacing w:after="93" w:afterLines="30" w:line="400" w:lineRule="exact"/>
              <w:jc w:val="center"/>
              <w:rPr>
                <w:rFonts w:ascii="宋体" w:hAnsi="宋体"/>
                <w:kern w:val="0"/>
                <w:szCs w:val="21"/>
              </w:rPr>
            </w:pPr>
            <w:r>
              <w:rPr>
                <w:rFonts w:ascii="宋体" w:hAnsi="宋体"/>
                <w:kern w:val="0"/>
                <w:szCs w:val="21"/>
              </w:rPr>
              <w:t>备选投标方案</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口不允许</w:t>
            </w:r>
          </w:p>
          <w:p>
            <w:pPr>
              <w:snapToGrid w:val="0"/>
              <w:spacing w:line="400" w:lineRule="exact"/>
              <w:ind w:firstLine="420" w:firstLineChars="200"/>
              <w:rPr>
                <w:rFonts w:ascii="宋体" w:hAnsi="宋体"/>
                <w:kern w:val="0"/>
                <w:szCs w:val="21"/>
              </w:rPr>
            </w:pPr>
            <w:r>
              <w:rPr>
                <w:rFonts w:ascii="宋体" w:hAnsi="宋体"/>
                <w:kern w:val="0"/>
                <w:szCs w:val="21"/>
              </w:rPr>
              <w:t>口允许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3.7.1</w:t>
            </w:r>
          </w:p>
        </w:tc>
        <w:tc>
          <w:tcPr>
            <w:tcW w:w="1436" w:type="dxa"/>
            <w:vAlign w:val="center"/>
          </w:tcPr>
          <w:p>
            <w:pPr>
              <w:snapToGrid w:val="0"/>
              <w:spacing w:after="93" w:afterLines="30" w:line="400" w:lineRule="exact"/>
              <w:jc w:val="center"/>
              <w:rPr>
                <w:rFonts w:ascii="宋体" w:hAnsi="宋体"/>
                <w:kern w:val="0"/>
                <w:szCs w:val="21"/>
              </w:rPr>
            </w:pPr>
            <w:r>
              <w:rPr>
                <w:rFonts w:hint="eastAsia" w:ascii="宋体" w:hAnsi="宋体"/>
                <w:kern w:val="0"/>
                <w:szCs w:val="21"/>
              </w:rPr>
              <w:t>投标文件格式要求</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编制投标文件时不得对第八章“投标文件格式”的相应要素作实质性修改，否则视为重大偏差，由评标委员会作否决投标处理。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3.7.3</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签名</w:t>
            </w:r>
            <w:r>
              <w:rPr>
                <w:rFonts w:ascii="宋体" w:hAnsi="宋体"/>
                <w:kern w:val="0"/>
                <w:szCs w:val="21"/>
              </w:rPr>
              <w:t>盖章要求</w:t>
            </w:r>
          </w:p>
        </w:tc>
        <w:tc>
          <w:tcPr>
            <w:tcW w:w="6698" w:type="dxa"/>
            <w:vAlign w:val="center"/>
          </w:tcPr>
          <w:p>
            <w:pPr>
              <w:snapToGrid w:val="0"/>
              <w:spacing w:line="400" w:lineRule="exact"/>
              <w:ind w:firstLine="420" w:firstLineChars="200"/>
              <w:rPr>
                <w:rFonts w:ascii="宋体" w:hAnsi="宋体"/>
                <w:szCs w:val="21"/>
              </w:rPr>
            </w:pPr>
            <w:r>
              <w:rPr>
                <w:rFonts w:hint="eastAsia" w:ascii="宋体" w:hAnsi="宋体"/>
                <w:szCs w:val="21"/>
              </w:rPr>
              <w:t>投标文件应使用专用的“新点投标文件制作软件（重庆版）”编制而成。第八章 投标文件格式要求法定代表人或其委托代理人</w:t>
            </w:r>
            <w:r>
              <w:rPr>
                <w:rFonts w:hint="eastAsia" w:ascii="宋体" w:hAnsi="宋体"/>
                <w:kern w:val="0"/>
                <w:szCs w:val="21"/>
              </w:rPr>
              <w:t>签名</w:t>
            </w:r>
            <w:r>
              <w:rPr>
                <w:rFonts w:hint="eastAsia" w:ascii="宋体" w:hAnsi="宋体"/>
                <w:szCs w:val="21"/>
              </w:rPr>
              <w:t>（或盖章）的须齐全，</w:t>
            </w:r>
            <w:r>
              <w:rPr>
                <w:rFonts w:hint="eastAsia" w:asciiTheme="minorEastAsia" w:hAnsiTheme="minorEastAsia" w:eastAsiaTheme="minorEastAsia" w:cstheme="minorEastAsia"/>
                <w:szCs w:val="21"/>
              </w:rPr>
              <w:t>要求签名的，签名采用手写签名或签章或加盖CA数字证书均可，</w:t>
            </w:r>
            <w:r>
              <w:rPr>
                <w:rFonts w:hint="eastAsia" w:ascii="宋体" w:hAnsi="宋体"/>
                <w:szCs w:val="21"/>
              </w:rPr>
              <w:t>要求加盖单位法人章的，应使用 CA 数字证书加盖投标人的单位电子印章。</w:t>
            </w:r>
          </w:p>
          <w:p>
            <w:pPr>
              <w:snapToGrid w:val="0"/>
              <w:spacing w:line="400" w:lineRule="exact"/>
              <w:ind w:firstLine="420" w:firstLineChars="200"/>
              <w:rPr>
                <w:rFonts w:ascii="宋体" w:hAnsi="宋体"/>
                <w:szCs w:val="21"/>
              </w:rPr>
            </w:pPr>
            <w:r>
              <w:rPr>
                <w:rFonts w:hint="eastAsia" w:ascii="宋体" w:hAnsi="宋体"/>
                <w:szCs w:val="21"/>
              </w:rPr>
              <w:t>若投标单位为联合体，则联合体协议书中各联合体成员单位</w:t>
            </w:r>
            <w:r>
              <w:rPr>
                <w:rFonts w:hint="eastAsia" w:ascii="宋体" w:hAnsi="宋体"/>
                <w:kern w:val="0"/>
                <w:szCs w:val="21"/>
              </w:rPr>
              <w:t>签名</w:t>
            </w:r>
            <w:r>
              <w:rPr>
                <w:rFonts w:hint="eastAsia" w:ascii="宋体" w:hAnsi="宋体"/>
                <w:szCs w:val="21"/>
              </w:rPr>
              <w:t>（或盖章）须齐全，要求各联合体成员盖单位法人章的，各联合体成员盖章须齐全；联合体协议书以外的投标文件格式中，要求法定代表人或其委托代理人</w:t>
            </w:r>
            <w:r>
              <w:rPr>
                <w:rFonts w:hint="eastAsia" w:ascii="宋体" w:hAnsi="宋体"/>
                <w:kern w:val="0"/>
                <w:szCs w:val="21"/>
              </w:rPr>
              <w:t>签名</w:t>
            </w:r>
            <w:r>
              <w:rPr>
                <w:rFonts w:hint="eastAsia" w:ascii="宋体" w:hAnsi="宋体"/>
                <w:szCs w:val="21"/>
              </w:rPr>
              <w:t>（或盖章）的均由联合体牵头人法定代表人或其委托代理人</w:t>
            </w:r>
            <w:r>
              <w:rPr>
                <w:rFonts w:hint="eastAsia" w:ascii="宋体" w:hAnsi="宋体"/>
                <w:kern w:val="0"/>
                <w:szCs w:val="21"/>
              </w:rPr>
              <w:t>签名</w:t>
            </w:r>
            <w:r>
              <w:rPr>
                <w:rFonts w:hint="eastAsia" w:ascii="宋体" w:hAnsi="宋体"/>
                <w:szCs w:val="21"/>
              </w:rPr>
              <w:t>（或盖章），要求投标人加盖单位法人章的，均由联合体牵头人使用 CA 数字证书加盖其单位电子印章。</w:t>
            </w:r>
          </w:p>
          <w:p>
            <w:pPr>
              <w:snapToGrid w:val="0"/>
              <w:spacing w:line="400" w:lineRule="exact"/>
              <w:ind w:firstLine="420" w:firstLineChars="200"/>
              <w:rPr>
                <w:rFonts w:ascii="宋体" w:hAnsi="宋体"/>
                <w:szCs w:val="21"/>
              </w:rPr>
            </w:pPr>
            <w:r>
              <w:rPr>
                <w:rFonts w:hint="eastAsia" w:ascii="宋体" w:hAnsi="宋体"/>
                <w:szCs w:val="21"/>
              </w:rPr>
              <w:t>未按上述规定执行的，交由评标委员会作否决投标处理。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3.7.4</w:t>
            </w:r>
          </w:p>
        </w:tc>
        <w:tc>
          <w:tcPr>
            <w:tcW w:w="1436" w:type="dxa"/>
            <w:vAlign w:val="center"/>
          </w:tcPr>
          <w:p>
            <w:pPr>
              <w:snapToGrid w:val="0"/>
              <w:spacing w:line="400" w:lineRule="exact"/>
              <w:rPr>
                <w:rFonts w:ascii="宋体" w:hAnsi="宋体"/>
                <w:spacing w:val="-6"/>
                <w:kern w:val="0"/>
                <w:szCs w:val="21"/>
              </w:rPr>
            </w:pPr>
            <w:r>
              <w:rPr>
                <w:rFonts w:ascii="宋体" w:hAnsi="宋体"/>
                <w:spacing w:val="-6"/>
                <w:kern w:val="0"/>
                <w:szCs w:val="21"/>
              </w:rPr>
              <w:t>投标文件的份数</w:t>
            </w:r>
          </w:p>
        </w:tc>
        <w:tc>
          <w:tcPr>
            <w:tcW w:w="6698" w:type="dxa"/>
            <w:vAlign w:val="center"/>
          </w:tcPr>
          <w:p>
            <w:pPr>
              <w:autoSpaceDE w:val="0"/>
              <w:autoSpaceDN w:val="0"/>
              <w:adjustRightInd w:val="0"/>
              <w:snapToGrid w:val="0"/>
              <w:spacing w:after="93" w:afterLines="30" w:line="400" w:lineRule="exact"/>
              <w:ind w:firstLine="420" w:firstLineChars="200"/>
              <w:rPr>
                <w:rFonts w:ascii="宋体" w:hAnsi="宋体"/>
                <w:i/>
                <w:kern w:val="0"/>
                <w:szCs w:val="21"/>
              </w:rPr>
            </w:pPr>
            <w:r>
              <w:rPr>
                <w:rFonts w:hint="eastAsia" w:ascii="宋体" w:hAnsi="宋体"/>
                <w:kern w:val="0"/>
                <w:szCs w:val="21"/>
              </w:rPr>
              <w:t>本工程采用全流程电子招标投标，投标人提供的投标文件为：加密电子投标文件（网上递交）一份。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3.7.5</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编制</w:t>
            </w:r>
            <w:r>
              <w:rPr>
                <w:rFonts w:ascii="宋体" w:hAnsi="宋体"/>
                <w:kern w:val="0"/>
                <w:szCs w:val="21"/>
              </w:rPr>
              <w:t>要求</w:t>
            </w:r>
          </w:p>
        </w:tc>
        <w:tc>
          <w:tcPr>
            <w:tcW w:w="6698" w:type="dxa"/>
            <w:vAlign w:val="center"/>
          </w:tcPr>
          <w:p>
            <w:pPr>
              <w:adjustRightInd w:val="0"/>
              <w:snapToGrid w:val="0"/>
              <w:spacing w:line="400" w:lineRule="exact"/>
              <w:ind w:firstLine="420" w:firstLineChars="200"/>
              <w:rPr>
                <w:rFonts w:ascii="宋体" w:hAnsi="宋体"/>
                <w:i/>
                <w:szCs w:val="21"/>
              </w:rPr>
            </w:pPr>
            <w:r>
              <w:rPr>
                <w:rFonts w:ascii="宋体" w:hAnsi="宋体"/>
                <w:i/>
                <w:szCs w:val="21"/>
              </w:rPr>
              <w:t>[提示：适用于电子标暗标</w:t>
            </w:r>
            <w:r>
              <w:rPr>
                <w:rFonts w:hint="eastAsia" w:ascii="宋体" w:hAnsi="宋体"/>
                <w:i/>
                <w:szCs w:val="21"/>
              </w:rPr>
              <w:t>编制</w:t>
            </w:r>
            <w:r>
              <w:rPr>
                <w:rFonts w:ascii="宋体" w:hAnsi="宋体"/>
                <w:i/>
                <w:szCs w:val="21"/>
              </w:rPr>
              <w:t>要求]</w:t>
            </w:r>
          </w:p>
          <w:p>
            <w:pPr>
              <w:adjustRightInd w:val="0"/>
              <w:snapToGrid w:val="0"/>
              <w:spacing w:line="400" w:lineRule="exact"/>
              <w:ind w:firstLine="420" w:firstLineChars="200"/>
              <w:rPr>
                <w:rFonts w:ascii="宋体" w:hAnsi="宋体"/>
                <w:szCs w:val="21"/>
              </w:rPr>
            </w:pPr>
            <w:r>
              <w:rPr>
                <w:rFonts w:hint="eastAsia" w:ascii="宋体" w:hAnsi="宋体"/>
                <w:szCs w:val="21"/>
              </w:rPr>
              <w:t>具体要求：</w:t>
            </w:r>
          </w:p>
          <w:p>
            <w:pPr>
              <w:adjustRightInd w:val="0"/>
              <w:snapToGrid w:val="0"/>
              <w:spacing w:line="400" w:lineRule="exact"/>
              <w:ind w:firstLine="420" w:firstLineChars="200"/>
              <w:rPr>
                <w:rFonts w:ascii="宋体" w:hAnsi="宋体"/>
                <w:szCs w:val="21"/>
              </w:rPr>
            </w:pPr>
            <w:r>
              <w:rPr>
                <w:rFonts w:hint="eastAsia" w:ascii="宋体" w:hAnsi="宋体"/>
                <w:szCs w:val="21"/>
              </w:rPr>
              <w:t>（1）投标函部分</w:t>
            </w:r>
          </w:p>
          <w:p>
            <w:pPr>
              <w:adjustRightInd w:val="0"/>
              <w:snapToGrid w:val="0"/>
              <w:spacing w:line="400" w:lineRule="exact"/>
              <w:ind w:firstLine="420" w:firstLineChars="200"/>
              <w:rPr>
                <w:rFonts w:ascii="宋体" w:hAnsi="宋体"/>
                <w:szCs w:val="21"/>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p>
            <w:pPr>
              <w:adjustRightInd w:val="0"/>
              <w:snapToGrid w:val="0"/>
              <w:spacing w:line="400" w:lineRule="exact"/>
              <w:ind w:firstLine="420" w:firstLineChars="200"/>
              <w:rPr>
                <w:rFonts w:ascii="宋体" w:hAnsi="宋体"/>
                <w:szCs w:val="21"/>
              </w:rPr>
            </w:pPr>
            <w:r>
              <w:rPr>
                <w:rFonts w:hint="eastAsia" w:ascii="宋体" w:hAnsi="宋体"/>
                <w:szCs w:val="21"/>
              </w:rPr>
              <w:t>（2）经济部分</w:t>
            </w:r>
          </w:p>
          <w:p>
            <w:pPr>
              <w:adjustRightInd w:val="0"/>
              <w:snapToGrid w:val="0"/>
              <w:spacing w:line="400" w:lineRule="exact"/>
              <w:ind w:firstLine="420" w:firstLineChars="200"/>
              <w:rPr>
                <w:rFonts w:ascii="宋体" w:hAnsi="宋体"/>
                <w:szCs w:val="21"/>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p>
            <w:pPr>
              <w:numPr>
                <w:ilvl w:val="0"/>
                <w:numId w:val="1"/>
              </w:numPr>
              <w:adjustRightInd w:val="0"/>
              <w:snapToGrid w:val="0"/>
              <w:spacing w:line="400" w:lineRule="exact"/>
              <w:ind w:firstLine="420" w:firstLineChars="200"/>
              <w:rPr>
                <w:rFonts w:hint="eastAsia" w:ascii="宋体" w:hAnsi="宋体"/>
                <w:szCs w:val="21"/>
                <w:lang w:val="en-US" w:eastAsia="zh-CN"/>
              </w:rPr>
            </w:pPr>
            <w:r>
              <w:rPr>
                <w:rFonts w:hint="eastAsia" w:ascii="宋体" w:hAnsi="宋体"/>
                <w:szCs w:val="21"/>
                <w:lang w:val="en-US" w:eastAsia="zh-CN"/>
              </w:rPr>
              <w:t>商务部分（如有）</w:t>
            </w:r>
          </w:p>
          <w:p>
            <w:pPr>
              <w:adjustRightInd w:val="0"/>
              <w:snapToGrid w:val="0"/>
              <w:spacing w:line="400" w:lineRule="exact"/>
              <w:ind w:firstLine="420" w:firstLineChars="200"/>
              <w:rPr>
                <w:rFonts w:hint="default"/>
                <w:lang w:val="en-US" w:eastAsia="zh-CN"/>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p>
            <w:pPr>
              <w:adjustRightInd w:val="0"/>
              <w:snapToGrid w:val="0"/>
              <w:spacing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）技术部分</w:t>
            </w:r>
            <w:r>
              <w:rPr>
                <w:rFonts w:hint="eastAsia" w:ascii="宋体" w:hAnsi="宋体"/>
                <w:iCs/>
                <w:szCs w:val="21"/>
              </w:rPr>
              <w:t>（如有）</w:t>
            </w:r>
          </w:p>
          <w:p>
            <w:pPr>
              <w:adjustRightInd w:val="0"/>
              <w:snapToGrid w:val="0"/>
              <w:spacing w:line="400" w:lineRule="exact"/>
              <w:ind w:firstLine="420" w:firstLineChars="200"/>
              <w:rPr>
                <w:rFonts w:ascii="宋体" w:hAnsi="宋体"/>
                <w:szCs w:val="21"/>
              </w:rPr>
            </w:pPr>
            <w:r>
              <w:rPr>
                <w:rFonts w:hint="eastAsia" w:ascii="宋体" w:hAnsi="宋体"/>
                <w:szCs w:val="21"/>
              </w:rPr>
              <w:t>电子投标文件技术暗标不设封面，整个《技术方案》均不得出现白页和倒页；不得出现与本工程无关的内容；不得显示与投标人企业有关的任何信息；《技术方案》文本部分的文字采用四号仿宋字体，文本部分采用A4页面；图表内的字体、字号大小不限，图表部分采用A3或A4页面；文字、图表不得使用彩色和不得编制页码。违反上述任何一项，采用经评审的最低投标价法的其投标文件《技术方案》符合性评审不合格，由评标委员会作否决投标处理；采用综合评估法的其投标文件《技术方案》部分为零分。</w:t>
            </w:r>
          </w:p>
          <w:p>
            <w:pPr>
              <w:adjustRightInd w:val="0"/>
              <w:snapToGrid w:val="0"/>
              <w:spacing w:line="400" w:lineRule="exact"/>
              <w:ind w:firstLine="420" w:firstLineChars="200"/>
              <w:rPr>
                <w:rStyle w:val="52"/>
              </w:rPr>
            </w:pPr>
            <w:r>
              <w:rPr>
                <w:rFonts w:hint="eastAsia" w:ascii="宋体" w:hAnsi="宋体"/>
                <w:szCs w:val="21"/>
              </w:rPr>
              <w:t>（技术方案原则上不超过</w:t>
            </w:r>
            <w:r>
              <w:rPr>
                <w:rFonts w:hint="eastAsia" w:ascii="宋体" w:hAnsi="宋体"/>
                <w:szCs w:val="21"/>
                <w:u w:val="single"/>
              </w:rPr>
              <w:t xml:space="preserve">    </w:t>
            </w:r>
            <w:r>
              <w:rPr>
                <w:rFonts w:hint="eastAsia" w:ascii="宋体" w:hAnsi="宋体"/>
                <w:szCs w:val="21"/>
              </w:rPr>
              <w:t>页</w:t>
            </w:r>
            <w:r>
              <w:rPr>
                <w:rFonts w:hint="eastAsia" w:asciiTheme="minorEastAsia" w:hAnsiTheme="minorEastAsia" w:eastAsiaTheme="minorEastAsia" w:cstheme="minorEastAsia"/>
                <w:szCs w:val="21"/>
              </w:rPr>
              <w:t>，但不得将页数作为评审因素</w:t>
            </w:r>
            <w:r>
              <w:rPr>
                <w:rFonts w:hint="eastAsia" w:ascii="宋体" w:hAnsi="宋体"/>
                <w:szCs w:val="21"/>
              </w:rPr>
              <w:t>。）</w:t>
            </w:r>
          </w:p>
          <w:p>
            <w:pPr>
              <w:adjustRightInd w:val="0"/>
              <w:snapToGrid w:val="0"/>
              <w:spacing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）资格审查部分</w:t>
            </w:r>
          </w:p>
          <w:p>
            <w:pPr>
              <w:adjustRightInd w:val="0"/>
              <w:snapToGrid w:val="0"/>
              <w:spacing w:line="400" w:lineRule="exact"/>
              <w:ind w:firstLine="420" w:firstLineChars="200"/>
              <w:rPr>
                <w:rStyle w:val="52"/>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3.7.5</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编制要求</w:t>
            </w:r>
          </w:p>
        </w:tc>
        <w:tc>
          <w:tcPr>
            <w:tcW w:w="6698" w:type="dxa"/>
            <w:vAlign w:val="center"/>
          </w:tcPr>
          <w:p>
            <w:pPr>
              <w:adjustRightInd w:val="0"/>
              <w:snapToGrid w:val="0"/>
              <w:spacing w:line="400" w:lineRule="exact"/>
              <w:ind w:firstLine="420" w:firstLineChars="200"/>
              <w:rPr>
                <w:rFonts w:ascii="宋体" w:hAnsi="宋体"/>
                <w:i/>
                <w:szCs w:val="21"/>
              </w:rPr>
            </w:pPr>
            <w:r>
              <w:rPr>
                <w:rFonts w:ascii="宋体" w:hAnsi="宋体"/>
                <w:i/>
                <w:szCs w:val="21"/>
              </w:rPr>
              <w:t>[提示：适用于电子标明标</w:t>
            </w:r>
            <w:r>
              <w:rPr>
                <w:rFonts w:hint="eastAsia" w:ascii="宋体" w:hAnsi="宋体"/>
                <w:i/>
                <w:szCs w:val="21"/>
              </w:rPr>
              <w:t>编制</w:t>
            </w:r>
            <w:r>
              <w:rPr>
                <w:rFonts w:ascii="宋体" w:hAnsi="宋体"/>
                <w:i/>
                <w:szCs w:val="21"/>
              </w:rPr>
              <w:t>要求]</w:t>
            </w:r>
          </w:p>
          <w:p>
            <w:pPr>
              <w:adjustRightInd w:val="0"/>
              <w:snapToGrid w:val="0"/>
              <w:spacing w:line="400" w:lineRule="exact"/>
              <w:ind w:firstLine="420" w:firstLineChars="200"/>
              <w:rPr>
                <w:rFonts w:ascii="宋体" w:hAnsi="宋体"/>
                <w:szCs w:val="21"/>
              </w:rPr>
            </w:pPr>
            <w:r>
              <w:rPr>
                <w:rFonts w:hint="eastAsia" w:ascii="宋体" w:hAnsi="宋体"/>
                <w:szCs w:val="21"/>
              </w:rPr>
              <w:t>具体要求：</w:t>
            </w:r>
          </w:p>
          <w:p>
            <w:pPr>
              <w:adjustRightInd w:val="0"/>
              <w:snapToGrid w:val="0"/>
              <w:spacing w:line="400" w:lineRule="exact"/>
              <w:ind w:firstLine="420" w:firstLineChars="200"/>
              <w:rPr>
                <w:rFonts w:ascii="宋体" w:hAnsi="宋体"/>
                <w:szCs w:val="21"/>
              </w:rPr>
            </w:pPr>
            <w:r>
              <w:rPr>
                <w:rFonts w:hint="eastAsia" w:ascii="宋体" w:hAnsi="宋体"/>
                <w:szCs w:val="21"/>
              </w:rPr>
              <w:t>（1）投标函部分</w:t>
            </w:r>
          </w:p>
          <w:p>
            <w:pPr>
              <w:adjustRightInd w:val="0"/>
              <w:snapToGrid w:val="0"/>
              <w:spacing w:line="400" w:lineRule="exact"/>
              <w:ind w:firstLine="420" w:firstLineChars="200"/>
              <w:rPr>
                <w:rFonts w:ascii="宋体" w:hAnsi="宋体"/>
                <w:szCs w:val="21"/>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p>
            <w:pPr>
              <w:adjustRightInd w:val="0"/>
              <w:snapToGrid w:val="0"/>
              <w:spacing w:line="400" w:lineRule="exact"/>
              <w:ind w:firstLine="420" w:firstLineChars="200"/>
              <w:rPr>
                <w:rFonts w:ascii="宋体" w:hAnsi="宋体"/>
                <w:szCs w:val="21"/>
              </w:rPr>
            </w:pPr>
            <w:r>
              <w:rPr>
                <w:rFonts w:hint="eastAsia" w:ascii="宋体" w:hAnsi="宋体"/>
                <w:szCs w:val="21"/>
              </w:rPr>
              <w:t>（2）经济部分</w:t>
            </w:r>
          </w:p>
          <w:p>
            <w:pPr>
              <w:adjustRightInd w:val="0"/>
              <w:snapToGrid w:val="0"/>
              <w:spacing w:line="400" w:lineRule="exact"/>
              <w:ind w:firstLine="420" w:firstLineChars="200"/>
              <w:rPr>
                <w:rFonts w:ascii="宋体" w:hAnsi="宋体"/>
                <w:szCs w:val="21"/>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p>
            <w:pPr>
              <w:adjustRightInd w:val="0"/>
              <w:snapToGrid w:val="0"/>
              <w:spacing w:line="400" w:lineRule="exact"/>
              <w:ind w:firstLine="420" w:firstLineChars="200"/>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3）商务部分（如有）</w:t>
            </w:r>
          </w:p>
          <w:p>
            <w:pPr>
              <w:adjustRightInd w:val="0"/>
              <w:snapToGrid w:val="0"/>
              <w:spacing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）技术部分</w:t>
            </w:r>
            <w:r>
              <w:rPr>
                <w:rFonts w:hint="eastAsia" w:ascii="宋体" w:hAnsi="宋体"/>
                <w:iCs/>
                <w:szCs w:val="21"/>
              </w:rPr>
              <w:t>（如有）</w:t>
            </w:r>
          </w:p>
          <w:p>
            <w:pPr>
              <w:adjustRightInd w:val="0"/>
              <w:snapToGrid w:val="0"/>
              <w:spacing w:line="400" w:lineRule="exact"/>
              <w:ind w:firstLine="420" w:firstLineChars="200"/>
              <w:rPr>
                <w:rFonts w:ascii="宋体" w:hAnsi="宋体"/>
                <w:szCs w:val="21"/>
              </w:rPr>
            </w:pPr>
            <w:r>
              <w:rPr>
                <w:rFonts w:hint="eastAsia" w:ascii="宋体" w:hAnsi="宋体"/>
                <w:szCs w:val="21"/>
              </w:rPr>
              <w:t>电子投标文件技术明标不设封面，应按照第八章规定格式排版，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，但不得将封面设置、目录编制作为评审因素</w:t>
            </w:r>
            <w:r>
              <w:rPr>
                <w:rFonts w:hint="eastAsia" w:ascii="宋体" w:hAnsi="宋体"/>
                <w:szCs w:val="21"/>
              </w:rPr>
              <w:t>。注：技术部分采用明标评审时，不因形式评审的问题（包括但不限于封面、页码、目录、字体、格式等）而被否决投标。</w:t>
            </w:r>
          </w:p>
          <w:p>
            <w:pPr>
              <w:adjustRightInd w:val="0"/>
              <w:snapToGrid w:val="0"/>
              <w:spacing w:line="400" w:lineRule="exact"/>
              <w:ind w:firstLine="420" w:firstLineChars="200"/>
              <w:rPr>
                <w:rFonts w:ascii="宋体" w:hAnsi="宋体"/>
                <w:szCs w:val="21"/>
              </w:rPr>
            </w:pPr>
            <w:r>
              <w:rPr>
                <w:rFonts w:hint="eastAsia" w:ascii="宋体" w:hAnsi="宋体"/>
                <w:szCs w:val="21"/>
              </w:rPr>
              <w:t>（技术方案原则上不超过</w:t>
            </w:r>
            <w:r>
              <w:rPr>
                <w:rFonts w:hint="eastAsia" w:ascii="宋体" w:hAnsi="宋体"/>
                <w:szCs w:val="21"/>
                <w:u w:val="single"/>
              </w:rPr>
              <w:t xml:space="preserve">    </w:t>
            </w:r>
            <w:r>
              <w:rPr>
                <w:rFonts w:hint="eastAsia" w:ascii="宋体" w:hAnsi="宋体"/>
                <w:szCs w:val="21"/>
              </w:rPr>
              <w:t>页</w:t>
            </w:r>
            <w:r>
              <w:rPr>
                <w:rFonts w:hint="eastAsia" w:asciiTheme="minorEastAsia" w:hAnsiTheme="minorEastAsia" w:eastAsiaTheme="minorEastAsia" w:cstheme="minorEastAsia"/>
                <w:szCs w:val="21"/>
              </w:rPr>
              <w:t>，但不得将页数作为评审因素</w:t>
            </w:r>
            <w:r>
              <w:rPr>
                <w:rFonts w:hint="eastAsia" w:ascii="宋体" w:hAnsi="宋体"/>
                <w:szCs w:val="21"/>
              </w:rPr>
              <w:t>。）</w:t>
            </w:r>
          </w:p>
          <w:p>
            <w:pPr>
              <w:adjustRightInd w:val="0"/>
              <w:snapToGrid w:val="0"/>
              <w:spacing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）资格审查部分</w:t>
            </w:r>
          </w:p>
          <w:p>
            <w:pPr>
              <w:adjustRightInd w:val="0"/>
              <w:snapToGrid w:val="0"/>
              <w:spacing w:line="400" w:lineRule="exact"/>
              <w:ind w:firstLine="420" w:firstLineChars="200"/>
              <w:rPr>
                <w:rFonts w:ascii="宋体" w:hAnsi="宋体"/>
                <w:szCs w:val="21"/>
              </w:rPr>
            </w:pPr>
            <w:r>
              <w:rPr>
                <w:rFonts w:hint="eastAsia" w:ascii="宋体" w:hAnsi="宋体"/>
                <w:szCs w:val="21"/>
              </w:rPr>
              <w:t>应按照第八章规定格式排版，</w:t>
            </w:r>
            <w:r>
              <w:rPr>
                <w:rFonts w:hint="eastAsia" w:asciiTheme="minorEastAsia" w:hAnsiTheme="minorEastAsia" w:eastAsiaTheme="minorEastAsia" w:cstheme="minorEastAsia"/>
                <w:szCs w:val="21"/>
              </w:rPr>
              <w:t>原则上</w:t>
            </w:r>
            <w:r>
              <w:rPr>
                <w:rFonts w:hint="eastAsia" w:ascii="宋体" w:hAnsi="宋体"/>
                <w:szCs w:val="21"/>
              </w:rPr>
              <w:t>应编制目录</w:t>
            </w:r>
            <w:r>
              <w:rPr>
                <w:rFonts w:hint="eastAsia" w:asciiTheme="minorEastAsia" w:hAnsiTheme="minorEastAsia" w:eastAsiaTheme="minorEastAsia" w:cstheme="minorEastAsia"/>
                <w:szCs w:val="21"/>
              </w:rPr>
              <w:t>，但不得将目录编制作为评审因素</w:t>
            </w:r>
            <w:r>
              <w:rPr>
                <w:rFonts w:hint="eastAsia" w:ascii="宋体" w:hAnsi="宋体"/>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4.1.1</w:t>
            </w:r>
          </w:p>
        </w:tc>
        <w:tc>
          <w:tcPr>
            <w:tcW w:w="1436" w:type="dxa"/>
            <w:vAlign w:val="center"/>
          </w:tcPr>
          <w:p>
            <w:pPr>
              <w:snapToGrid w:val="0"/>
              <w:spacing w:line="400" w:lineRule="exact"/>
              <w:jc w:val="center"/>
              <w:rPr>
                <w:rFonts w:ascii="宋体" w:hAnsi="宋体"/>
                <w:spacing w:val="-6"/>
                <w:kern w:val="0"/>
                <w:szCs w:val="21"/>
              </w:rPr>
            </w:pPr>
            <w:r>
              <w:rPr>
                <w:rFonts w:ascii="宋体" w:hAnsi="宋体"/>
                <w:spacing w:val="-6"/>
                <w:kern w:val="0"/>
                <w:szCs w:val="21"/>
              </w:rPr>
              <w:t>投标文件的密封</w:t>
            </w:r>
          </w:p>
        </w:tc>
        <w:tc>
          <w:tcPr>
            <w:tcW w:w="6698" w:type="dxa"/>
            <w:vAlign w:val="center"/>
          </w:tcPr>
          <w:p>
            <w:pPr>
              <w:spacing w:line="400" w:lineRule="exact"/>
              <w:ind w:firstLine="420" w:firstLineChars="200"/>
              <w:rPr>
                <w:rFonts w:ascii="宋体" w:hAnsi="宋体"/>
                <w:szCs w:val="21"/>
              </w:rPr>
            </w:pPr>
            <w:r>
              <w:rPr>
                <w:rFonts w:hint="eastAsia" w:ascii="宋体" w:hAnsi="宋体"/>
                <w:szCs w:val="21"/>
              </w:rPr>
              <w:t>电子投标文件的加密</w:t>
            </w:r>
          </w:p>
          <w:p>
            <w:pPr>
              <w:spacing w:line="400" w:lineRule="exact"/>
              <w:ind w:firstLine="420" w:firstLineChars="200"/>
              <w:rPr>
                <w:rFonts w:ascii="宋体" w:hAnsi="宋体"/>
                <w:szCs w:val="21"/>
              </w:rPr>
            </w:pPr>
            <w:r>
              <w:rPr>
                <w:rFonts w:hint="eastAsia" w:ascii="宋体" w:hAnsi="宋体"/>
                <w:szCs w:val="21"/>
              </w:rPr>
              <w:t>加密的电子投标文件应按照本章第4.1.3项要求制作并加密，未按要求加密的电子投标文件，将无法上传至重庆市电子招投标系统，逾期未完成上传投标文件的，视为撤回投标文件。</w:t>
            </w:r>
          </w:p>
          <w:p>
            <w:pPr>
              <w:adjustRightInd w:val="0"/>
              <w:snapToGrid w:val="0"/>
              <w:spacing w:line="400" w:lineRule="exact"/>
              <w:ind w:firstLine="420" w:firstLineChars="200"/>
              <w:rPr>
                <w:rFonts w:ascii="宋体" w:hAnsi="宋体"/>
                <w:szCs w:val="21"/>
              </w:rPr>
            </w:pPr>
            <w:r>
              <w:rPr>
                <w:rFonts w:hint="eastAsia" w:ascii="宋体" w:hAnsi="宋体"/>
                <w:szCs w:val="21"/>
              </w:rPr>
              <w:t>投标人如需递交不加密电子投标文件，应用“投标文件”袋单独封装，并在封口处加盖投标人单位法人章，同时“投标文件”袋应按本表第4.1.2项的规定写明相应内容。“投标文件”袋未按要求密封的，招标人或代理机构应该拒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4.1.2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封套上写明</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应在</w:t>
            </w:r>
            <w:r>
              <w:rPr>
                <w:rFonts w:ascii="宋体" w:hAnsi="宋体"/>
                <w:szCs w:val="21"/>
              </w:rPr>
              <w:t xml:space="preserve"> </w:t>
            </w:r>
            <w:r>
              <w:rPr>
                <w:rFonts w:ascii="宋体" w:hAnsi="宋体"/>
                <w:kern w:val="0"/>
                <w:szCs w:val="21"/>
              </w:rPr>
              <w:t>“投标文件”袋封套上写明如下内容：</w:t>
            </w:r>
          </w:p>
          <w:p>
            <w:pPr>
              <w:snapToGrid w:val="0"/>
              <w:spacing w:line="400" w:lineRule="exact"/>
              <w:ind w:firstLine="420" w:firstLineChars="200"/>
              <w:rPr>
                <w:rFonts w:ascii="宋体" w:hAnsi="宋体"/>
                <w:kern w:val="0"/>
                <w:szCs w:val="21"/>
                <w:u w:val="single"/>
              </w:rPr>
            </w:pPr>
            <w:r>
              <w:rPr>
                <w:rFonts w:ascii="宋体" w:hAnsi="宋体"/>
                <w:kern w:val="0"/>
                <w:szCs w:val="21"/>
              </w:rPr>
              <w:t>招标人名称：</w:t>
            </w:r>
            <w:r>
              <w:rPr>
                <w:rFonts w:hint="eastAsia" w:ascii="宋体" w:hAnsi="宋体"/>
                <w:kern w:val="0"/>
                <w:szCs w:val="21"/>
                <w:u w:val="single"/>
              </w:rPr>
              <w:t xml:space="preserve">            </w:t>
            </w:r>
          </w:p>
          <w:p>
            <w:pPr>
              <w:snapToGrid w:val="0"/>
              <w:spacing w:line="400" w:lineRule="exact"/>
              <w:ind w:firstLine="420" w:firstLineChars="200"/>
              <w:rPr>
                <w:rFonts w:ascii="宋体" w:hAnsi="宋体"/>
                <w:kern w:val="0"/>
                <w:szCs w:val="21"/>
                <w:u w:val="single"/>
              </w:rPr>
            </w:pPr>
            <w:r>
              <w:rPr>
                <w:rFonts w:hint="eastAsia" w:ascii="宋体" w:hAnsi="宋体"/>
                <w:kern w:val="0"/>
                <w:szCs w:val="21"/>
              </w:rPr>
              <w:t>投标人名称：</w:t>
            </w:r>
            <w:r>
              <w:rPr>
                <w:rFonts w:hint="eastAsia" w:ascii="宋体" w:hAnsi="宋体"/>
                <w:kern w:val="0"/>
                <w:szCs w:val="21"/>
                <w:u w:val="single"/>
              </w:rPr>
              <w:t xml:space="preserve">            </w:t>
            </w:r>
          </w:p>
          <w:p>
            <w:pPr>
              <w:snapToGrid w:val="0"/>
              <w:spacing w:line="400" w:lineRule="exact"/>
              <w:ind w:firstLine="420" w:firstLineChars="200"/>
              <w:rPr>
                <w:rFonts w:ascii="宋体" w:hAnsi="宋体"/>
                <w:kern w:val="0"/>
                <w:szCs w:val="21"/>
              </w:rPr>
            </w:pPr>
            <w:r>
              <w:rPr>
                <w:rFonts w:ascii="宋体" w:hAnsi="宋体"/>
                <w:kern w:val="0"/>
                <w:szCs w:val="21"/>
                <w:u w:val="single"/>
              </w:rPr>
              <w:t xml:space="preserve">                （项目名称）</w:t>
            </w:r>
            <w:r>
              <w:rPr>
                <w:rFonts w:ascii="宋体" w:hAnsi="宋体"/>
                <w:kern w:val="0"/>
                <w:szCs w:val="21"/>
              </w:rPr>
              <w:t>投标文件</w:t>
            </w:r>
          </w:p>
          <w:p>
            <w:pPr>
              <w:snapToGrid w:val="0"/>
              <w:spacing w:line="400" w:lineRule="exact"/>
              <w:ind w:firstLine="420" w:firstLineChars="200"/>
              <w:rPr>
                <w:rFonts w:ascii="宋体" w:hAnsi="宋体"/>
                <w:szCs w:val="21"/>
              </w:rPr>
            </w:pPr>
            <w:r>
              <w:rPr>
                <w:rFonts w:ascii="宋体" w:hAnsi="宋体"/>
                <w:kern w:val="0"/>
                <w:szCs w:val="21"/>
              </w:rPr>
              <w:t>在</w:t>
            </w: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r>
              <w:rPr>
                <w:rFonts w:hint="eastAsia" w:ascii="宋体" w:hAnsi="宋体"/>
                <w:kern w:val="0"/>
                <w:szCs w:val="21"/>
                <w:u w:val="single"/>
              </w:rPr>
              <w:t xml:space="preserve">    </w:t>
            </w:r>
            <w:r>
              <w:rPr>
                <w:rFonts w:ascii="宋体" w:hAnsi="宋体"/>
                <w:kern w:val="0"/>
                <w:szCs w:val="21"/>
              </w:rPr>
              <w:t>时</w:t>
            </w:r>
            <w:r>
              <w:rPr>
                <w:rFonts w:hint="eastAsia" w:ascii="宋体" w:hAnsi="宋体"/>
                <w:kern w:val="0"/>
                <w:szCs w:val="21"/>
                <w:u w:val="single"/>
              </w:rPr>
              <w:t xml:space="preserve">    </w:t>
            </w:r>
            <w:r>
              <w:rPr>
                <w:rFonts w:ascii="宋体" w:hAnsi="宋体"/>
                <w:kern w:val="0"/>
                <w:szCs w:val="21"/>
              </w:rPr>
              <w:t>分前不得开启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4.2.2</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递交投标文件地点</w:t>
            </w:r>
          </w:p>
        </w:tc>
        <w:tc>
          <w:tcPr>
            <w:tcW w:w="6698" w:type="dxa"/>
            <w:vAlign w:val="center"/>
          </w:tcPr>
          <w:p>
            <w:pPr>
              <w:snapToGrid w:val="0"/>
              <w:spacing w:line="400" w:lineRule="exact"/>
              <w:ind w:firstLine="420" w:firstLineChars="200"/>
              <w:rPr>
                <w:rFonts w:ascii="宋体" w:hAnsi="宋体"/>
                <w:bCs/>
                <w:szCs w:val="21"/>
              </w:rPr>
            </w:pPr>
            <w:r>
              <w:rPr>
                <w:rFonts w:hint="eastAsia" w:ascii="宋体" w:hAnsi="宋体"/>
                <w:bCs/>
                <w:szCs w:val="21"/>
              </w:rPr>
              <w:t>投标人应当在投标截止时间前，通过互联网使用CA数字证书登录重庆市电子招投标系统，将加密的电子投标文件上传。</w:t>
            </w:r>
          </w:p>
          <w:p>
            <w:pPr>
              <w:snapToGrid w:val="0"/>
              <w:spacing w:line="400" w:lineRule="exact"/>
              <w:ind w:firstLine="420" w:firstLineChars="200"/>
              <w:rPr>
                <w:rFonts w:ascii="宋体" w:hAnsi="宋体"/>
                <w:bCs/>
                <w:szCs w:val="21"/>
              </w:rPr>
            </w:pPr>
            <w:r>
              <w:rPr>
                <w:rFonts w:hint="eastAsia" w:ascii="宋体" w:hAnsi="宋体"/>
                <w:bCs/>
                <w:szCs w:val="21"/>
              </w:rPr>
              <w:t>特别注意：投标人如需现场递交不加密电子投标文件（光盘备份）等备用资料，则须在投标截止时间前递交，递交地点为</w:t>
            </w:r>
            <w:r>
              <w:rPr>
                <w:rFonts w:hint="eastAsia" w:ascii="宋体" w:hAnsi="宋体"/>
                <w:bCs/>
                <w:szCs w:val="21"/>
                <w:u w:val="single"/>
              </w:rPr>
              <w:t>重庆市公共资源交易中心</w:t>
            </w:r>
            <w:r>
              <w:rPr>
                <w:rFonts w:hint="eastAsia" w:ascii="宋体" w:hAnsi="宋体"/>
                <w:bCs/>
                <w:szCs w:val="21"/>
              </w:rPr>
              <w:t>开标区（具体请登陆</w:t>
            </w:r>
            <w:r>
              <w:rPr>
                <w:rFonts w:hint="eastAsia" w:ascii="宋体" w:hAnsi="宋体"/>
                <w:bCs/>
                <w:szCs w:val="21"/>
                <w:u w:val="single"/>
              </w:rPr>
              <w:t>重庆市公共资源交易网</w:t>
            </w:r>
            <w:r>
              <w:rPr>
                <w:rFonts w:hint="eastAsia" w:ascii="宋体" w:hAnsi="宋体"/>
                <w:bCs/>
                <w:szCs w:val="21"/>
              </w:rPr>
              <w:t>查询或递交文件当日见交易中心大厅电子显示屏）。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4.2.3</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是否退还投标文件</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5.1</w:t>
            </w:r>
            <w:r>
              <w:rPr>
                <w:rFonts w:hint="eastAsia" w:ascii="宋体" w:hAnsi="宋体"/>
                <w:kern w:val="0"/>
                <w:szCs w:val="21"/>
              </w:rPr>
              <w:t>.1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开标时间和</w:t>
            </w:r>
          </w:p>
          <w:p>
            <w:pPr>
              <w:snapToGrid w:val="0"/>
              <w:spacing w:line="400" w:lineRule="exact"/>
              <w:jc w:val="center"/>
              <w:rPr>
                <w:rFonts w:ascii="宋体" w:hAnsi="宋体"/>
                <w:kern w:val="0"/>
                <w:szCs w:val="21"/>
              </w:rPr>
            </w:pPr>
            <w:r>
              <w:rPr>
                <w:rFonts w:ascii="宋体" w:hAnsi="宋体"/>
                <w:kern w:val="0"/>
                <w:szCs w:val="21"/>
              </w:rPr>
              <w:t>地点</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开标时间：同投标截止时间</w:t>
            </w:r>
          </w:p>
          <w:p>
            <w:pPr>
              <w:snapToGrid w:val="0"/>
              <w:spacing w:line="400" w:lineRule="exact"/>
              <w:ind w:firstLine="420" w:firstLineChars="200"/>
              <w:rPr>
                <w:rFonts w:ascii="宋体" w:hAnsi="宋体"/>
                <w:bCs/>
                <w:szCs w:val="21"/>
              </w:rPr>
            </w:pPr>
            <w:r>
              <w:rPr>
                <w:rFonts w:ascii="宋体" w:hAnsi="宋体"/>
                <w:kern w:val="0"/>
                <w:szCs w:val="21"/>
              </w:rPr>
              <w:t>开标地点：</w:t>
            </w:r>
            <w:r>
              <w:rPr>
                <w:rFonts w:ascii="宋体" w:hAnsi="宋体"/>
                <w:bCs/>
                <w:szCs w:val="21"/>
                <w:u w:val="single"/>
              </w:rPr>
              <w:t>重庆市</w:t>
            </w:r>
            <w:r>
              <w:rPr>
                <w:rFonts w:hint="eastAsia" w:ascii="宋体" w:hAnsi="宋体"/>
                <w:bCs/>
                <w:szCs w:val="21"/>
                <w:u w:val="single"/>
              </w:rPr>
              <w:t>公共资源</w:t>
            </w:r>
            <w:r>
              <w:rPr>
                <w:rFonts w:ascii="宋体" w:hAnsi="宋体"/>
                <w:bCs/>
                <w:szCs w:val="21"/>
                <w:u w:val="single"/>
              </w:rPr>
              <w:t>交易中心</w:t>
            </w:r>
            <w:r>
              <w:rPr>
                <w:rFonts w:ascii="宋体" w:hAnsi="宋体"/>
                <w:bCs/>
                <w:szCs w:val="21"/>
              </w:rPr>
              <w:t>开标室（具体请登陆</w:t>
            </w:r>
            <w:r>
              <w:rPr>
                <w:rFonts w:hint="eastAsia" w:ascii="宋体" w:hAnsi="宋体"/>
                <w:bCs/>
                <w:szCs w:val="21"/>
                <w:u w:val="single"/>
              </w:rPr>
              <w:t>重庆市公共资源交易网</w:t>
            </w:r>
            <w:r>
              <w:rPr>
                <w:rFonts w:ascii="宋体" w:hAnsi="宋体"/>
                <w:bCs/>
                <w:szCs w:val="21"/>
              </w:rPr>
              <w:t>查询或递交文件当日见交易中心大厅电子显示屏）。</w:t>
            </w:r>
          </w:p>
          <w:p>
            <w:pPr>
              <w:snapToGrid w:val="0"/>
              <w:spacing w:line="400" w:lineRule="exact"/>
              <w:ind w:firstLine="420" w:firstLineChars="200"/>
              <w:rPr>
                <w:rFonts w:ascii="宋体" w:hAnsi="宋体"/>
                <w:bCs/>
                <w:szCs w:val="21"/>
              </w:rPr>
            </w:pPr>
            <w:r>
              <w:rPr>
                <w:rFonts w:hint="eastAsia" w:ascii="宋体" w:hAnsi="宋体"/>
                <w:bCs/>
                <w:szCs w:val="21"/>
              </w:rPr>
              <w:t>特别注意：1、解密投标文件需使用加密电子投标文件的CA数字证书。投标人代表可携带该CA数字证书到开标现场完成投标文件解密工作，或通过互联网使用该CA数字证书登录重庆市电子招投标系统，采用远程解密的方式在投标须知前附表规定的时间内完成投标文件解密工作。</w:t>
            </w:r>
          </w:p>
          <w:p>
            <w:pPr>
              <w:snapToGrid w:val="0"/>
              <w:spacing w:line="400" w:lineRule="exact"/>
              <w:ind w:firstLine="420" w:firstLineChars="200"/>
              <w:rPr>
                <w:rFonts w:ascii="宋体" w:hAnsi="宋体"/>
                <w:bCs/>
                <w:szCs w:val="21"/>
              </w:rPr>
            </w:pPr>
            <w:r>
              <w:rPr>
                <w:rFonts w:hint="eastAsia" w:asciiTheme="minorEastAsia" w:hAnsiTheme="minorEastAsia" w:eastAsiaTheme="minorEastAsia" w:cstheme="minorEastAsia"/>
                <w:bCs/>
                <w:szCs w:val="21"/>
              </w:rPr>
              <w:t>口2、本项目开标将试用“重庆市工程建设项目不见面开标系统”（</w:t>
            </w:r>
            <w:r>
              <w:rPr>
                <w:rFonts w:hint="eastAsia" w:asciiTheme="minorEastAsia" w:hAnsiTheme="minorEastAsia" w:eastAsiaTheme="minorEastAsia" w:cstheme="minorEastAsia"/>
                <w:bCs/>
                <w:color w:val="auto"/>
                <w:szCs w:val="21"/>
                <w:highlight w:val="none"/>
                <w:lang w:eastAsia="zh-CN"/>
              </w:rPr>
              <w:t>（</w:t>
            </w:r>
            <w:r>
              <w:rPr>
                <w:rFonts w:hint="eastAsia" w:asciiTheme="minorEastAsia" w:hAnsiTheme="minorEastAsia" w:eastAsiaTheme="minorEastAsia" w:cstheme="minorEastAsia"/>
                <w:bCs/>
                <w:color w:val="auto"/>
                <w:szCs w:val="21"/>
                <w:highlight w:val="none"/>
              </w:rPr>
              <w:t>https://bjm.jszx.cqggzy.com/BidOpeningHall/bidhall/dqcq/login，</w:t>
            </w:r>
            <w:r>
              <w:rPr>
                <w:rFonts w:hint="eastAsia" w:asciiTheme="minorEastAsia" w:hAnsiTheme="minorEastAsia" w:eastAsiaTheme="minorEastAsia" w:cstheme="minorEastAsia"/>
                <w:bCs/>
                <w:szCs w:val="21"/>
              </w:rPr>
              <w:t>以下简称：不见面开标系统）。不出席现场开标的投标人也可登录不见面开标系统参与全过程开标活动。开标活动信息以开标现场或不见面开标系统收到并展示的信息为准。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5.1.2</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解密时间</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解密时长为 30 分钟。</w:t>
            </w:r>
          </w:p>
          <w:p>
            <w:pPr>
              <w:snapToGrid w:val="0"/>
              <w:spacing w:line="400" w:lineRule="exact"/>
              <w:ind w:firstLine="420" w:firstLineChars="200"/>
              <w:rPr>
                <w:rFonts w:ascii="宋体" w:hAnsi="宋体"/>
                <w:kern w:val="0"/>
                <w:szCs w:val="21"/>
              </w:rPr>
            </w:pPr>
            <w:r>
              <w:rPr>
                <w:rFonts w:hint="eastAsia" w:ascii="宋体" w:hAnsi="宋体"/>
                <w:kern w:val="0"/>
                <w:szCs w:val="21"/>
              </w:rPr>
              <w:t>特别注意：因电子招标投标系统原因影响解密时间的，招标人可根据现场实际情况延长解密时间；因投标人原因未完成解密工作的，视为撤销其投标文件，</w:t>
            </w:r>
            <w:r>
              <w:rPr>
                <w:rFonts w:hint="eastAsia" w:ascii="宋体" w:hAnsi="宋体"/>
                <w:kern w:val="0"/>
                <w:szCs w:val="21"/>
                <w:highlight w:val="none"/>
              </w:rPr>
              <w:t>其投标保证金</w:t>
            </w:r>
            <w:r>
              <w:rPr>
                <w:rFonts w:hint="eastAsia" w:ascii="宋体" w:hAnsi="宋体"/>
                <w:kern w:val="0"/>
                <w:szCs w:val="21"/>
                <w:highlight w:val="none"/>
                <w:lang w:val="en-US" w:eastAsia="zh-CN"/>
              </w:rPr>
              <w:t>以现金形式交纳的</w:t>
            </w:r>
            <w:r>
              <w:rPr>
                <w:rFonts w:hint="eastAsia" w:ascii="宋体" w:hAnsi="宋体"/>
                <w:kern w:val="0"/>
                <w:szCs w:val="21"/>
                <w:highlight w:val="none"/>
              </w:rPr>
              <w:t>不予退还，</w:t>
            </w:r>
            <w:r>
              <w:rPr>
                <w:rFonts w:hint="eastAsia" w:asciiTheme="minorEastAsia" w:hAnsiTheme="minorEastAsia" w:eastAsiaTheme="minorEastAsia" w:cstheme="minorEastAsia"/>
                <w:szCs w:val="21"/>
                <w:highlight w:val="none"/>
                <w:u w:val="single"/>
              </w:rPr>
              <w:t>以保函形式交纳的由保函开立人支付保函担保的与投标保证金等额的款项</w:t>
            </w:r>
            <w:r>
              <w:rPr>
                <w:rFonts w:hint="eastAsia" w:ascii="宋体" w:hAnsi="宋体"/>
                <w:kern w:val="0"/>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szCs w:val="21"/>
              </w:rPr>
            </w:pPr>
            <w:r>
              <w:rPr>
                <w:rFonts w:hint="eastAsia" w:ascii="宋体" w:hAnsi="宋体"/>
                <w:szCs w:val="21"/>
              </w:rPr>
              <w:t>5.2</w:t>
            </w:r>
          </w:p>
        </w:tc>
        <w:tc>
          <w:tcPr>
            <w:tcW w:w="1436" w:type="dxa"/>
            <w:vAlign w:val="center"/>
          </w:tcPr>
          <w:p>
            <w:pPr>
              <w:snapToGrid w:val="0"/>
              <w:spacing w:line="400" w:lineRule="exact"/>
              <w:jc w:val="center"/>
              <w:rPr>
                <w:rFonts w:ascii="宋体" w:hAnsi="宋体"/>
                <w:szCs w:val="21"/>
              </w:rPr>
            </w:pPr>
            <w:r>
              <w:rPr>
                <w:rFonts w:hint="eastAsia" w:ascii="宋体" w:hAnsi="宋体"/>
                <w:szCs w:val="21"/>
              </w:rPr>
              <w:t>开标程序</w:t>
            </w:r>
          </w:p>
        </w:tc>
        <w:tc>
          <w:tcPr>
            <w:tcW w:w="6698" w:type="dxa"/>
            <w:vAlign w:val="center"/>
          </w:tcPr>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主持人按下列程序进行开标：</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1. 开标时间（应与投标截止时间一致），交易系统自动提取所有在投标截止时间前成功递交的投标文件，系统自动展示投标人数量是否大于（等于）3家，经招标人或代理机构确认达到法定开标条件的，系统进入开标环节。</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2. 投标文件提取完成，经招标人或代理机构确认开始解密环节，系统提示投标人在招标文件规定的时间内自行解密其经加密的电子投标文件。</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在规定的时间内投标人未成功解密投标文件的处理方式：①对因故不能解密的，经投标人申请，可以采取导入由相应投标人提供的不加密的电子投标文件（光盘备份）作为补救措施；②对因电子招投标系统原因造成的未解密情况，投标人又未提供不加密的电子投标文件（光盘备份）作为补救措施的，视为投标人撤回投标文件；③对因投标人原因造成的未解密情况，视为投标人撤销投标文件。</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3. 解密全部完成或招标文件规定的解密时间截止后，经招标人或代理机构确认，进入唱标环节。交易系统展示最终解密结果，主持人公布所有投标人名称和成功解密投标人名单，并备注投标人未成功解密投标文件的原因（若有）。</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4. 汇总投标保证金交纳情况</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4.1 展示以电子投标保函方式递交投标保证金的情况，展示内容应至少包含投标人名称、金额、投标保函提交时间、保函有效期及是否具有不可撤销且见索即付属性等。电子投标保函应在投标截止时间前提交至指定系统，异常情况在开标记录表“异常情况”栏中记录并交由评标委员会评审。</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4.2 展示以电子转账方式递交投标保证金的情况，展示内容应至少包含投标人名称、金额、投标保证金打入指定账户的时间等，异常情况在开标记录表“异常情况”栏中记录并交由评标委员会评审。</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4.3 展示以纸质投标保函方式递交投标保证金的情况，并记录在“纸质投标保函递交情况一览表”中，异常情况在开标记录表“异常情况”栏中记录。</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4.4 打印所有投标人的投标保证金交纳情況，并由招标人代表、监标人、记录人签名确认。</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5. 公布最高限价</w:t>
            </w:r>
            <w:r>
              <w:rPr>
                <w:rFonts w:hint="eastAsia" w:ascii="宋体" w:hAnsi="宋体"/>
                <w:szCs w:val="21"/>
                <w:lang w:eastAsia="zh-CN"/>
              </w:rPr>
              <w:t>。</w:t>
            </w:r>
            <w:r>
              <w:rPr>
                <w:rFonts w:hint="eastAsia" w:ascii="宋体" w:hAnsi="宋体"/>
                <w:szCs w:val="21"/>
              </w:rPr>
              <w:t>采用经评审最低投标价法的系统自动计算最高限价的85%数值，以便评标委员会评审。</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6. 公布投标人名称、投标报价、质量目标、工期及其他内容。</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□7. 对经招投标监督部门同意采用综合评估法的项目，需要抽取评标基准价浮动值的，在开标现场完成抽取，抽取结果记入开标记录表。相关系数抽取方式如下：</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①</w:t>
            </w:r>
            <w:r>
              <w:rPr>
                <w:rFonts w:hint="eastAsia" w:ascii="宋体" w:hAnsi="宋体"/>
                <w:szCs w:val="21"/>
                <w:u w:val="single"/>
              </w:rPr>
              <w:t xml:space="preserve">                         </w:t>
            </w:r>
            <w:r>
              <w:rPr>
                <w:rFonts w:hint="eastAsia" w:ascii="宋体" w:hAnsi="宋体"/>
                <w:szCs w:val="21"/>
              </w:rPr>
              <w:t>。</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②</w:t>
            </w:r>
            <w:r>
              <w:rPr>
                <w:rFonts w:hint="eastAsia" w:ascii="宋体" w:hAnsi="宋体"/>
                <w:szCs w:val="21"/>
                <w:u w:val="single"/>
              </w:rPr>
              <w:t xml:space="preserve">                         </w:t>
            </w:r>
            <w:r>
              <w:rPr>
                <w:rFonts w:hint="eastAsia" w:ascii="宋体" w:hAnsi="宋体"/>
                <w:szCs w:val="21"/>
              </w:rPr>
              <w:t>。</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③……</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8.在重庆市工程建设领域招标投标信用平台上查询、公布所有投标人（含联合体成员单位）信用状况（若遇特殊情况，可在开标现场或开标当日，采用人工方式在“重庆市公共资源交易监督网”的“信用信息”栏目查询、核实），汇总并打印所有投标人的信用查询结果，并由招标人代表、监标人、记录人签名确认。</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9.投标人对开标有异议的，应当场或在线（不见面开标适用）提出，由招标人或代理机构当场或在线（不见面开标适用）答复，并记录到开标记录表中。异议处理完毕后，汇总开标情况，打印开标记录表。</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10. 投标人代表、招标人代表、监标人、主持人、记录人等有关人员在开标记录上签名确认。因其他原因未能签名的，视为默认开标结果。</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纸质投标保函原件、投标保证金缴纳情况表、开标记录表、投标人信用情况汇总表一并交由评标委员会评审。</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11.主持人宣布开标结束。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6.1.1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评标委员会的组建</w:t>
            </w:r>
          </w:p>
        </w:tc>
        <w:tc>
          <w:tcPr>
            <w:tcW w:w="6698" w:type="dxa"/>
            <w:vAlign w:val="center"/>
          </w:tcPr>
          <w:p>
            <w:pPr>
              <w:autoSpaceDE w:val="0"/>
              <w:autoSpaceDN w:val="0"/>
              <w:adjustRightInd w:val="0"/>
              <w:snapToGrid w:val="0"/>
              <w:spacing w:line="400" w:lineRule="exact"/>
              <w:ind w:firstLine="436" w:firstLineChars="200"/>
              <w:rPr>
                <w:rFonts w:ascii="宋体" w:hAnsi="宋体"/>
                <w:kern w:val="0"/>
                <w:szCs w:val="21"/>
              </w:rPr>
            </w:pPr>
            <w:r>
              <w:rPr>
                <w:rFonts w:hint="eastAsia" w:ascii="宋体" w:hAnsi="宋体"/>
                <w:spacing w:val="4"/>
                <w:kern w:val="0"/>
                <w:szCs w:val="21"/>
              </w:rPr>
              <w:t>由招标人按法律法规及相关规定依法组建评标委员会</w:t>
            </w:r>
            <w:r>
              <w:rPr>
                <w:rFonts w:hint="eastAsia" w:ascii="宋体" w:hAnsi="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hint="default" w:ascii="宋体" w:hAnsi="宋体" w:eastAsia="宋体"/>
                <w:kern w:val="0"/>
                <w:szCs w:val="21"/>
                <w:lang w:val="en-US" w:eastAsia="zh-CN"/>
              </w:rPr>
            </w:pPr>
            <w:r>
              <w:rPr>
                <w:rFonts w:hint="eastAsia" w:ascii="宋体" w:hAnsi="宋体"/>
                <w:kern w:val="0"/>
                <w:szCs w:val="21"/>
                <w:lang w:val="en-US" w:eastAsia="zh-CN"/>
              </w:rPr>
              <w:t>6.3.2</w:t>
            </w:r>
          </w:p>
        </w:tc>
        <w:tc>
          <w:tcPr>
            <w:tcW w:w="1436" w:type="dxa"/>
            <w:vAlign w:val="center"/>
          </w:tcPr>
          <w:p>
            <w:pPr>
              <w:snapToGrid w:val="0"/>
              <w:spacing w:after="62" w:afterLines="20" w:line="400" w:lineRule="exact"/>
              <w:jc w:val="center"/>
              <w:rPr>
                <w:rFonts w:hint="default" w:ascii="宋体" w:hAnsi="宋体" w:eastAsia="宋体"/>
                <w:kern w:val="0"/>
                <w:szCs w:val="21"/>
                <w:lang w:val="en-US" w:eastAsia="zh-CN"/>
              </w:rPr>
            </w:pPr>
            <w:r>
              <w:rPr>
                <w:rFonts w:hint="eastAsia" w:ascii="宋体" w:hAnsi="宋体"/>
                <w:kern w:val="0"/>
                <w:szCs w:val="21"/>
                <w:lang w:val="en-US" w:eastAsia="zh-CN"/>
              </w:rPr>
              <w:t>评标委员会推荐中标候选人的人数</w:t>
            </w:r>
          </w:p>
        </w:tc>
        <w:tc>
          <w:tcPr>
            <w:tcW w:w="6698" w:type="dxa"/>
            <w:vAlign w:val="center"/>
          </w:tcPr>
          <w:p>
            <w:pPr>
              <w:snapToGrid w:val="0"/>
              <w:spacing w:line="400" w:lineRule="exact"/>
              <w:ind w:firstLine="420" w:firstLineChars="200"/>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□推荐经评审综合得分由高到低排名前</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3</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名为中标候选人，若有效投标人少于</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3</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个的则按实际数量推荐。</w:t>
            </w:r>
          </w:p>
          <w:p>
            <w:pPr>
              <w:snapToGrid w:val="0"/>
              <w:spacing w:line="400" w:lineRule="exact"/>
              <w:ind w:firstLine="420" w:firstLineChars="200"/>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□推荐经评审合格的报价由低到高排名前</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3</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名为中标候选人，若有效投标人少于</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3</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个的则按实际数量推荐。</w:t>
            </w:r>
          </w:p>
          <w:p>
            <w:pPr>
              <w:snapToGrid w:val="0"/>
              <w:spacing w:line="400" w:lineRule="exact"/>
              <w:ind w:firstLine="420" w:firstLineChars="200"/>
              <w:rPr>
                <w:rFonts w:ascii="宋体" w:hAnsi="宋体"/>
                <w:i/>
                <w:kern w:val="0"/>
                <w:szCs w:val="21"/>
              </w:rPr>
            </w:pPr>
            <w:r>
              <w:rPr>
                <w:rFonts w:hint="eastAsia" w:asciiTheme="minorEastAsia" w:hAnsiTheme="minorEastAsia" w:eastAsiaTheme="minorEastAsia" w:cstheme="minorEastAsia"/>
                <w:i/>
                <w:kern w:val="0"/>
                <w:szCs w:val="21"/>
              </w:rPr>
              <w:t>[提示：中标候选人应当不超过3个，招标人根据实际需要设置中标候选人具体数量。]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hint="default" w:ascii="宋体" w:hAnsi="宋体" w:eastAsia="宋体"/>
                <w:kern w:val="0"/>
                <w:szCs w:val="21"/>
                <w:lang w:val="en-US" w:eastAsia="zh-CN"/>
              </w:rPr>
            </w:pPr>
            <w:r>
              <w:rPr>
                <w:rFonts w:hint="eastAsia" w:ascii="宋体" w:hAnsi="宋体"/>
                <w:kern w:val="0"/>
                <w:szCs w:val="21"/>
                <w:lang w:val="en-US" w:eastAsia="zh-CN"/>
              </w:rPr>
              <w:t>7.1</w:t>
            </w:r>
          </w:p>
        </w:tc>
        <w:tc>
          <w:tcPr>
            <w:tcW w:w="1436" w:type="dxa"/>
            <w:vAlign w:val="center"/>
          </w:tcPr>
          <w:p>
            <w:pPr>
              <w:spacing w:line="400" w:lineRule="exact"/>
              <w:jc w:val="center"/>
              <w:rPr>
                <w:rFonts w:hint="default" w:ascii="宋体" w:hAnsi="宋体"/>
                <w:kern w:val="0"/>
                <w:szCs w:val="21"/>
                <w:lang w:val="en-US"/>
              </w:rPr>
            </w:pPr>
            <w:r>
              <w:rPr>
                <w:rFonts w:hint="eastAsia" w:asciiTheme="minorEastAsia" w:hAnsiTheme="minorEastAsia" w:eastAsiaTheme="minorEastAsia" w:cstheme="minorEastAsia"/>
                <w:color w:val="auto"/>
                <w:szCs w:val="21"/>
                <w:highlight w:val="none"/>
              </w:rPr>
              <w:t>是否授权评标委员会确定中标人</w:t>
            </w:r>
          </w:p>
        </w:tc>
        <w:tc>
          <w:tcPr>
            <w:tcW w:w="6698"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zCs w:val="21"/>
                <w:highlight w:val="none"/>
              </w:rPr>
              <w:t>否</w:t>
            </w:r>
          </w:p>
          <w:p>
            <w:pPr>
              <w:spacing w:line="400" w:lineRule="exact"/>
              <w:ind w:firstLine="420" w:firstLineChars="200"/>
              <w:rPr>
                <w:rFonts w:hint="eastAsia" w:ascii="宋体" w:hAnsi="宋体"/>
                <w:i/>
                <w:kern w:val="0"/>
                <w:szCs w:val="21"/>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zCs w:val="21"/>
                <w:highlight w:val="none"/>
              </w:rPr>
              <w:t>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7.2</w:t>
            </w:r>
          </w:p>
        </w:tc>
        <w:tc>
          <w:tcPr>
            <w:tcW w:w="1436" w:type="dxa"/>
            <w:vAlign w:val="center"/>
          </w:tcPr>
          <w:p>
            <w:pPr>
              <w:snapToGrid w:val="0"/>
              <w:spacing w:after="62" w:afterLines="20" w:line="400" w:lineRule="exact"/>
              <w:jc w:val="center"/>
              <w:rPr>
                <w:rFonts w:ascii="宋体" w:hAnsi="宋体"/>
                <w:kern w:val="0"/>
                <w:szCs w:val="21"/>
              </w:rPr>
            </w:pPr>
            <w:r>
              <w:rPr>
                <w:rFonts w:ascii="宋体" w:hAnsi="宋体"/>
                <w:kern w:val="0"/>
                <w:szCs w:val="21"/>
              </w:rPr>
              <w:t>中标公示</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cs="宋体"/>
                <w:szCs w:val="21"/>
              </w:rPr>
              <w:t>招标人在收到评标报告后3日内将评标结果在</w:t>
            </w:r>
            <w:r>
              <w:rPr>
                <w:rFonts w:hint="eastAsia" w:ascii="宋体" w:hAnsi="宋体" w:cs="宋体"/>
                <w:szCs w:val="21"/>
                <w:u w:val="single"/>
              </w:rPr>
              <w:t xml:space="preserve">    （相应网站）  </w:t>
            </w:r>
            <w:r>
              <w:rPr>
                <w:rFonts w:hint="eastAsia" w:ascii="宋体" w:hAnsi="宋体" w:cs="宋体"/>
                <w:szCs w:val="21"/>
              </w:rPr>
              <w:t>上进行公示，公示期</w:t>
            </w:r>
            <w:r>
              <w:rPr>
                <w:rFonts w:hint="eastAsia" w:ascii="宋体" w:hAnsi="宋体" w:cs="宋体"/>
                <w:szCs w:val="21"/>
                <w:lang w:val="en-US" w:eastAsia="zh-CN"/>
              </w:rPr>
              <w:t>不少于</w:t>
            </w:r>
            <w:r>
              <w:rPr>
                <w:rFonts w:hint="eastAsia" w:ascii="宋体" w:hAnsi="宋体" w:cs="宋体"/>
                <w:szCs w:val="21"/>
              </w:rPr>
              <w:t>3日。为深化信息公开，接受社会监督，本项目将按照《招标公告和公示信息发布管理办法》（国家发改委令第10号）的要求，公示内容包括中标候选人名称、排序、投标报价、质量、工期；中标候选人资质、投标人业绩名称，中标候选人项目经理姓名及其相关证书名称和编号、投标人业绩名称</w:t>
            </w:r>
            <w:r>
              <w:rPr>
                <w:rFonts w:hint="eastAsia" w:ascii="宋体" w:hAnsi="宋体" w:cs="宋体"/>
                <w:szCs w:val="21"/>
                <w:lang w:eastAsia="zh-CN"/>
              </w:rPr>
              <w:t>（</w:t>
            </w:r>
            <w:r>
              <w:rPr>
                <w:rFonts w:hint="eastAsia" w:ascii="宋体" w:hAnsi="宋体" w:cs="宋体"/>
                <w:szCs w:val="21"/>
                <w:lang w:val="en-US" w:eastAsia="zh-CN"/>
              </w:rPr>
              <w:t>如有）</w:t>
            </w:r>
            <w:r>
              <w:rPr>
                <w:rFonts w:hint="eastAsia" w:ascii="宋体" w:hAnsi="宋体" w:cs="宋体"/>
                <w:szCs w:val="21"/>
              </w:rPr>
              <w:t>；</w:t>
            </w:r>
            <w:r>
              <w:rPr>
                <w:rFonts w:hint="eastAsia" w:asciiTheme="minorEastAsia" w:hAnsiTheme="minorEastAsia" w:eastAsiaTheme="minorEastAsia" w:cstheme="minorEastAsia"/>
                <w:color w:val="auto"/>
                <w:highlight w:val="none"/>
              </w:rPr>
              <w:sym w:font="Wingdings 2" w:char="00A3"/>
            </w:r>
            <w:r>
              <w:rPr>
                <w:rFonts w:hint="eastAsia" w:ascii="宋体" w:hAnsi="宋体" w:cs="宋体"/>
                <w:szCs w:val="21"/>
              </w:rPr>
              <w:t>未递交投标保证金且提交了《中小微企业声明函》的中标候选人名单；否决投标情况及理由；提出异议、投诉的渠道和方式。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7.3.1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履约担保</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1、中标人是否提供履约担保：</w:t>
            </w:r>
            <w:r>
              <w:rPr>
                <w:rFonts w:hint="eastAsia" w:ascii="宋体" w:hAnsi="宋体"/>
                <w:kern w:val="0"/>
                <w:szCs w:val="21"/>
                <w:u w:val="single"/>
              </w:rPr>
              <w:t>提供</w:t>
            </w:r>
            <w:r>
              <w:rPr>
                <w:rFonts w:hint="eastAsia" w:ascii="宋体" w:hAnsi="宋体"/>
                <w:kern w:val="0"/>
                <w:szCs w:val="21"/>
              </w:rPr>
              <w:t>。</w:t>
            </w:r>
            <w:r>
              <w:rPr>
                <w:rFonts w:hint="eastAsia" w:ascii="宋体" w:hAnsi="宋体"/>
                <w:i/>
                <w:kern w:val="0"/>
                <w:szCs w:val="21"/>
              </w:rPr>
              <w:t>[提示：招标人要求中标人提供履约担保的，应向中标人提供相应的支付担保。]</w:t>
            </w:r>
          </w:p>
          <w:p>
            <w:pPr>
              <w:snapToGrid w:val="0"/>
              <w:spacing w:line="400" w:lineRule="exact"/>
              <w:ind w:firstLine="420" w:firstLineChars="200"/>
              <w:rPr>
                <w:rFonts w:ascii="宋体" w:hAnsi="宋体"/>
                <w:kern w:val="0"/>
                <w:szCs w:val="21"/>
              </w:rPr>
            </w:pPr>
            <w:r>
              <w:rPr>
                <w:rFonts w:hint="eastAsia"/>
              </w:rPr>
              <w:t>□联合体投标的</w:t>
            </w:r>
            <w:r>
              <w:rPr>
                <w:rFonts w:hint="eastAsia" w:ascii="宋体" w:hAnsi="宋体"/>
                <w:kern w:val="0"/>
                <w:szCs w:val="21"/>
              </w:rPr>
              <w:t>，由联合体牵头人或按照联合体协议的约定提交履约担保。</w:t>
            </w:r>
          </w:p>
          <w:p>
            <w:pPr>
              <w:snapToGrid w:val="0"/>
              <w:spacing w:line="400" w:lineRule="exact"/>
              <w:ind w:firstLine="420" w:firstLineChars="200"/>
              <w:rPr>
                <w:rFonts w:ascii="宋体" w:hAnsi="宋体"/>
                <w:kern w:val="0"/>
                <w:szCs w:val="21"/>
              </w:rPr>
            </w:pPr>
            <w:r>
              <w:rPr>
                <w:rFonts w:hint="eastAsia" w:ascii="宋体" w:hAnsi="宋体"/>
                <w:kern w:val="0"/>
                <w:szCs w:val="21"/>
              </w:rPr>
              <w:t>2、中标人提供履约担保的形式、金额及期限：</w:t>
            </w:r>
          </w:p>
          <w:p>
            <w:pPr>
              <w:snapToGrid w:val="0"/>
              <w:spacing w:line="400" w:lineRule="exact"/>
              <w:ind w:firstLine="420" w:firstLineChars="200"/>
              <w:rPr>
                <w:rFonts w:ascii="宋体" w:hAnsi="宋体"/>
                <w:kern w:val="0"/>
                <w:szCs w:val="21"/>
              </w:rPr>
            </w:pPr>
            <w:r>
              <w:rPr>
                <w:rFonts w:hint="eastAsia" w:ascii="宋体" w:hAnsi="宋体"/>
                <w:kern w:val="0"/>
                <w:szCs w:val="21"/>
              </w:rPr>
              <w:t>（1）履约担保的形式：现金或履约保函或现金+履约保函的组合，履约保函包括银行保函、保证保险和担保保函，其示范文本详见第四章合同条款及格式附件。中标人提交的履约保函应严格执行其示范文本，不得对示范文本中的实质性内容进行修改。</w:t>
            </w:r>
          </w:p>
          <w:p>
            <w:pPr>
              <w:snapToGrid w:val="0"/>
              <w:spacing w:line="400" w:lineRule="exact"/>
              <w:ind w:firstLine="420" w:firstLineChars="200"/>
              <w:rPr>
                <w:rFonts w:ascii="宋体" w:hAnsi="宋体"/>
                <w:kern w:val="0"/>
                <w:szCs w:val="21"/>
              </w:rPr>
            </w:pPr>
            <w:r>
              <w:rPr>
                <w:rFonts w:hint="eastAsia" w:ascii="宋体" w:hAnsi="宋体"/>
                <w:kern w:val="0"/>
                <w:szCs w:val="21"/>
              </w:rPr>
              <w:t>（2）具体要求：履约保函的开立人应当是具有相应资格的银行、保险机构、融资担保公司，其信用资质、履约能力、担保能力、赔付流程、安全保密等应符合履约保函业务条件。履约保函应合法合规，符合招投标行政监督部门、行业主管部门和金融监管部门的相关规定，满足招标文件约定要求。中标人应选择在渝依法设立总部或者设有分支机构的金融机构开具履约保函（包括纸质保函或电子保函）。履约保函为纸质保函的，纸质保函应注明在重庆市辖区范围内的核验地址和核验方式，并确保该纸质保函能在开立人在渝的总部或者分支机构进行核验。中标人对所提交的履约保函的真实性、合法性、有效性负责。</w:t>
            </w:r>
          </w:p>
          <w:p>
            <w:pPr>
              <w:snapToGrid w:val="0"/>
              <w:spacing w:line="400" w:lineRule="exact"/>
              <w:ind w:firstLine="420" w:firstLineChars="200"/>
              <w:rPr>
                <w:rFonts w:ascii="宋体" w:hAnsi="宋体"/>
                <w:kern w:val="0"/>
                <w:szCs w:val="21"/>
              </w:rPr>
            </w:pPr>
            <w:r>
              <w:rPr>
                <w:rFonts w:hint="eastAsia" w:ascii="宋体" w:hAnsi="宋体"/>
                <w:kern w:val="0"/>
                <w:szCs w:val="21"/>
              </w:rPr>
              <w:t>（3）履约担保的金额：</w:t>
            </w:r>
            <w:r>
              <w:rPr>
                <w:rFonts w:hint="eastAsia" w:ascii="宋体" w:hAnsi="宋体"/>
                <w:kern w:val="0"/>
                <w:szCs w:val="21"/>
                <w:u w:val="single"/>
              </w:rPr>
              <w:t xml:space="preserve">                  </w:t>
            </w:r>
            <w:r>
              <w:rPr>
                <w:rFonts w:hint="eastAsia" w:ascii="宋体" w:hAnsi="宋体"/>
                <w:kern w:val="0"/>
                <w:szCs w:val="21"/>
              </w:rPr>
              <w:t>，红名单中的中标人履约担保金额为应缴纳金额的</w:t>
            </w:r>
            <w:r>
              <w:rPr>
                <w:rFonts w:hint="eastAsia" w:ascii="宋体" w:hAnsi="宋体"/>
                <w:kern w:val="0"/>
                <w:szCs w:val="21"/>
                <w:u w:val="single"/>
              </w:rPr>
              <w:t xml:space="preserve">      </w:t>
            </w:r>
            <w:r>
              <w:rPr>
                <w:rFonts w:hint="eastAsia" w:ascii="宋体" w:hAnsi="宋体"/>
                <w:kern w:val="0"/>
                <w:szCs w:val="21"/>
              </w:rPr>
              <w:t>（50%～80%）；联合体中标的，须联合体牵头人在红名单中。中标人是否属于红名单□方式一：以开标环节信用状况查询结果为准；□方式二：以中标通知书落款时间当日信用状况查询结果为准；□方式三：    。</w:t>
            </w:r>
          </w:p>
          <w:p>
            <w:pPr>
              <w:snapToGrid w:val="0"/>
              <w:spacing w:line="400" w:lineRule="exact"/>
              <w:ind w:firstLine="420" w:firstLineChars="200"/>
              <w:rPr>
                <w:rFonts w:ascii="宋体" w:hAnsi="宋体"/>
                <w:kern w:val="0"/>
                <w:szCs w:val="21"/>
              </w:rPr>
            </w:pPr>
            <w:r>
              <w:rPr>
                <w:rFonts w:hint="eastAsia" w:ascii="宋体" w:hAnsi="宋体"/>
                <w:kern w:val="0"/>
                <w:szCs w:val="21"/>
              </w:rPr>
              <w:t>[提示：不超过中标合同金额的10%。]</w:t>
            </w:r>
          </w:p>
          <w:p>
            <w:pPr>
              <w:snapToGrid w:val="0"/>
              <w:spacing w:line="400" w:lineRule="exact"/>
              <w:ind w:firstLine="420" w:firstLineChars="200"/>
              <w:rPr>
                <w:rFonts w:ascii="宋体" w:hAnsi="宋体"/>
                <w:kern w:val="0"/>
                <w:szCs w:val="21"/>
              </w:rPr>
            </w:pPr>
            <w:r>
              <w:rPr>
                <w:rFonts w:hint="eastAsia" w:ascii="宋体" w:hAnsi="宋体"/>
                <w:kern w:val="0"/>
                <w:szCs w:val="21"/>
              </w:rPr>
              <w:t>（4）履约担保的提交时间：见专用合同条款。</w:t>
            </w:r>
          </w:p>
          <w:p>
            <w:pPr>
              <w:snapToGrid w:val="0"/>
              <w:spacing w:line="400" w:lineRule="exact"/>
              <w:ind w:firstLine="420" w:firstLineChars="200"/>
              <w:rPr>
                <w:rFonts w:ascii="宋体" w:hAnsi="宋体"/>
                <w:kern w:val="0"/>
                <w:szCs w:val="21"/>
              </w:rPr>
            </w:pPr>
            <w:r>
              <w:rPr>
                <w:rFonts w:hint="eastAsia" w:ascii="宋体" w:hAnsi="宋体"/>
                <w:kern w:val="0"/>
                <w:szCs w:val="21"/>
              </w:rPr>
              <w:t>（5）履约担保的期限：见专用合同条款。</w:t>
            </w:r>
          </w:p>
          <w:p>
            <w:pPr>
              <w:snapToGrid w:val="0"/>
              <w:spacing w:after="62" w:afterLines="20" w:line="400" w:lineRule="exact"/>
              <w:ind w:firstLine="420" w:firstLineChars="200"/>
              <w:rPr>
                <w:rFonts w:ascii="宋体" w:hAnsi="宋体"/>
                <w:kern w:val="0"/>
                <w:szCs w:val="21"/>
              </w:rPr>
            </w:pPr>
            <w:r>
              <w:rPr>
                <w:rFonts w:hint="eastAsia" w:ascii="宋体" w:hAnsi="宋体"/>
                <w:kern w:val="0"/>
                <w:szCs w:val="21"/>
              </w:rPr>
              <w:t>（6）履约担保的退还时间：见专用合同条款。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7.4.1</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签订合同</w:t>
            </w:r>
          </w:p>
        </w:tc>
        <w:tc>
          <w:tcPr>
            <w:tcW w:w="6698" w:type="dxa"/>
            <w:vAlign w:val="center"/>
          </w:tcPr>
          <w:p>
            <w:pPr>
              <w:snapToGrid w:val="0"/>
              <w:spacing w:after="62" w:afterLines="20" w:line="400" w:lineRule="exact"/>
              <w:ind w:firstLine="420" w:firstLineChars="200"/>
              <w:rPr>
                <w:rFonts w:ascii="宋体" w:hAnsi="宋体"/>
                <w:kern w:val="0"/>
                <w:szCs w:val="21"/>
              </w:rPr>
            </w:pPr>
            <w:r>
              <w:rPr>
                <w:rFonts w:hint="eastAsia" w:ascii="宋体" w:hAnsi="宋体"/>
                <w:kern w:val="0"/>
                <w:szCs w:val="21"/>
              </w:rPr>
              <w:t>依法必须进行招标的项目，中标候选人有《</w:t>
            </w:r>
            <w:r>
              <w:rPr>
                <w:rFonts w:hint="eastAsia" w:ascii="宋体" w:hAnsi="宋体"/>
                <w:kern w:val="0"/>
                <w:szCs w:val="21"/>
                <w:lang w:val="en-US" w:eastAsia="zh-CN"/>
              </w:rPr>
              <w:t>中华人民共和国</w:t>
            </w:r>
            <w:r>
              <w:rPr>
                <w:rFonts w:hint="eastAsia" w:ascii="宋体" w:hAnsi="宋体"/>
                <w:kern w:val="0"/>
                <w:szCs w:val="21"/>
              </w:rPr>
              <w:t>招标投标法实施条例》第七十四条规定行为的，视为特别严重信用不良行为且情节特别严重，按信用记分上限一次性记12分，纳入黑名单管理；中标人有《</w:t>
            </w:r>
            <w:r>
              <w:rPr>
                <w:rFonts w:hint="eastAsia" w:ascii="宋体" w:hAnsi="宋体"/>
                <w:kern w:val="0"/>
                <w:szCs w:val="21"/>
                <w:lang w:val="en-US" w:eastAsia="zh-CN"/>
              </w:rPr>
              <w:t>中华人民共和国</w:t>
            </w:r>
            <w:r>
              <w:rPr>
                <w:rFonts w:hint="eastAsia" w:ascii="宋体" w:hAnsi="宋体"/>
                <w:kern w:val="0"/>
                <w:szCs w:val="21"/>
              </w:rPr>
              <w:t>招标投标法实施条例》第七十四条规定行为的，按中标项目金额10‰罚款上限予以行政处罚，按信用记分上限一次性并处记12分，纳入黑名单管理。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8.1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重新招标</w:t>
            </w:r>
            <w:r>
              <w:rPr>
                <w:rFonts w:hint="eastAsia" w:ascii="宋体" w:hAnsi="宋体"/>
                <w:kern w:val="0"/>
                <w:szCs w:val="21"/>
              </w:rPr>
              <w:t>的情形</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1.按投标人须知第8.1（1）执行；</w:t>
            </w:r>
          </w:p>
          <w:p>
            <w:pPr>
              <w:snapToGrid w:val="0"/>
              <w:spacing w:line="400" w:lineRule="exact"/>
              <w:ind w:firstLine="420" w:firstLineChars="200"/>
              <w:rPr>
                <w:rFonts w:ascii="宋体" w:hAnsi="宋体"/>
                <w:kern w:val="0"/>
                <w:szCs w:val="21"/>
              </w:rPr>
            </w:pPr>
            <w:r>
              <w:rPr>
                <w:rFonts w:ascii="宋体" w:hAnsi="宋体"/>
                <w:kern w:val="0"/>
                <w:szCs w:val="21"/>
              </w:rPr>
              <w:t>2.按投标人须知第8.1（2）执行；</w:t>
            </w:r>
          </w:p>
          <w:p>
            <w:pPr>
              <w:snapToGrid w:val="0"/>
              <w:spacing w:line="400" w:lineRule="exact"/>
              <w:ind w:firstLine="420" w:firstLineChars="200"/>
              <w:rPr>
                <w:rFonts w:ascii="宋体" w:hAnsi="宋体"/>
                <w:kern w:val="0"/>
                <w:szCs w:val="21"/>
              </w:rPr>
            </w:pPr>
            <w:r>
              <w:rPr>
                <w:rFonts w:ascii="宋体" w:hAnsi="宋体"/>
                <w:snapToGrid w:val="0"/>
                <w:kern w:val="0"/>
                <w:szCs w:val="21"/>
              </w:rPr>
              <w:t>3.</w:t>
            </w:r>
            <w:r>
              <w:rPr>
                <w:rFonts w:ascii="宋体" w:hAnsi="宋体"/>
                <w:kern w:val="0"/>
                <w:szCs w:val="21"/>
              </w:rPr>
              <w:t>按投标人须知第8.1（3）执行；</w:t>
            </w:r>
          </w:p>
          <w:p>
            <w:pPr>
              <w:snapToGrid w:val="0"/>
              <w:spacing w:line="400" w:lineRule="exact"/>
              <w:ind w:firstLine="420" w:firstLineChars="200"/>
              <w:rPr>
                <w:rFonts w:ascii="宋体" w:hAnsi="宋体"/>
                <w:kern w:val="0"/>
                <w:szCs w:val="21"/>
              </w:rPr>
            </w:pPr>
            <w:r>
              <w:rPr>
                <w:rFonts w:ascii="宋体" w:hAnsi="宋体"/>
                <w:snapToGrid w:val="0"/>
                <w:kern w:val="0"/>
                <w:szCs w:val="21"/>
              </w:rPr>
              <w:t>4.</w:t>
            </w:r>
            <w:r>
              <w:rPr>
                <w:rFonts w:ascii="宋体" w:hAnsi="宋体"/>
                <w:kern w:val="0"/>
                <w:szCs w:val="21"/>
              </w:rPr>
              <w:t>按投标人须知第8.1（4）执行</w:t>
            </w:r>
            <w:r>
              <w:rPr>
                <w:rFonts w:hint="eastAsia" w:ascii="宋体" w:hAnsi="宋体"/>
                <w:kern w:val="0"/>
                <w:szCs w:val="21"/>
              </w:rPr>
              <w:t>。</w:t>
            </w:r>
          </w:p>
          <w:p>
            <w:pPr>
              <w:snapToGrid w:val="0"/>
              <w:spacing w:line="400" w:lineRule="exact"/>
              <w:ind w:firstLine="420" w:firstLineChars="200"/>
              <w:rPr>
                <w:rFonts w:ascii="宋体" w:hAnsi="宋体"/>
                <w:kern w:val="0"/>
                <w:szCs w:val="21"/>
              </w:rPr>
            </w:pPr>
            <w:r>
              <w:rPr>
                <w:rFonts w:hint="eastAsia" w:ascii="宋体" w:hAnsi="宋体"/>
                <w:kern w:val="0"/>
                <w:szCs w:val="21"/>
              </w:rPr>
              <w:t>注：本款只适用于首次招标。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8.2</w:t>
            </w:r>
          </w:p>
        </w:tc>
        <w:tc>
          <w:tcPr>
            <w:tcW w:w="1436" w:type="dxa"/>
            <w:vAlign w:val="center"/>
          </w:tcPr>
          <w:p>
            <w:pPr>
              <w:snapToGrid w:val="0"/>
              <w:spacing w:line="400" w:lineRule="exact"/>
              <w:jc w:val="center"/>
            </w:pPr>
            <w:bookmarkStart w:id="186" w:name="_Toc16930431"/>
            <w:bookmarkStart w:id="187" w:name="_Toc430530434"/>
            <w:bookmarkStart w:id="188" w:name="_Toc13210670"/>
            <w:bookmarkStart w:id="189" w:name="_Toc536628250"/>
            <w:bookmarkStart w:id="190" w:name="_Toc509218709"/>
            <w:r>
              <w:rPr>
                <w:rFonts w:hint="eastAsia" w:ascii="宋体" w:hAnsi="宋体"/>
                <w:kern w:val="0"/>
                <w:szCs w:val="21"/>
              </w:rPr>
              <w:t>重新</w:t>
            </w:r>
            <w:r>
              <w:rPr>
                <w:rFonts w:ascii="宋体" w:hAnsi="宋体"/>
                <w:kern w:val="0"/>
                <w:szCs w:val="21"/>
              </w:rPr>
              <w:t>招标和不再招标</w:t>
            </w:r>
            <w:bookmarkEnd w:id="186"/>
            <w:bookmarkEnd w:id="187"/>
            <w:bookmarkEnd w:id="188"/>
            <w:bookmarkEnd w:id="189"/>
            <w:bookmarkEnd w:id="190"/>
          </w:p>
        </w:tc>
        <w:tc>
          <w:tcPr>
            <w:tcW w:w="6698" w:type="dxa"/>
            <w:vAlign w:val="center"/>
          </w:tcPr>
          <w:p>
            <w:pPr>
              <w:autoSpaceDE w:val="0"/>
              <w:autoSpaceDN w:val="0"/>
              <w:adjustRightInd w:val="0"/>
              <w:snapToGrid w:val="0"/>
              <w:spacing w:after="62" w:afterLines="20" w:line="400" w:lineRule="exact"/>
              <w:ind w:firstLine="420" w:firstLineChars="200"/>
              <w:rPr>
                <w:rFonts w:ascii="宋体" w:hAnsi="宋体"/>
                <w:snapToGrid w:val="0"/>
                <w:kern w:val="0"/>
                <w:szCs w:val="21"/>
              </w:rPr>
            </w:pPr>
            <w:r>
              <w:rPr>
                <w:rFonts w:hint="eastAsia" w:ascii="宋体" w:hAnsi="宋体"/>
                <w:snapToGrid w:val="0"/>
                <w:kern w:val="0"/>
                <w:szCs w:val="21"/>
              </w:rPr>
              <w:t>重新招标的投标人仍然少于三个的，按照招标投标法律法规规定的程序开标和评标。重新招标经评审有有效投标人的，应当依法确定中标候选人；无有效投标人的，可以不再进行招标，但是按照国家有关规定需要履行审批、核准、备案手续的依法必须进行招标的项目，应当报原项目投资主管部门审批、核准、备案</w:t>
            </w:r>
            <w:r>
              <w:rPr>
                <w:rFonts w:ascii="宋体" w:hAnsi="宋体"/>
                <w:snapToGrid w:val="0"/>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10</w:t>
            </w:r>
          </w:p>
        </w:tc>
        <w:tc>
          <w:tcPr>
            <w:tcW w:w="8134" w:type="dxa"/>
            <w:gridSpan w:val="2"/>
            <w:vAlign w:val="center"/>
          </w:tcPr>
          <w:p>
            <w:pPr>
              <w:snapToGrid w:val="0"/>
              <w:spacing w:line="400" w:lineRule="exact"/>
              <w:jc w:val="center"/>
              <w:rPr>
                <w:rFonts w:ascii="宋体" w:hAnsi="宋体"/>
                <w:kern w:val="0"/>
                <w:szCs w:val="21"/>
              </w:rPr>
            </w:pPr>
            <w:r>
              <w:rPr>
                <w:rFonts w:ascii="宋体" w:hAnsi="宋体"/>
                <w:kern w:val="0"/>
                <w:szCs w:val="21"/>
              </w:rPr>
              <w:t>需要补充的其他内容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10.1</w:t>
            </w:r>
          </w:p>
        </w:tc>
        <w:tc>
          <w:tcPr>
            <w:tcW w:w="1436" w:type="dxa"/>
            <w:vAlign w:val="center"/>
          </w:tcPr>
          <w:p>
            <w:pPr>
              <w:snapToGrid w:val="0"/>
              <w:spacing w:line="400" w:lineRule="exact"/>
              <w:jc w:val="center"/>
              <w:rPr>
                <w:rFonts w:ascii="宋体" w:hAnsi="宋体"/>
                <w:kern w:val="0"/>
                <w:szCs w:val="21"/>
              </w:rPr>
            </w:pPr>
            <w:r>
              <w:rPr>
                <w:rFonts w:ascii="宋体" w:hAnsi="宋体"/>
                <w:kern w:val="0"/>
                <w:szCs w:val="21"/>
              </w:rPr>
              <w:t>支付担保</w:t>
            </w:r>
          </w:p>
        </w:tc>
        <w:tc>
          <w:tcPr>
            <w:tcW w:w="6698" w:type="dxa"/>
            <w:vAlign w:val="center"/>
          </w:tcPr>
          <w:p>
            <w:pPr>
              <w:snapToGrid w:val="0"/>
              <w:spacing w:line="400" w:lineRule="exact"/>
              <w:ind w:firstLine="420" w:firstLineChars="200"/>
              <w:rPr>
                <w:rFonts w:ascii="宋体" w:hAnsi="宋体"/>
                <w:kern w:val="0"/>
                <w:szCs w:val="21"/>
              </w:rPr>
            </w:pPr>
            <w:r>
              <w:rPr>
                <w:rFonts w:hint="eastAsia" w:ascii="宋体" w:hAnsi="宋体"/>
                <w:kern w:val="0"/>
                <w:szCs w:val="21"/>
              </w:rPr>
              <w:t>招标人应按第四章合同专用条款约定向中标人提供相应的支付担保</w:t>
            </w:r>
            <w:r>
              <w:rPr>
                <w:rFonts w:ascii="宋体" w:hAnsi="宋体"/>
                <w:kern w:val="0"/>
                <w:szCs w:val="21"/>
              </w:rPr>
              <w:t>。</w:t>
            </w:r>
          </w:p>
          <w:p>
            <w:pPr>
              <w:snapToGrid w:val="0"/>
              <w:spacing w:after="124" w:afterLines="40" w:line="400" w:lineRule="exact"/>
              <w:ind w:firstLine="420" w:firstLineChars="200"/>
              <w:rPr>
                <w:rFonts w:ascii="宋体" w:hAnsi="宋体"/>
                <w:kern w:val="0"/>
                <w:szCs w:val="21"/>
              </w:rPr>
            </w:pPr>
            <w:r>
              <w:rPr>
                <w:rFonts w:ascii="宋体" w:hAnsi="宋体"/>
                <w:kern w:val="0"/>
                <w:szCs w:val="21"/>
              </w:rPr>
              <w:t>招标人将在</w:t>
            </w:r>
            <w:r>
              <w:rPr>
                <w:rFonts w:hint="eastAsia" w:ascii="宋体" w:hAnsi="宋体"/>
                <w:kern w:val="0"/>
                <w:szCs w:val="21"/>
              </w:rPr>
              <w:t>中标人</w:t>
            </w:r>
            <w:r>
              <w:rPr>
                <w:rFonts w:ascii="宋体" w:hAnsi="宋体"/>
                <w:kern w:val="0"/>
                <w:szCs w:val="21"/>
              </w:rPr>
              <w:t>提供履约担保后，签订合同协议书之前向中标人提交支付担保。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10.2</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项目经理答辩</w:t>
            </w:r>
          </w:p>
        </w:tc>
        <w:tc>
          <w:tcPr>
            <w:tcW w:w="6698" w:type="dxa"/>
            <w:vAlign w:val="center"/>
          </w:tcPr>
          <w:p>
            <w:pPr>
              <w:snapToGrid w:val="0"/>
              <w:spacing w:line="400" w:lineRule="exact"/>
              <w:ind w:firstLine="420" w:firstLineChars="200"/>
              <w:rPr>
                <w:rFonts w:ascii="宋体" w:hAnsi="宋体"/>
                <w:kern w:val="0"/>
                <w:szCs w:val="21"/>
              </w:rPr>
            </w:pPr>
            <w:r>
              <w:rPr>
                <w:rFonts w:ascii="宋体" w:hAnsi="宋体"/>
                <w:kern w:val="0"/>
                <w:szCs w:val="21"/>
              </w:rPr>
              <w:t>项目经理答辩</w:t>
            </w:r>
            <w:r>
              <w:rPr>
                <w:rFonts w:hint="eastAsia" w:ascii="宋体" w:hAnsi="宋体"/>
                <w:kern w:val="0"/>
                <w:szCs w:val="21"/>
              </w:rPr>
              <w:t>（综合评估法可选用）</w:t>
            </w:r>
            <w:r>
              <w:rPr>
                <w:rFonts w:ascii="宋体" w:hAnsi="宋体"/>
                <w:kern w:val="0"/>
                <w:szCs w:val="21"/>
              </w:rPr>
              <w:t>：</w:t>
            </w:r>
            <w:r>
              <w:rPr>
                <w:rFonts w:hint="eastAsia" w:ascii="宋体" w:hAnsi="宋体"/>
                <w:kern w:val="0"/>
                <w:szCs w:val="21"/>
              </w:rPr>
              <w:t>□</w:t>
            </w:r>
            <w:r>
              <w:rPr>
                <w:rFonts w:ascii="宋体" w:hAnsi="宋体"/>
                <w:kern w:val="0"/>
                <w:szCs w:val="21"/>
              </w:rPr>
              <w:t>有</w:t>
            </w:r>
            <w:r>
              <w:rPr>
                <w:rFonts w:hint="eastAsia" w:ascii="宋体" w:hAnsi="宋体"/>
                <w:kern w:val="0"/>
                <w:szCs w:val="21"/>
              </w:rPr>
              <w:t>；□</w:t>
            </w:r>
            <w:r>
              <w:rPr>
                <w:rFonts w:ascii="宋体" w:hAnsi="宋体"/>
                <w:kern w:val="0"/>
                <w:szCs w:val="21"/>
              </w:rPr>
              <w:t>无。</w:t>
            </w:r>
            <w:r>
              <w:rPr>
                <w:rFonts w:hint="eastAsia" w:ascii="宋体" w:hAnsi="宋体"/>
                <w:i/>
                <w:iCs/>
                <w:kern w:val="0"/>
                <w:szCs w:val="21"/>
              </w:rPr>
              <w:t>[提示：评标办法采用综合评估法时选用。]</w:t>
            </w:r>
          </w:p>
          <w:p>
            <w:pPr>
              <w:widowControl/>
              <w:spacing w:after="124" w:afterLines="40" w:line="400" w:lineRule="exact"/>
              <w:ind w:firstLine="420" w:firstLineChars="200"/>
              <w:rPr>
                <w:rFonts w:ascii="宋体" w:hAnsi="宋体"/>
                <w:kern w:val="0"/>
                <w:szCs w:val="21"/>
              </w:rPr>
            </w:pPr>
            <w:r>
              <w:rPr>
                <w:rFonts w:ascii="宋体" w:hAnsi="宋体"/>
                <w:kern w:val="0"/>
                <w:szCs w:val="21"/>
              </w:rPr>
              <w:t>招标人设有项目经理答辩的，则整个答辩过程均通过语音系统来完成，项目经理不得与评标委员会面对面接触。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ascii="宋体" w:hAnsi="宋体"/>
                <w:kern w:val="0"/>
                <w:szCs w:val="21"/>
              </w:rPr>
              <w:t>10.3</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异议、</w:t>
            </w:r>
            <w:r>
              <w:rPr>
                <w:rFonts w:ascii="宋体" w:hAnsi="宋体"/>
                <w:kern w:val="0"/>
                <w:szCs w:val="21"/>
              </w:rPr>
              <w:t>投诉处理</w:t>
            </w:r>
          </w:p>
        </w:tc>
        <w:tc>
          <w:tcPr>
            <w:tcW w:w="6698" w:type="dxa"/>
            <w:vAlign w:val="center"/>
          </w:tcPr>
          <w:p>
            <w:pPr>
              <w:widowControl/>
              <w:snapToGrid w:val="0"/>
              <w:spacing w:line="400" w:lineRule="exact"/>
              <w:ind w:firstLine="420" w:firstLineChars="200"/>
              <w:rPr>
                <w:rFonts w:ascii="宋体" w:hAnsi="宋体"/>
                <w:kern w:val="0"/>
                <w:szCs w:val="21"/>
              </w:rPr>
            </w:pPr>
            <w:r>
              <w:rPr>
                <w:rFonts w:ascii="宋体" w:hAnsi="宋体"/>
                <w:kern w:val="0"/>
                <w:szCs w:val="21"/>
              </w:rPr>
              <w:t>1.</w:t>
            </w:r>
            <w:r>
              <w:rPr>
                <w:rFonts w:hint="eastAsia" w:ascii="宋体" w:hAnsi="宋体"/>
                <w:kern w:val="0"/>
                <w:szCs w:val="21"/>
              </w:rPr>
              <w:t xml:space="preserve"> </w:t>
            </w:r>
            <w:r>
              <w:rPr>
                <w:rFonts w:ascii="宋体" w:hAnsi="宋体"/>
                <w:kern w:val="0"/>
                <w:szCs w:val="21"/>
              </w:rPr>
              <w:t>投标人或者其他利害关系人就本项目的招标文件</w:t>
            </w:r>
            <w:r>
              <w:rPr>
                <w:rFonts w:hint="eastAsia" w:ascii="宋体" w:hAnsi="宋体"/>
                <w:kern w:val="0"/>
                <w:szCs w:val="21"/>
              </w:rPr>
              <w:t>（含澄清修改）、开标情况、</w:t>
            </w:r>
            <w:r>
              <w:rPr>
                <w:rFonts w:ascii="宋体" w:hAnsi="宋体"/>
                <w:kern w:val="0"/>
                <w:szCs w:val="21"/>
              </w:rPr>
              <w:t>评标结果等事项提出投诉</w:t>
            </w:r>
            <w:r>
              <w:rPr>
                <w:rFonts w:hint="eastAsia" w:ascii="宋体" w:hAnsi="宋体"/>
                <w:kern w:val="0"/>
                <w:szCs w:val="21"/>
              </w:rPr>
              <w:t>的</w:t>
            </w:r>
            <w:r>
              <w:rPr>
                <w:rFonts w:ascii="宋体" w:hAnsi="宋体"/>
                <w:kern w:val="0"/>
                <w:szCs w:val="21"/>
              </w:rPr>
              <w:t>，应当先向招标人提出异议；招标人应当在规定时间内答复；对招标人的答复不满意，可向行政监督部门投诉。</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提出异议或投诉时应当包括下列内容：</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（1）异议人或投诉人的</w:t>
            </w:r>
            <w:r>
              <w:rPr>
                <w:rFonts w:hint="eastAsia" w:ascii="宋体" w:hAnsi="宋体"/>
                <w:kern w:val="0"/>
                <w:szCs w:val="21"/>
                <w:lang w:val="en-US" w:eastAsia="zh-CN"/>
              </w:rPr>
              <w:t>姓名/</w:t>
            </w:r>
            <w:r>
              <w:rPr>
                <w:rFonts w:hint="eastAsia" w:ascii="宋体" w:hAnsi="宋体"/>
                <w:kern w:val="0"/>
                <w:szCs w:val="21"/>
              </w:rPr>
              <w:t>名称、地址及有效联系方式；</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（2）被异议人或被投诉人的名称、地址及有效联系方式；</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（3）异议或投诉事项的基本事实；</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（4）请求及主张；</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（5）涉及事项的证据、证明材料。</w:t>
            </w:r>
          </w:p>
          <w:p>
            <w:pPr>
              <w:widowControl/>
              <w:snapToGrid w:val="0"/>
              <w:spacing w:line="400" w:lineRule="exact"/>
              <w:ind w:firstLine="420" w:firstLineChars="200"/>
              <w:rPr>
                <w:rFonts w:ascii="宋体" w:hAnsi="宋体"/>
                <w:kern w:val="0"/>
                <w:szCs w:val="21"/>
              </w:rPr>
            </w:pPr>
            <w:r>
              <w:rPr>
                <w:rFonts w:hint="eastAsia" w:ascii="宋体" w:hAnsi="宋体"/>
                <w:kern w:val="0"/>
                <w:szCs w:val="21"/>
              </w:rPr>
              <w:t>异议人或投诉人是法人的，异议书或投诉书必须由其法定代表人或者委托代理人签名并加盖单位</w:t>
            </w:r>
            <w:r>
              <w:rPr>
                <w:rFonts w:ascii="宋体" w:hAnsi="宋体"/>
                <w:kern w:val="0"/>
                <w:szCs w:val="21"/>
              </w:rPr>
              <w:t>公</w:t>
            </w:r>
            <w:r>
              <w:rPr>
                <w:rFonts w:hint="eastAsia" w:ascii="宋体" w:hAnsi="宋体"/>
                <w:kern w:val="0"/>
                <w:szCs w:val="21"/>
              </w:rPr>
              <w:t>章；异议人或投诉人是其他组织或者自然人的，异议书或投诉书必须由其主要负责人签名或者异议人（或投诉人）本人签名，并附有效身份证明。如有关材料是外文，应当同时提供中文译本。</w:t>
            </w:r>
          </w:p>
          <w:p>
            <w:pPr>
              <w:widowControl/>
              <w:snapToGrid w:val="0"/>
              <w:spacing w:line="400" w:lineRule="exact"/>
              <w:ind w:firstLine="420" w:firstLineChars="200"/>
              <w:rPr>
                <w:rFonts w:ascii="宋体" w:hAnsi="宋体"/>
                <w:kern w:val="0"/>
                <w:szCs w:val="21"/>
              </w:rPr>
            </w:pPr>
            <w:r>
              <w:rPr>
                <w:rFonts w:ascii="宋体" w:hAnsi="宋体"/>
                <w:kern w:val="0"/>
                <w:szCs w:val="21"/>
              </w:rPr>
              <w:t>2.</w:t>
            </w:r>
            <w:r>
              <w:rPr>
                <w:rFonts w:hint="eastAsia" w:ascii="宋体" w:hAnsi="宋体"/>
                <w:kern w:val="0"/>
                <w:szCs w:val="21"/>
              </w:rPr>
              <w:t xml:space="preserve"> </w:t>
            </w:r>
            <w:r>
              <w:rPr>
                <w:rFonts w:ascii="宋体" w:hAnsi="宋体"/>
                <w:kern w:val="0"/>
                <w:szCs w:val="21"/>
              </w:rPr>
              <w:t>行政监督部门依照《</w:t>
            </w:r>
            <w:r>
              <w:rPr>
                <w:rFonts w:hint="eastAsia" w:ascii="宋体" w:hAnsi="宋体"/>
                <w:kern w:val="0"/>
                <w:szCs w:val="21"/>
              </w:rPr>
              <w:t>中华人民共和国</w:t>
            </w:r>
            <w:r>
              <w:rPr>
                <w:rFonts w:ascii="宋体" w:hAnsi="宋体"/>
                <w:kern w:val="0"/>
                <w:szCs w:val="21"/>
              </w:rPr>
              <w:t>招标投标法》、《</w:t>
            </w:r>
            <w:r>
              <w:rPr>
                <w:rFonts w:hint="eastAsia" w:ascii="宋体" w:hAnsi="宋体"/>
                <w:kern w:val="0"/>
                <w:szCs w:val="21"/>
              </w:rPr>
              <w:t>中华人民共和国</w:t>
            </w:r>
            <w:r>
              <w:rPr>
                <w:rFonts w:ascii="宋体" w:hAnsi="宋体"/>
                <w:kern w:val="0"/>
                <w:szCs w:val="21"/>
              </w:rPr>
              <w:t>招标投标法实施条例》、《重庆市招标投标条例》、《工程建设项目招标投标活动投诉处理办法》（七部委令第11号（根据九部门2013年第23号令修正））、</w:t>
            </w:r>
            <w:r>
              <w:rPr>
                <w:rFonts w:hint="eastAsia" w:asciiTheme="minorEastAsia" w:hAnsiTheme="minorEastAsia" w:eastAsiaTheme="minorEastAsia" w:cstheme="minorEastAsia"/>
                <w:kern w:val="0"/>
                <w:szCs w:val="21"/>
              </w:rPr>
              <w:t>《关于印发&lt;重庆市招标投标活动投诉处理实施细则（修订）&gt;的通知》（渝公管发〔2021〕54号）</w:t>
            </w:r>
            <w:r>
              <w:rPr>
                <w:rFonts w:ascii="宋体" w:hAnsi="宋体"/>
                <w:kern w:val="0"/>
                <w:szCs w:val="21"/>
              </w:rPr>
              <w:t>等法律法规文件处理投诉。</w:t>
            </w:r>
          </w:p>
          <w:p>
            <w:pPr>
              <w:snapToGrid w:val="0"/>
              <w:spacing w:line="400" w:lineRule="exact"/>
              <w:ind w:firstLine="420" w:firstLineChars="200"/>
              <w:rPr>
                <w:rFonts w:ascii="宋体" w:hAnsi="宋体"/>
                <w:kern w:val="0"/>
                <w:szCs w:val="21"/>
              </w:rPr>
            </w:pPr>
            <w:r>
              <w:rPr>
                <w:rFonts w:hint="eastAsia" w:ascii="宋体" w:hAnsi="宋体"/>
                <w:kern w:val="0"/>
                <w:szCs w:val="21"/>
              </w:rPr>
              <w:t>3. 根据《重庆市工程建设领域招标投标信用管理暂行办法》的规定，投标人捏造事实、伪造材料，或者以非法手段获取证明材料进行质疑或者投诉的，将被列入黑名单管理；</w:t>
            </w:r>
            <w:r>
              <w:rPr>
                <w:rFonts w:ascii="宋体" w:hAnsi="宋体"/>
                <w:kern w:val="0"/>
                <w:szCs w:val="21"/>
              </w:rPr>
              <w:t>给他人造成损失的，依法承担赔偿责任。</w:t>
            </w:r>
          </w:p>
          <w:p>
            <w:pPr>
              <w:snapToGrid w:val="0"/>
              <w:spacing w:line="400" w:lineRule="exact"/>
              <w:ind w:firstLine="420" w:firstLineChars="200"/>
              <w:rPr>
                <w:rFonts w:ascii="宋体" w:hAnsi="宋体"/>
                <w:kern w:val="0"/>
                <w:szCs w:val="21"/>
                <w:u w:val="single"/>
              </w:rPr>
            </w:pPr>
            <w:r>
              <w:rPr>
                <w:rFonts w:hint="eastAsia" w:ascii="宋体" w:hAnsi="宋体"/>
                <w:kern w:val="0"/>
                <w:szCs w:val="21"/>
              </w:rPr>
              <w:t>4.</w:t>
            </w:r>
            <w:r>
              <w:rPr>
                <w:rFonts w:hint="eastAsia"/>
              </w:rPr>
              <w:t xml:space="preserve"> </w:t>
            </w:r>
            <w:r>
              <w:rPr>
                <w:rFonts w:hint="eastAsia" w:ascii="宋体" w:hAnsi="宋体"/>
                <w:kern w:val="0"/>
                <w:szCs w:val="21"/>
              </w:rPr>
              <w:t>异议受理单位：</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hint="eastAsia" w:ascii="宋体" w:hAnsi="宋体"/>
                <w:kern w:val="0"/>
                <w:szCs w:val="21"/>
                <w:lang w:val="en-US" w:eastAsia="zh-CN"/>
              </w:rPr>
            </w:pPr>
            <w:r>
              <w:rPr>
                <w:rFonts w:hint="eastAsia" w:ascii="宋体" w:hAnsi="宋体"/>
                <w:kern w:val="0"/>
                <w:szCs w:val="21"/>
              </w:rPr>
              <w:t>联系电话：</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ascii="宋体" w:hAnsi="宋体"/>
                <w:kern w:val="0"/>
                <w:szCs w:val="21"/>
              </w:rPr>
            </w:pPr>
            <w:r>
              <w:rPr>
                <w:rFonts w:hint="eastAsia" w:ascii="宋体" w:hAnsi="宋体"/>
                <w:kern w:val="0"/>
                <w:szCs w:val="21"/>
              </w:rPr>
              <w:t>投诉受理部门：</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ascii="宋体" w:hAnsi="宋体"/>
                <w:kern w:val="0"/>
                <w:szCs w:val="21"/>
              </w:rPr>
            </w:pPr>
            <w:r>
              <w:rPr>
                <w:rFonts w:hint="eastAsia" w:ascii="宋体" w:hAnsi="宋体"/>
                <w:kern w:val="0"/>
                <w:szCs w:val="21"/>
              </w:rPr>
              <w:t>联系电话：</w:t>
            </w:r>
            <w:r>
              <w:rPr>
                <w:rFonts w:hint="eastAsia" w:asciiTheme="minorEastAsia" w:hAnsiTheme="minorEastAsia" w:eastAsiaTheme="minorEastAsia" w:cstheme="minorEastAsia"/>
                <w:color w:val="auto"/>
                <w:kern w:val="0"/>
                <w:szCs w:val="21"/>
                <w:highlight w:val="none"/>
                <w:u w:val="single"/>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10.4</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工程量清单</w:t>
            </w:r>
          </w:p>
          <w:p>
            <w:pPr>
              <w:snapToGrid w:val="0"/>
              <w:spacing w:line="400" w:lineRule="exact"/>
              <w:jc w:val="center"/>
              <w:rPr>
                <w:rFonts w:ascii="宋体" w:hAnsi="宋体"/>
                <w:kern w:val="0"/>
                <w:szCs w:val="21"/>
              </w:rPr>
            </w:pPr>
            <w:r>
              <w:rPr>
                <w:rFonts w:hint="eastAsia" w:ascii="宋体" w:hAnsi="宋体"/>
                <w:kern w:val="0"/>
                <w:szCs w:val="21"/>
              </w:rPr>
              <w:t>编制说明</w:t>
            </w:r>
          </w:p>
        </w:tc>
        <w:tc>
          <w:tcPr>
            <w:tcW w:w="6698" w:type="dxa"/>
            <w:vAlign w:val="center"/>
          </w:tcPr>
          <w:p>
            <w:pPr>
              <w:widowControl/>
              <w:spacing w:line="400" w:lineRule="exact"/>
              <w:ind w:firstLine="420" w:firstLineChars="200"/>
              <w:rPr>
                <w:rFonts w:ascii="宋体" w:hAnsi="宋体"/>
                <w:kern w:val="0"/>
                <w:szCs w:val="21"/>
              </w:rPr>
            </w:pPr>
            <w:r>
              <w:rPr>
                <w:rFonts w:hint="eastAsia" w:ascii="宋体" w:hAnsi="宋体"/>
                <w:i/>
                <w:kern w:val="0"/>
                <w:szCs w:val="21"/>
              </w:rPr>
              <w:t>[提示：由招标人根据项目实际情况，自行编制。工程量清单编制说明中不得有违背相关法律法规及规范性文件规定的内容，若有涉及否决投标的规定必须集中在后文“否决投标情况一览表”中，否则以“否决投标情况一览表”为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10.5</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建筑</w:t>
            </w:r>
            <w:r>
              <w:rPr>
                <w:rFonts w:ascii="宋体" w:hAnsi="宋体"/>
                <w:kern w:val="0"/>
                <w:szCs w:val="21"/>
              </w:rPr>
              <w:t>领域实施农民工工资专用账户相关</w:t>
            </w:r>
            <w:r>
              <w:rPr>
                <w:rFonts w:hint="eastAsia" w:ascii="宋体" w:hAnsi="宋体"/>
                <w:kern w:val="0"/>
                <w:szCs w:val="21"/>
              </w:rPr>
              <w:t>要求</w:t>
            </w:r>
          </w:p>
        </w:tc>
        <w:tc>
          <w:tcPr>
            <w:tcW w:w="6698" w:type="dxa"/>
            <w:vAlign w:val="center"/>
          </w:tcPr>
          <w:p>
            <w:pPr>
              <w:widowControl/>
              <w:spacing w:line="400" w:lineRule="exact"/>
              <w:ind w:firstLine="420" w:firstLineChars="200"/>
              <w:rPr>
                <w:rFonts w:ascii="宋体" w:hAnsi="宋体"/>
                <w:kern w:val="0"/>
                <w:szCs w:val="21"/>
              </w:rPr>
            </w:pPr>
            <w:r>
              <w:rPr>
                <w:rFonts w:hint="eastAsia" w:ascii="宋体" w:hAnsi="宋体"/>
                <w:kern w:val="0"/>
                <w:szCs w:val="21"/>
              </w:rPr>
              <w:t>本项目在</w:t>
            </w:r>
            <w:r>
              <w:rPr>
                <w:rFonts w:ascii="宋体" w:hAnsi="宋体"/>
                <w:kern w:val="0"/>
                <w:szCs w:val="21"/>
              </w:rPr>
              <w:t>实施过程中</w:t>
            </w:r>
            <w:r>
              <w:rPr>
                <w:rFonts w:hint="eastAsia" w:ascii="宋体" w:hAnsi="宋体"/>
                <w:kern w:val="0"/>
                <w:szCs w:val="21"/>
              </w:rPr>
              <w:t>，中标人</w:t>
            </w:r>
            <w:r>
              <w:rPr>
                <w:rFonts w:ascii="宋体" w:hAnsi="宋体"/>
                <w:kern w:val="0"/>
                <w:szCs w:val="21"/>
              </w:rPr>
              <w:t>必须执行</w:t>
            </w:r>
            <w:r>
              <w:rPr>
                <w:rFonts w:hint="eastAsia" w:ascii="宋体" w:hAnsi="宋体"/>
                <w:kern w:val="0"/>
                <w:szCs w:val="21"/>
                <w:u w:val="single"/>
              </w:rPr>
              <w:t>《保障农民工工资支付条例》（中华人民共和国国务院令第724号）、《重庆市人民政府办公厅关于全面治理拖欠农民工工资问题的实施意见》（渝府办发〔2016〕101号）、《重庆市</w:t>
            </w:r>
            <w:r>
              <w:rPr>
                <w:rFonts w:ascii="宋体" w:hAnsi="宋体"/>
                <w:kern w:val="0"/>
                <w:szCs w:val="21"/>
                <w:u w:val="single"/>
              </w:rPr>
              <w:t>城乡建设</w:t>
            </w:r>
            <w:r>
              <w:rPr>
                <w:rFonts w:hint="eastAsia" w:ascii="宋体" w:hAnsi="宋体"/>
                <w:kern w:val="0"/>
                <w:szCs w:val="21"/>
                <w:u w:val="single"/>
              </w:rPr>
              <w:t>委员会</w:t>
            </w:r>
            <w:r>
              <w:rPr>
                <w:rFonts w:ascii="宋体" w:hAnsi="宋体"/>
                <w:kern w:val="0"/>
                <w:szCs w:val="21"/>
                <w:u w:val="single"/>
              </w:rPr>
              <w:t>、中国人民银行重庆营业管理部、中国银行业</w:t>
            </w:r>
            <w:r>
              <w:rPr>
                <w:rFonts w:hint="eastAsia" w:ascii="宋体" w:hAnsi="宋体"/>
                <w:kern w:val="0"/>
                <w:szCs w:val="21"/>
                <w:u w:val="single"/>
              </w:rPr>
              <w:t>监督</w:t>
            </w:r>
            <w:r>
              <w:rPr>
                <w:rFonts w:ascii="宋体" w:hAnsi="宋体"/>
                <w:kern w:val="0"/>
                <w:szCs w:val="21"/>
                <w:u w:val="single"/>
              </w:rPr>
              <w:t>管理委员会重庆监管局</w:t>
            </w:r>
            <w:r>
              <w:rPr>
                <w:rFonts w:hint="eastAsia" w:ascii="宋体" w:hAnsi="宋体"/>
                <w:kern w:val="0"/>
                <w:szCs w:val="21"/>
                <w:u w:val="single"/>
              </w:rPr>
              <w:t>关于</w:t>
            </w:r>
            <w:r>
              <w:rPr>
                <w:rFonts w:ascii="宋体" w:hAnsi="宋体"/>
                <w:kern w:val="0"/>
                <w:szCs w:val="21"/>
                <w:u w:val="single"/>
              </w:rPr>
              <w:t>建筑领域实施农民工工资专用账户管理及银行代发制度（</w:t>
            </w:r>
            <w:r>
              <w:rPr>
                <w:rFonts w:hint="eastAsia" w:ascii="宋体" w:hAnsi="宋体"/>
                <w:kern w:val="0"/>
                <w:szCs w:val="21"/>
                <w:u w:val="single"/>
              </w:rPr>
              <w:t>试行</w:t>
            </w:r>
            <w:r>
              <w:rPr>
                <w:rFonts w:ascii="宋体" w:hAnsi="宋体"/>
                <w:kern w:val="0"/>
                <w:szCs w:val="21"/>
                <w:u w:val="single"/>
              </w:rPr>
              <w:t>）</w:t>
            </w:r>
            <w:r>
              <w:rPr>
                <w:rFonts w:hint="eastAsia" w:ascii="宋体" w:hAnsi="宋体"/>
                <w:kern w:val="0"/>
                <w:szCs w:val="21"/>
                <w:u w:val="single"/>
              </w:rPr>
              <w:t>的</w:t>
            </w:r>
            <w:r>
              <w:rPr>
                <w:rFonts w:ascii="宋体" w:hAnsi="宋体"/>
                <w:kern w:val="0"/>
                <w:szCs w:val="21"/>
                <w:u w:val="single"/>
              </w:rPr>
              <w:t>通知</w:t>
            </w:r>
            <w:r>
              <w:rPr>
                <w:rFonts w:hint="eastAsia" w:ascii="宋体" w:hAnsi="宋体"/>
                <w:kern w:val="0"/>
                <w:szCs w:val="21"/>
                <w:u w:val="single"/>
              </w:rPr>
              <w:t>》（渝</w:t>
            </w:r>
            <w:r>
              <w:rPr>
                <w:rFonts w:ascii="宋体" w:hAnsi="宋体"/>
                <w:kern w:val="0"/>
                <w:szCs w:val="21"/>
                <w:u w:val="single"/>
              </w:rPr>
              <w:t>建发</w:t>
            </w:r>
            <w:r>
              <w:rPr>
                <w:rFonts w:hint="eastAsia" w:ascii="宋体" w:hAnsi="宋体"/>
                <w:kern w:val="0"/>
                <w:szCs w:val="21"/>
                <w:u w:val="single"/>
              </w:rPr>
              <w:t>〔201</w:t>
            </w:r>
            <w:r>
              <w:rPr>
                <w:rFonts w:ascii="宋体" w:hAnsi="宋体"/>
                <w:kern w:val="0"/>
                <w:szCs w:val="21"/>
                <w:u w:val="single"/>
              </w:rPr>
              <w:t>7</w:t>
            </w:r>
            <w:r>
              <w:rPr>
                <w:rFonts w:hint="eastAsia" w:ascii="宋体" w:hAnsi="宋体"/>
                <w:kern w:val="0"/>
                <w:szCs w:val="21"/>
                <w:u w:val="single"/>
              </w:rPr>
              <w:t>〕13号）、《重庆市住房和城乡建设委员会关于优化调整建筑领域农民工工资专用账户管理及工资保证金制度的通知》（渝建发〔2020〕7号 ）、《重庆市住房和城乡建设委员会关于调整市政及机电安装工程农民工工资专用账户人工费拨付比例有关事宜的通知》（渝建管〔2021〕211号 ）及《重庆市建设工程造价管理总站关于建筑领域农民工工资专户管理网络系统正式运行有关事宜的通知》</w:t>
            </w:r>
            <w:r>
              <w:rPr>
                <w:rFonts w:hint="eastAsia" w:ascii="宋体" w:hAnsi="宋体"/>
                <w:kern w:val="0"/>
                <w:szCs w:val="21"/>
              </w:rPr>
              <w:t>，实行农民工工资专用账户管理及银行代发制度，填报相应的网络管理系统。</w:t>
            </w:r>
          </w:p>
          <w:p>
            <w:pPr>
              <w:widowControl/>
              <w:spacing w:line="400" w:lineRule="exact"/>
              <w:ind w:firstLine="420" w:firstLineChars="200"/>
              <w:rPr>
                <w:rFonts w:ascii="宋体" w:hAnsi="宋体"/>
                <w:kern w:val="0"/>
                <w:szCs w:val="21"/>
              </w:rPr>
            </w:pPr>
            <w:r>
              <w:rPr>
                <w:rFonts w:hint="eastAsia" w:ascii="宋体" w:hAnsi="宋体"/>
                <w:kern w:val="0"/>
                <w:szCs w:val="21"/>
              </w:rPr>
              <w:t>投标人中标后，在与发包人签订的合同中，必须明确在我市的农民工工资专用账户信息、人工费（工资款）支付比例；在项目开工后，为农民工办理平安卡和工资卡，委托银行通过农民工工资专用账户直接将农民工工资发放至工资卡，并按照有关规定在“工资专户管理网络系统”中填报相关信息</w:t>
            </w:r>
            <w:r>
              <w:rPr>
                <w:rFonts w:ascii="宋体" w:hAnsi="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10.6</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低价风险担保</w:t>
            </w:r>
          </w:p>
          <w:p>
            <w:pPr>
              <w:snapToGrid w:val="0"/>
              <w:spacing w:line="400" w:lineRule="exact"/>
              <w:jc w:val="center"/>
              <w:rPr>
                <w:rFonts w:ascii="宋体" w:hAnsi="宋体"/>
                <w:kern w:val="0"/>
                <w:szCs w:val="21"/>
              </w:rPr>
            </w:pPr>
            <w:r>
              <w:rPr>
                <w:rFonts w:hint="eastAsia" w:ascii="宋体" w:hAnsi="宋体"/>
                <w:kern w:val="0"/>
                <w:szCs w:val="21"/>
              </w:rPr>
              <w:t>（</w:t>
            </w:r>
            <w:r>
              <w:rPr>
                <w:rFonts w:hint="eastAsia" w:ascii="宋体" w:hAnsi="宋体"/>
                <w:kern w:val="0"/>
                <w:szCs w:val="21"/>
                <w:lang w:val="en-US" w:eastAsia="zh-CN"/>
              </w:rPr>
              <w:t>仅适用于</w:t>
            </w:r>
            <w:r>
              <w:rPr>
                <w:rFonts w:hint="eastAsia" w:ascii="宋体" w:hAnsi="宋体"/>
                <w:kern w:val="0"/>
                <w:szCs w:val="21"/>
              </w:rPr>
              <w:t>采用经评审的最低投标价法</w:t>
            </w:r>
            <w:r>
              <w:rPr>
                <w:rFonts w:hint="eastAsia" w:ascii="宋体" w:hAnsi="宋体"/>
                <w:kern w:val="0"/>
                <w:szCs w:val="21"/>
                <w:lang w:val="en-US" w:eastAsia="zh-CN"/>
              </w:rPr>
              <w:t>的项目</w:t>
            </w:r>
            <w:r>
              <w:rPr>
                <w:rFonts w:hint="eastAsia" w:ascii="宋体" w:hAnsi="宋体"/>
                <w:kern w:val="0"/>
                <w:szCs w:val="21"/>
              </w:rPr>
              <w:t>）</w:t>
            </w:r>
          </w:p>
        </w:tc>
        <w:tc>
          <w:tcPr>
            <w:tcW w:w="6698" w:type="dxa"/>
            <w:vAlign w:val="center"/>
          </w:tcPr>
          <w:p>
            <w:pPr>
              <w:autoSpaceDE w:val="0"/>
              <w:autoSpaceDN w:val="0"/>
              <w:adjustRightInd w:val="0"/>
              <w:snapToGrid w:val="0"/>
              <w:spacing w:line="400" w:lineRule="exact"/>
              <w:ind w:firstLine="420" w:firstLineChars="200"/>
              <w:rPr>
                <w:rFonts w:ascii="宋体" w:hAnsi="宋体"/>
                <w:i/>
                <w:kern w:val="0"/>
                <w:szCs w:val="21"/>
              </w:rPr>
            </w:pPr>
            <w:r>
              <w:rPr>
                <w:rFonts w:hint="eastAsia" w:ascii="宋体" w:hAnsi="宋体"/>
                <w:i/>
                <w:kern w:val="0"/>
                <w:szCs w:val="21"/>
              </w:rPr>
              <w:t>[提示：采用经评审的最低投标价法的招标项目，招标人应当在招标文件中要求中标人（或拟中标人）提交低价风险担保，并明确担保方式和扣减担保金额的情形。低价风险担保提交标准为最高限价的85%与中标价格差额的1-3倍(即低价风险担保差额倍数），且最高不超过最高限价的85%。担保方式可以采用现金、银行保函、现金与银行保函组合形式，任何单位或个人不得只限定其中一种方式提交低价风险担保。对采用现金提交低价风险担保的，招标人应允许中标人（或拟中标人）用符合要求的银行保函置换。</w:t>
            </w:r>
          </w:p>
          <w:p>
            <w:pPr>
              <w:autoSpaceDE w:val="0"/>
              <w:autoSpaceDN w:val="0"/>
              <w:adjustRightInd w:val="0"/>
              <w:snapToGrid w:val="0"/>
              <w:spacing w:line="400" w:lineRule="exact"/>
              <w:ind w:firstLine="420" w:firstLineChars="200"/>
              <w:rPr>
                <w:rFonts w:ascii="宋体" w:hAnsi="宋体"/>
                <w:i/>
                <w:kern w:val="0"/>
                <w:szCs w:val="21"/>
              </w:rPr>
            </w:pPr>
            <w:r>
              <w:rPr>
                <w:rFonts w:hint="eastAsia" w:ascii="宋体" w:hAnsi="宋体"/>
                <w:i/>
                <w:kern w:val="0"/>
                <w:szCs w:val="21"/>
              </w:rPr>
              <w:t>招标人在发出中标通知书之前(或同时)，应当将拟中标人提交低价风险担保的书面通知送达拟中标人。书面通知中应明确提交金额，提交截止时间，其中提交低价风险担保期限的起始时间从中标通知书送达拟中标人开始计算。招标人应当充分考虑拟中标人低价风险担保提交、手续办理时间等因素，从招标人中标通知书送达拟中标人之日起到拟中标人将低价风险担保提交送达至招标人之日止，原则上不得少于10个工作日。中标通知书发出后，中标人拒不提交或者在约定期限内未按要求提交低价风险担保的，招标人应当撤销中标通知书，并在约定的低价风险担保送达截止之日起3个工作日内将处理结果书面告知中标人。确实属于可以延长提交期限的特殊情形的，经招标人同意，可适当延长低价风险担保的提交期限。]</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1、低价风险担保：中标价低于最高限价的85%时提供，如不按时足额提供，视为中标人放弃中标，招标人有权不退还其投标保证金，</w:t>
            </w:r>
            <w:r>
              <w:rPr>
                <w:rFonts w:hint="eastAsia"/>
              </w:rPr>
              <w:t>并报招标投标行政监督部门按照信用管理办法的规定处理，对中标人的不良行为直接记12分，纳入重点关注名单。若投标人为联合体，由联合体牵头人提交低价风险担保</w:t>
            </w:r>
            <w:r>
              <w:rPr>
                <w:rFonts w:hint="eastAsia" w:ascii="宋体" w:hAnsi="宋体"/>
                <w:kern w:val="0"/>
                <w:szCs w:val="21"/>
              </w:rPr>
              <w:t>。</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2、中标人提供低价风险担保的形式、金额及期限：</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1</w:t>
            </w:r>
            <w:r>
              <w:rPr>
                <w:rFonts w:hint="eastAsia" w:ascii="宋体" w:hAnsi="宋体"/>
                <w:kern w:val="0"/>
                <w:szCs w:val="21"/>
              </w:rPr>
              <w:t>）低价风险担保的形式：现金或银行保函</w:t>
            </w:r>
            <w:r>
              <w:rPr>
                <w:rFonts w:hint="eastAsia"/>
              </w:rPr>
              <w:t>或现金+银行保函的组合；采用银行保函形式的，保函必须为不可撤销、不可转让且见索即付的独立保函，保函格式详见第四章合同条款及格式附件，中标人出具保函时，</w:t>
            </w:r>
            <w:r>
              <w:rPr>
                <w:rFonts w:hint="eastAsia" w:ascii="宋体" w:hAnsi="宋体"/>
                <w:szCs w:val="21"/>
              </w:rPr>
              <w:t>不得修改“低价风险担保保函”名称，也不得对低价风险担保保函示范文本中付款条件等实质性内容进行修改，否则视为不符合招标文件规定</w:t>
            </w:r>
            <w:r>
              <w:rPr>
                <w:rFonts w:hint="eastAsia" w:ascii="宋体" w:hAnsi="宋体"/>
                <w:kern w:val="0"/>
                <w:szCs w:val="21"/>
              </w:rPr>
              <w:t>。</w:t>
            </w:r>
          </w:p>
          <w:p>
            <w:pPr>
              <w:autoSpaceDE w:val="0"/>
              <w:autoSpaceDN w:val="0"/>
              <w:adjustRightInd w:val="0"/>
              <w:snapToGrid w:val="0"/>
              <w:spacing w:line="400" w:lineRule="exact"/>
              <w:ind w:firstLine="420" w:firstLineChars="200"/>
            </w:pPr>
            <w:r>
              <w:rPr>
                <w:rFonts w:hint="eastAsia" w:ascii="宋体" w:hAnsi="宋体"/>
                <w:kern w:val="0"/>
                <w:szCs w:val="21"/>
              </w:rPr>
              <w:t>（</w:t>
            </w:r>
            <w:r>
              <w:rPr>
                <w:rFonts w:ascii="宋体" w:hAnsi="宋体"/>
                <w:kern w:val="0"/>
                <w:szCs w:val="21"/>
              </w:rPr>
              <w:t>2</w:t>
            </w:r>
            <w:r>
              <w:rPr>
                <w:rFonts w:hint="eastAsia" w:ascii="宋体" w:hAnsi="宋体"/>
                <w:kern w:val="0"/>
                <w:szCs w:val="21"/>
              </w:rPr>
              <w:t>）低价风险担保的金额：（最高限价×</w:t>
            </w:r>
            <w:r>
              <w:rPr>
                <w:rFonts w:ascii="宋体" w:hAnsi="宋体"/>
                <w:kern w:val="0"/>
                <w:szCs w:val="21"/>
              </w:rPr>
              <w:t>85%-</w:t>
            </w:r>
            <w:r>
              <w:rPr>
                <w:rFonts w:hint="eastAsia" w:ascii="宋体" w:hAnsi="宋体"/>
                <w:kern w:val="0"/>
                <w:szCs w:val="21"/>
              </w:rPr>
              <w:t>中标价）×□1□2□3</w:t>
            </w:r>
            <w:r>
              <w:rPr>
                <w:rStyle w:val="52"/>
                <w:rFonts w:hint="eastAsia"/>
              </w:rPr>
              <w:t>，</w:t>
            </w:r>
            <w:r>
              <w:rPr>
                <w:rStyle w:val="52"/>
              </w:rPr>
              <w:t>且最高不超过最高限价的85%</w:t>
            </w:r>
            <w:r>
              <w:rPr>
                <w:rStyle w:val="52"/>
                <w:rFonts w:hint="eastAsia"/>
              </w:rPr>
              <w:t>，</w:t>
            </w:r>
            <w:r>
              <w:rPr>
                <w:rFonts w:hint="eastAsia"/>
              </w:rPr>
              <w:t>红名单中的中标人低价风险担保金额为应提交金额的</w:t>
            </w:r>
            <w:r>
              <w:rPr>
                <w:rFonts w:hint="eastAsia"/>
                <w:u w:val="single"/>
              </w:rPr>
              <w:t xml:space="preserve">      </w:t>
            </w:r>
            <w:r>
              <w:rPr>
                <w:rFonts w:hint="eastAsia"/>
              </w:rPr>
              <w:t>（50%～80%）；联合体中标的，须联合体牵头人在红名单中。中标人是否属于红名单□方式一：以开标环节信用状况查询结果为准；□方式二：以低价风险担保书面通知书落款时间当日信用状况查询结果为准；□方式三：</w:t>
            </w:r>
            <w:r>
              <w:rPr>
                <w:rFonts w:hint="eastAsia"/>
                <w:u w:val="single"/>
              </w:rPr>
              <w:t xml:space="preserve">    </w:t>
            </w:r>
            <w:r>
              <w:rPr>
                <w:rFonts w:hint="eastAsia"/>
              </w:rPr>
              <w:t>。</w:t>
            </w:r>
          </w:p>
          <w:p>
            <w:pPr>
              <w:autoSpaceDE w:val="0"/>
              <w:autoSpaceDN w:val="0"/>
              <w:adjustRightInd w:val="0"/>
              <w:snapToGrid w:val="0"/>
              <w:spacing w:line="400" w:lineRule="exact"/>
              <w:ind w:firstLine="420" w:firstLineChars="200"/>
              <w:rPr>
                <w:rFonts w:ascii="宋体" w:hAnsi="宋体"/>
                <w:i/>
                <w:iCs/>
                <w:kern w:val="0"/>
                <w:szCs w:val="21"/>
              </w:rPr>
            </w:pPr>
            <w:r>
              <w:rPr>
                <w:rFonts w:hint="eastAsia" w:ascii="宋体" w:hAnsi="宋体"/>
                <w:i/>
                <w:iCs/>
                <w:kern w:val="0"/>
                <w:szCs w:val="21"/>
              </w:rPr>
              <w:t>[提示：招标项目最高限价超过10亿元（含）的，低价风险担保差额倍数设置为1倍；招标项目最高限价在1亿元（含）至10亿元（不含）之间的，低价风险担保差额倍数设置为1-2倍；招标项目最高限价低于1亿元（不含）的，低价风险担保差额倍数设置为1-3倍。]</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w:t>
            </w:r>
            <w:r>
              <w:rPr>
                <w:rFonts w:ascii="宋体" w:hAnsi="宋体"/>
                <w:kern w:val="0"/>
                <w:szCs w:val="21"/>
              </w:rPr>
              <w:t>3</w:t>
            </w:r>
            <w:r>
              <w:rPr>
                <w:rFonts w:hint="eastAsia" w:ascii="宋体" w:hAnsi="宋体"/>
                <w:kern w:val="0"/>
                <w:szCs w:val="21"/>
              </w:rPr>
              <w:t>）低价风险担保送达招标人的时间：</w:t>
            </w:r>
            <w:r>
              <w:rPr>
                <w:rFonts w:hint="eastAsia"/>
                <w:szCs w:val="21"/>
              </w:rPr>
              <w:t>从招标人中标通知书送达拟中标人之日起</w:t>
            </w:r>
            <w:r>
              <w:rPr>
                <w:rFonts w:hint="eastAsia"/>
                <w:szCs w:val="21"/>
                <w:u w:val="single"/>
              </w:rPr>
              <w:t xml:space="preserve">    </w:t>
            </w:r>
            <w:r>
              <w:rPr>
                <w:rFonts w:hint="eastAsia"/>
                <w:szCs w:val="21"/>
              </w:rPr>
              <w:t>工作日内</w:t>
            </w:r>
            <w:r>
              <w:rPr>
                <w:rFonts w:hint="eastAsia" w:ascii="宋体" w:hAnsi="宋体"/>
                <w:kern w:val="0"/>
                <w:szCs w:val="21"/>
              </w:rPr>
              <w:t>；</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（4）中标人因自身原因未按中标通知书规定的时限与招标人签订合同的，</w:t>
            </w:r>
            <w:r>
              <w:rPr>
                <w:rFonts w:hint="eastAsia" w:asciiTheme="minorEastAsia" w:hAnsiTheme="minorEastAsia" w:eastAsiaTheme="minorEastAsia" w:cstheme="minorEastAsia"/>
                <w:color w:val="auto"/>
                <w:kern w:val="0"/>
                <w:szCs w:val="21"/>
                <w:highlight w:val="none"/>
              </w:rPr>
              <w:t>其以现金形式提交低价风险担保的，招标人有权扣除其低价风险担保</w:t>
            </w:r>
            <w:r>
              <w:rPr>
                <w:rFonts w:hint="eastAsia" w:asciiTheme="minorEastAsia" w:hAnsiTheme="minorEastAsia" w:eastAsiaTheme="minorEastAsia" w:cstheme="minorEastAsia"/>
                <w:color w:val="auto"/>
                <w:kern w:val="0"/>
                <w:szCs w:val="21"/>
                <w:highlight w:val="none"/>
                <w:lang w:val="en-US" w:eastAsia="zh-CN"/>
              </w:rPr>
              <w:t>金</w:t>
            </w:r>
            <w:r>
              <w:rPr>
                <w:rFonts w:hint="eastAsia" w:asciiTheme="minorEastAsia" w:hAnsiTheme="minorEastAsia" w:eastAsiaTheme="minorEastAsia" w:cstheme="minorEastAsia"/>
                <w:color w:val="auto"/>
                <w:kern w:val="0"/>
                <w:szCs w:val="21"/>
                <w:highlight w:val="none"/>
              </w:rPr>
              <w:t>并取消</w:t>
            </w:r>
            <w:r>
              <w:rPr>
                <w:rFonts w:hint="eastAsia" w:asciiTheme="minorEastAsia" w:hAnsiTheme="minorEastAsia" w:eastAsiaTheme="minorEastAsia" w:cstheme="minorEastAsia"/>
                <w:color w:val="auto"/>
                <w:kern w:val="0"/>
                <w:szCs w:val="21"/>
                <w:highlight w:val="none"/>
                <w:lang w:val="en-US" w:eastAsia="zh-CN"/>
              </w:rPr>
              <w:t>其</w:t>
            </w:r>
            <w:r>
              <w:rPr>
                <w:rFonts w:hint="eastAsia" w:asciiTheme="minorEastAsia" w:hAnsiTheme="minorEastAsia" w:eastAsiaTheme="minorEastAsia" w:cstheme="minorEastAsia"/>
                <w:color w:val="auto"/>
                <w:kern w:val="0"/>
                <w:szCs w:val="21"/>
                <w:highlight w:val="none"/>
              </w:rPr>
              <w:t>中标资格</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以保函形式交纳低价风险担保的，招标人有权要求保函开立人支付保函担保的与低价风险担保金额等额的款项并取消中标人中标资格</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中标人</w:t>
            </w:r>
            <w:r>
              <w:rPr>
                <w:rFonts w:hint="eastAsia" w:asciiTheme="minorEastAsia" w:hAnsiTheme="minorEastAsia" w:eastAsiaTheme="minorEastAsia" w:cstheme="minorEastAsia"/>
                <w:color w:val="auto"/>
                <w:kern w:val="0"/>
                <w:szCs w:val="21"/>
                <w:highlight w:val="none"/>
              </w:rPr>
              <w:t>未提交低价风险担保金或低价风险保函的，招标人有权要求</w:t>
            </w:r>
            <w:r>
              <w:rPr>
                <w:rFonts w:hint="eastAsia" w:asciiTheme="minorEastAsia" w:hAnsiTheme="minorEastAsia" w:eastAsiaTheme="minorEastAsia" w:cstheme="minorEastAsia"/>
                <w:color w:val="auto"/>
                <w:kern w:val="0"/>
                <w:szCs w:val="21"/>
                <w:highlight w:val="none"/>
                <w:lang w:val="en-US" w:eastAsia="zh-CN"/>
              </w:rPr>
              <w:t>中标人</w:t>
            </w:r>
            <w:r>
              <w:rPr>
                <w:rFonts w:hint="eastAsia" w:asciiTheme="minorEastAsia" w:hAnsiTheme="minorEastAsia" w:eastAsiaTheme="minorEastAsia" w:cstheme="minorEastAsia"/>
                <w:color w:val="auto"/>
                <w:kern w:val="0"/>
                <w:szCs w:val="21"/>
                <w:highlight w:val="none"/>
              </w:rPr>
              <w:t>承担低价风险担保金等额的损失并取消中标人资格。</w:t>
            </w:r>
          </w:p>
          <w:p>
            <w:pPr>
              <w:autoSpaceDE w:val="0"/>
              <w:autoSpaceDN w:val="0"/>
              <w:adjustRightInd w:val="0"/>
              <w:snapToGrid w:val="0"/>
              <w:spacing w:line="400" w:lineRule="exact"/>
              <w:ind w:firstLine="420" w:firstLineChars="200"/>
              <w:rPr>
                <w:rFonts w:hint="default" w:ascii="宋体" w:hAnsi="宋体" w:eastAsia="宋体"/>
                <w:kern w:val="0"/>
                <w:szCs w:val="21"/>
                <w:lang w:val="en-US" w:eastAsia="zh-CN"/>
              </w:rPr>
            </w:pPr>
            <w:r>
              <w:rPr>
                <w:rFonts w:hint="eastAsia" w:ascii="宋体" w:hAnsi="宋体"/>
                <w:kern w:val="0"/>
                <w:szCs w:val="21"/>
              </w:rPr>
              <w:t>（5）低价风险担保的期限：</w:t>
            </w:r>
            <w:r>
              <w:rPr>
                <w:rFonts w:hint="eastAsia" w:ascii="宋体" w:hAnsi="宋体"/>
                <w:kern w:val="0"/>
                <w:szCs w:val="21"/>
                <w:u w:val="none"/>
                <w:lang w:val="en-US" w:eastAsia="zh-CN"/>
              </w:rPr>
              <w:t>见用合同条款。</w:t>
            </w:r>
          </w:p>
          <w:p>
            <w:pPr>
              <w:widowControl/>
              <w:spacing w:line="400" w:lineRule="exact"/>
              <w:ind w:firstLine="420" w:firstLineChars="200"/>
              <w:rPr>
                <w:rFonts w:ascii="宋体" w:hAnsi="宋体"/>
                <w:kern w:val="0"/>
                <w:szCs w:val="21"/>
              </w:rPr>
            </w:pPr>
            <w:r>
              <w:rPr>
                <w:rFonts w:hint="eastAsia" w:ascii="宋体" w:hAnsi="宋体"/>
                <w:kern w:val="0"/>
                <w:szCs w:val="21"/>
              </w:rPr>
              <w:t>3、低价风险担保的退还时间：见专用合同条款。</w:t>
            </w:r>
          </w:p>
          <w:p>
            <w:pPr>
              <w:widowControl/>
              <w:spacing w:line="360" w:lineRule="auto"/>
              <w:ind w:firstLine="420" w:firstLineChars="200"/>
            </w:pPr>
            <w:r>
              <w:rPr>
                <w:rFonts w:hint="eastAsia"/>
              </w:rPr>
              <w:t>4、采用经评审最低投标价法的项目，拟中标人或者中标人放弃中标项目，无正当理由不与招标人签订合同，在签订合同时向招标人提出附加条件或者更改合同实质性内容，或者拒不按照招标文件规定提交低价风险担保或履约担保的，取消其中标资格，</w:t>
            </w:r>
            <w:r>
              <w:rPr>
                <w:rFonts w:hint="eastAsia" w:asciiTheme="minorEastAsia" w:hAnsiTheme="minorEastAsia" w:eastAsiaTheme="minorEastAsia" w:cstheme="minorEastAsia"/>
                <w:color w:val="auto"/>
                <w:highlight w:val="none"/>
              </w:rPr>
              <w:t>投标保证金以现金形式交纳的不予退还，以保函形式递交的由保函开立人支付保函担保的与投标保证金等额的款项，</w:t>
            </w:r>
            <w:r>
              <w:rPr>
                <w:rFonts w:hint="eastAsia"/>
              </w:rPr>
              <w:t>给招标人造成的损失超过投标保证金数额的，拟中标人或中标人应对超过部分予以赔偿。</w:t>
            </w:r>
          </w:p>
          <w:p>
            <w:pPr>
              <w:spacing w:line="360" w:lineRule="auto"/>
              <w:ind w:firstLine="420" w:firstLineChars="200"/>
              <w:rPr>
                <w:rFonts w:hint="eastAsia"/>
              </w:rPr>
            </w:pPr>
            <w:r>
              <w:rPr>
                <w:rFonts w:hint="eastAsia"/>
              </w:rPr>
              <w:t>注：当中标人或拟中标人未按时提交低价风险担保，且属于可以延长低价风险担保提交期限的特殊情形时，经招标人同意，可适当延长低价风险担保的提交期限。</w:t>
            </w:r>
          </w:p>
          <w:p>
            <w:pPr>
              <w:pStyle w:val="2"/>
              <w:widowControl/>
              <w:spacing w:line="360" w:lineRule="auto"/>
              <w:ind w:firstLine="420" w:firstLineChars="200"/>
              <w:rPr>
                <w:rFonts w:ascii="宋体" w:hAnsi="宋体"/>
                <w:kern w:val="0"/>
                <w:szCs w:val="21"/>
              </w:rPr>
            </w:pPr>
            <w:r>
              <w:rPr>
                <w:rFonts w:hint="eastAsia"/>
              </w:rPr>
              <w:t>5、投标总报价低于最高限价85%的，投标人应在编制投标文件时，在投标函部分中递交低价风险担保提交承诺书。承诺书格式详见第八章投标文件格式。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10.7</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关于对招标文件及投标争议的解释</w:t>
            </w:r>
          </w:p>
        </w:tc>
        <w:tc>
          <w:tcPr>
            <w:tcW w:w="6698" w:type="dxa"/>
            <w:vAlign w:val="center"/>
          </w:tcPr>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对资格预审文件或者招标文件的评标标准和方法，以及资格审查和否决投标条款理解有争议的，应当作出不利于招标人的解释，但违背国家利益、社会公共利益的除外。</w:t>
            </w:r>
          </w:p>
          <w:p>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对投标文件理解有争议的，应当作出不利于提交该投标文件的投标人的解释。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10.8</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投标人注意事项</w:t>
            </w:r>
          </w:p>
        </w:tc>
        <w:tc>
          <w:tcPr>
            <w:tcW w:w="6698" w:type="dxa"/>
            <w:vAlign w:val="center"/>
          </w:tcPr>
          <w:p>
            <w:pPr>
              <w:autoSpaceDE w:val="0"/>
              <w:autoSpaceDN w:val="0"/>
              <w:adjustRightInd w:val="0"/>
              <w:snapToGrid w:val="0"/>
              <w:spacing w:line="400" w:lineRule="exact"/>
              <w:ind w:firstLine="420" w:firstLineChars="200"/>
            </w:pPr>
            <w:r>
              <w:rPr>
                <w:rFonts w:hint="eastAsia"/>
              </w:rPr>
              <w:t>1. 本次投标采用全流程电子开评标模式，第一次参与投标的单位务必在重庆市公共资源交易网（www.cqggzy.com）完成市场主体信息登记以及 CA 数字证书办理，并且下载新点投标文件制作软件（重庆版）制作投标文件。</w:t>
            </w:r>
          </w:p>
          <w:p>
            <w:pPr>
              <w:autoSpaceDE w:val="0"/>
              <w:autoSpaceDN w:val="0"/>
              <w:adjustRightInd w:val="0"/>
              <w:snapToGrid w:val="0"/>
              <w:spacing w:line="400" w:lineRule="exact"/>
              <w:ind w:firstLine="420" w:firstLineChars="200"/>
              <w:jc w:val="left"/>
            </w:pPr>
            <w:r>
              <w:rPr>
                <w:rFonts w:hint="eastAsia"/>
              </w:rPr>
              <w:t>2. 制作投标文件需要使用CA 数字证书加密，并且加盖电子印章，CA 数字证书购买及办理方式请参见重庆市公共资源交易网（www.cqggzy.com）导航栏“主体信息”页面中“市场主体信息登记”“CA数字证书办理”。</w:t>
            </w:r>
          </w:p>
          <w:p>
            <w:pPr>
              <w:autoSpaceDE w:val="0"/>
              <w:autoSpaceDN w:val="0"/>
              <w:adjustRightInd w:val="0"/>
              <w:snapToGrid w:val="0"/>
              <w:spacing w:line="400" w:lineRule="exact"/>
              <w:ind w:firstLine="420" w:firstLineChars="200"/>
            </w:pPr>
            <w:r>
              <w:rPr>
                <w:rFonts w:hint="eastAsia"/>
              </w:rPr>
              <w:t>3. 投标人应当在投标截止时间前，通过互联网使用CA数字证书登录重庆市电子招投标系统，将加密的电子投标文件上传，未按规定加密将无法上传。投标人应充分考虑上传文件时的不可预见因素，逾期未完成上传投标文件的，视为撤回投标文件。</w:t>
            </w:r>
          </w:p>
          <w:p>
            <w:pPr>
              <w:spacing w:line="400" w:lineRule="exact"/>
              <w:ind w:firstLine="420" w:firstLineChars="200"/>
            </w:pPr>
            <w:r>
              <w:rPr>
                <w:rFonts w:hint="eastAsia"/>
              </w:rPr>
              <w:t>4. 开标活动由招标人主持，邀请所有投标人参加。投标人未在开标现场提出异议，或者不见面开标系统未收到投标人异议的（采用不见面开标方式时适用），视为投标人默认开标结果。</w:t>
            </w:r>
          </w:p>
          <w:p>
            <w:pPr>
              <w:autoSpaceDE w:val="0"/>
              <w:autoSpaceDN w:val="0"/>
              <w:adjustRightInd w:val="0"/>
              <w:snapToGrid w:val="0"/>
              <w:spacing w:line="400" w:lineRule="exact"/>
              <w:ind w:firstLine="420" w:firstLineChars="200"/>
            </w:pPr>
            <w:r>
              <w:rPr>
                <w:rFonts w:hint="eastAsia"/>
              </w:rPr>
              <w:t>5. 投标人应按时解密，在评标结束前应在线或在现场关注项目进展情况，确保通讯联系正常。如评标委员会要求投标人澄清的，投标人应确保及时回复，否则视为拒绝按评标委员会要求澄清、说明或补正。</w:t>
            </w:r>
          </w:p>
          <w:p>
            <w:pPr>
              <w:pStyle w:val="2"/>
              <w:ind w:firstLine="420" w:firstLineChars="200"/>
            </w:pPr>
            <w:r>
              <w:rPr>
                <w:rFonts w:hint="eastAsia"/>
              </w:rPr>
              <w:t>6. 电子投标文件编制要求</w:t>
            </w:r>
          </w:p>
          <w:p>
            <w:pPr>
              <w:pStyle w:val="2"/>
              <w:ind w:firstLine="420" w:firstLineChars="200"/>
            </w:pPr>
            <w:r>
              <w:rPr>
                <w:rFonts w:hint="eastAsia"/>
              </w:rPr>
              <w:t>（1）电子投标文件由投标人使用专用的“新点投标文件制作软件（重庆版）”制作生成。</w:t>
            </w:r>
          </w:p>
          <w:p>
            <w:pPr>
              <w:pStyle w:val="2"/>
              <w:ind w:firstLine="420" w:firstLineChars="200"/>
            </w:pPr>
            <w:r>
              <w:rPr>
                <w:rFonts w:hint="eastAsia"/>
              </w:rPr>
              <w:t>（2）投标人在编制电子投标文件时应当建立分级目录，并按照标签提示导入相关内容。</w:t>
            </w:r>
          </w:p>
          <w:p>
            <w:pPr>
              <w:pStyle w:val="2"/>
              <w:ind w:firstLine="420" w:firstLineChars="200"/>
            </w:pPr>
            <w:r>
              <w:rPr>
                <w:rFonts w:hint="eastAsia"/>
              </w:rPr>
              <w:t>（3）按本章前附表第3.7.3项签名盖章要求进行投标文件的签署。</w:t>
            </w:r>
          </w:p>
          <w:p>
            <w:pPr>
              <w:pStyle w:val="2"/>
              <w:ind w:firstLine="420" w:firstLineChars="200"/>
            </w:pPr>
            <w:r>
              <w:rPr>
                <w:rFonts w:hint="eastAsia"/>
              </w:rPr>
              <w:t>（4）电子投标文件制作完成后，将生成一份加密的电子投标文件（后缀名为. CQTF）和一份不加密的电子投标文件（后缀名为. nCQTF）。</w:t>
            </w:r>
          </w:p>
          <w:p>
            <w:pPr>
              <w:pStyle w:val="2"/>
              <w:ind w:firstLine="420" w:firstLineChars="200"/>
            </w:pPr>
            <w:r>
              <w:rPr>
                <w:rFonts w:hint="eastAsia"/>
              </w:rPr>
              <w:t>（5）投标人如需递交不加密电子投标文件的，应将不加密的电子投标文件复制到一张光盘中（光盘备份），光盘表面粘贴标签贴加盖单位法人章，并将招标项目名称、投标人名称等信息填写在标签贴上。</w:t>
            </w:r>
          </w:p>
          <w:p>
            <w:pPr>
              <w:pStyle w:val="2"/>
              <w:ind w:firstLine="420" w:firstLineChars="200"/>
            </w:pPr>
            <w:r>
              <w:rPr>
                <w:rFonts w:hint="eastAsia"/>
              </w:rPr>
              <w:t>（6）电子投标文件制作的具体方法详见“新点投标文件制作软件（重庆版）”中的帮助文档。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□10.9</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不平衡报价</w:t>
            </w:r>
          </w:p>
        </w:tc>
        <w:tc>
          <w:tcPr>
            <w:tcW w:w="6698" w:type="dxa"/>
            <w:vAlign w:val="center"/>
          </w:tcPr>
          <w:p>
            <w:pPr>
              <w:autoSpaceDE w:val="0"/>
              <w:autoSpaceDN w:val="0"/>
              <w:adjustRightInd w:val="0"/>
              <w:snapToGrid w:val="0"/>
              <w:spacing w:line="400" w:lineRule="exact"/>
              <w:ind w:firstLine="420" w:firstLineChars="200"/>
              <w:rPr>
                <w:rFonts w:ascii="宋体" w:hAnsi="宋体"/>
                <w:kern w:val="0"/>
                <w:szCs w:val="21"/>
              </w:rPr>
            </w:pPr>
            <w:r>
              <w:rPr>
                <w:rFonts w:ascii="宋体" w:hAnsi="宋体"/>
                <w:kern w:val="0"/>
                <w:szCs w:val="21"/>
                <w:u w:val="single"/>
              </w:rPr>
              <w:t>关于不平衡报价的约定，详见第四章 专用合同条款第</w:t>
            </w:r>
            <w:r>
              <w:rPr>
                <w:rFonts w:hint="eastAsia" w:ascii="宋体" w:hAnsi="宋体"/>
                <w:kern w:val="0"/>
                <w:szCs w:val="21"/>
                <w:u w:val="single"/>
              </w:rPr>
              <w:t>51</w:t>
            </w:r>
            <w:r>
              <w:rPr>
                <w:rFonts w:ascii="宋体" w:hAnsi="宋体"/>
                <w:kern w:val="0"/>
                <w:szCs w:val="21"/>
                <w:u w:val="single"/>
              </w:rPr>
              <w:t>款</w:t>
            </w:r>
            <w:r>
              <w:rPr>
                <w:rFonts w:ascii="宋体" w:hAnsi="宋体"/>
                <w:kern w:val="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□10.10</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不允许负数报价</w:t>
            </w:r>
          </w:p>
        </w:tc>
        <w:tc>
          <w:tcPr>
            <w:tcW w:w="6698" w:type="dxa"/>
            <w:vAlign w:val="center"/>
          </w:tcPr>
          <w:p>
            <w:pPr>
              <w:autoSpaceDE w:val="0"/>
              <w:autoSpaceDN w:val="0"/>
              <w:adjustRightInd w:val="0"/>
              <w:snapToGrid w:val="0"/>
              <w:spacing w:line="400" w:lineRule="exact"/>
              <w:ind w:firstLine="420" w:firstLineChars="200"/>
              <w:rPr>
                <w:rFonts w:ascii="宋体" w:hAnsi="宋体"/>
                <w:kern w:val="0"/>
                <w:szCs w:val="21"/>
                <w:u w:val="single"/>
              </w:rPr>
            </w:pPr>
            <w:r>
              <w:rPr>
                <w:rFonts w:ascii="宋体" w:hAnsi="宋体"/>
                <w:kern w:val="0"/>
                <w:szCs w:val="21"/>
                <w:u w:val="single"/>
              </w:rPr>
              <w:t>投标人的</w:t>
            </w:r>
            <w:r>
              <w:rPr>
                <w:rFonts w:hint="eastAsia" w:ascii="宋体" w:hAnsi="宋体"/>
                <w:kern w:val="0"/>
                <w:szCs w:val="21"/>
                <w:u w:val="single"/>
              </w:rPr>
              <w:t>各项</w:t>
            </w:r>
            <w:r>
              <w:rPr>
                <w:rFonts w:ascii="宋体" w:hAnsi="宋体"/>
                <w:kern w:val="0"/>
                <w:szCs w:val="21"/>
                <w:u w:val="single"/>
              </w:rPr>
              <w:t>报价不得</w:t>
            </w:r>
            <w:r>
              <w:rPr>
                <w:rFonts w:hint="eastAsia" w:ascii="宋体" w:hAnsi="宋体"/>
                <w:kern w:val="0"/>
                <w:szCs w:val="21"/>
                <w:u w:val="single"/>
              </w:rPr>
              <w:t>为负数</w:t>
            </w:r>
            <w:r>
              <w:rPr>
                <w:rFonts w:ascii="宋体" w:hAnsi="宋体"/>
                <w:kern w:val="0"/>
                <w:szCs w:val="21"/>
                <w:u w:val="single"/>
              </w:rPr>
              <w:t>。招标人在发出中标通知书前将对中标人</w:t>
            </w:r>
            <w:r>
              <w:rPr>
                <w:rFonts w:hint="eastAsia" w:ascii="宋体" w:hAnsi="宋体"/>
                <w:kern w:val="0"/>
                <w:szCs w:val="21"/>
                <w:u w:val="single"/>
              </w:rPr>
              <w:t>的各项报价</w:t>
            </w:r>
            <w:r>
              <w:rPr>
                <w:rFonts w:ascii="宋体" w:hAnsi="宋体"/>
                <w:kern w:val="0"/>
                <w:szCs w:val="21"/>
                <w:u w:val="single"/>
              </w:rPr>
              <w:t>进行复核，若发现中标人</w:t>
            </w:r>
            <w:r>
              <w:rPr>
                <w:rFonts w:hint="eastAsia" w:ascii="宋体" w:hAnsi="宋体"/>
                <w:kern w:val="0"/>
                <w:szCs w:val="21"/>
                <w:u w:val="single"/>
              </w:rPr>
              <w:t>各项报价</w:t>
            </w:r>
            <w:r>
              <w:rPr>
                <w:rFonts w:ascii="宋体" w:hAnsi="宋体"/>
                <w:kern w:val="0"/>
                <w:szCs w:val="21"/>
                <w:u w:val="single"/>
              </w:rPr>
              <w:t>中存在</w:t>
            </w:r>
            <w:r>
              <w:rPr>
                <w:rFonts w:hint="eastAsia" w:ascii="宋体" w:hAnsi="宋体"/>
                <w:kern w:val="0"/>
                <w:szCs w:val="21"/>
                <w:u w:val="single"/>
              </w:rPr>
              <w:t>负数报价</w:t>
            </w:r>
            <w:r>
              <w:rPr>
                <w:rFonts w:ascii="宋体" w:hAnsi="宋体"/>
                <w:kern w:val="0"/>
                <w:szCs w:val="21"/>
                <w:u w:val="single"/>
              </w:rPr>
              <w:t>的情形，招标人按相关规定取消其中标资格，</w:t>
            </w:r>
            <w:r>
              <w:rPr>
                <w:rFonts w:hint="eastAsia" w:asciiTheme="minorEastAsia" w:hAnsiTheme="minorEastAsia" w:eastAsiaTheme="minorEastAsia" w:cstheme="minorEastAsia"/>
                <w:color w:val="auto"/>
                <w:highlight w:val="none"/>
              </w:rPr>
              <w:t>投标保证金以现金形式交纳的不予退还</w:t>
            </w:r>
            <w:r>
              <w:rPr>
                <w:rFonts w:ascii="宋体" w:hAnsi="宋体"/>
                <w:kern w:val="0"/>
                <w:szCs w:val="21"/>
                <w:highlight w:val="none"/>
                <w:u w:val="single"/>
              </w:rPr>
              <w:t>，</w:t>
            </w:r>
            <w:r>
              <w:rPr>
                <w:rFonts w:hint="eastAsia" w:asciiTheme="minorEastAsia" w:hAnsiTheme="minorEastAsia" w:eastAsiaTheme="minorEastAsia" w:cstheme="minorEastAsia"/>
                <w:szCs w:val="21"/>
                <w:highlight w:val="none"/>
                <w:u w:val="single"/>
              </w:rPr>
              <w:t>以保函形式交纳的由保函开立人支付保函担保的与投标保证金等额的款项，</w:t>
            </w:r>
            <w:r>
              <w:rPr>
                <w:rFonts w:ascii="宋体" w:hAnsi="宋体"/>
                <w:kern w:val="0"/>
                <w:szCs w:val="21"/>
                <w:highlight w:val="none"/>
                <w:u w:val="single"/>
              </w:rPr>
              <w:t>中标人承担因此造成的相关责任并赔偿相应损失。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5" w:type="dxa"/>
            <w:vAlign w:val="center"/>
          </w:tcPr>
          <w:p>
            <w:pPr>
              <w:snapToGrid w:val="0"/>
              <w:spacing w:line="400" w:lineRule="exact"/>
              <w:jc w:val="center"/>
              <w:rPr>
                <w:rFonts w:ascii="宋体" w:hAnsi="宋体"/>
                <w:kern w:val="0"/>
                <w:szCs w:val="21"/>
              </w:rPr>
            </w:pPr>
            <w:r>
              <w:rPr>
                <w:rFonts w:hint="eastAsia" w:ascii="宋体" w:hAnsi="宋体"/>
                <w:kern w:val="0"/>
                <w:szCs w:val="21"/>
              </w:rPr>
              <w:t>10.11</w:t>
            </w:r>
          </w:p>
        </w:tc>
        <w:tc>
          <w:tcPr>
            <w:tcW w:w="1436" w:type="dxa"/>
            <w:vAlign w:val="center"/>
          </w:tcPr>
          <w:p>
            <w:pPr>
              <w:snapToGrid w:val="0"/>
              <w:spacing w:line="400" w:lineRule="exact"/>
              <w:jc w:val="center"/>
              <w:rPr>
                <w:rFonts w:ascii="宋体" w:hAnsi="宋体"/>
                <w:kern w:val="0"/>
                <w:szCs w:val="21"/>
              </w:rPr>
            </w:pPr>
            <w:r>
              <w:rPr>
                <w:rFonts w:hint="eastAsia" w:ascii="宋体" w:hAnsi="宋体"/>
                <w:kern w:val="0"/>
                <w:szCs w:val="21"/>
              </w:rPr>
              <w:t>其他</w:t>
            </w:r>
          </w:p>
        </w:tc>
        <w:tc>
          <w:tcPr>
            <w:tcW w:w="6698" w:type="dxa"/>
            <w:vAlign w:val="center"/>
          </w:tcPr>
          <w:p>
            <w:pPr>
              <w:autoSpaceDE w:val="0"/>
              <w:autoSpaceDN w:val="0"/>
              <w:adjustRightInd w:val="0"/>
              <w:snapToGrid w:val="0"/>
              <w:spacing w:line="400" w:lineRule="exact"/>
              <w:ind w:firstLine="420"/>
              <w:rPr>
                <w:rFonts w:ascii="宋体" w:hAnsi="宋体"/>
                <w:i/>
                <w:kern w:val="0"/>
                <w:szCs w:val="21"/>
              </w:rPr>
            </w:pPr>
            <w:r>
              <w:rPr>
                <w:rFonts w:hint="eastAsia" w:ascii="宋体" w:hAnsi="宋体"/>
                <w:i/>
                <w:kern w:val="0"/>
                <w:szCs w:val="21"/>
              </w:rPr>
              <w:t>[提示：招标人认为需要增加的，且与本表前述条款不重复的，不涉及资格和否决投标的内容]</w:t>
            </w:r>
          </w:p>
        </w:tc>
      </w:tr>
    </w:tbl>
    <w:p>
      <w:pPr>
        <w:pStyle w:val="4"/>
        <w:spacing w:before="0" w:after="0" w:line="20" w:lineRule="exact"/>
        <w:outlineLvl w:val="9"/>
        <w:rPr>
          <w:rFonts w:ascii="宋体" w:hAnsi="宋体"/>
          <w:b w:val="0"/>
          <w:snapToGrid w:val="0"/>
        </w:rPr>
      </w:pPr>
      <w:bookmarkStart w:id="191" w:name="_Toc200513126"/>
      <w:bookmarkStart w:id="192" w:name="_Toc277082552"/>
      <w:bookmarkStart w:id="193" w:name="_Toc287620685"/>
      <w:bookmarkStart w:id="194" w:name="_Toc287607746"/>
      <w:bookmarkStart w:id="195" w:name="_Toc430530435"/>
      <w:bookmarkStart w:id="196" w:name="_Toc224103317"/>
    </w:p>
    <w:p>
      <w:pPr>
        <w:pStyle w:val="4"/>
        <w:spacing w:before="0" w:after="0" w:line="200" w:lineRule="exact"/>
        <w:outlineLvl w:val="9"/>
        <w:rPr>
          <w:rFonts w:ascii="宋体" w:hAnsi="宋体"/>
          <w:b w:val="0"/>
          <w:snapToGrid w:val="0"/>
        </w:rPr>
      </w:pPr>
      <w:r>
        <w:rPr>
          <w:rFonts w:ascii="宋体" w:hAnsi="宋体"/>
          <w:b w:val="0"/>
          <w:snapToGrid w:val="0"/>
        </w:rPr>
        <w:br w:type="page"/>
      </w:r>
    </w:p>
    <w:p>
      <w:pPr>
        <w:pStyle w:val="4"/>
        <w:spacing w:before="0" w:after="0" w:line="360" w:lineRule="auto"/>
        <w:rPr>
          <w:rFonts w:ascii="宋体" w:hAnsi="宋体"/>
          <w:bCs w:val="0"/>
          <w:snapToGrid w:val="0"/>
        </w:rPr>
      </w:pPr>
      <w:bookmarkStart w:id="197" w:name="_Toc509218710"/>
      <w:bookmarkStart w:id="198" w:name="_Toc22663"/>
      <w:bookmarkStart w:id="199" w:name="_Toc10881"/>
      <w:bookmarkStart w:id="200" w:name="_Toc28371"/>
      <w:r>
        <w:rPr>
          <w:rFonts w:ascii="宋体" w:hAnsi="宋体"/>
          <w:bCs w:val="0"/>
          <w:snapToGrid w:val="0"/>
        </w:rPr>
        <w:t>1.  总则</w:t>
      </w:r>
      <w:bookmarkEnd w:id="191"/>
      <w:bookmarkEnd w:id="192"/>
      <w:bookmarkEnd w:id="193"/>
      <w:bookmarkEnd w:id="194"/>
      <w:bookmarkEnd w:id="195"/>
      <w:bookmarkEnd w:id="196"/>
      <w:bookmarkEnd w:id="197"/>
      <w:bookmarkEnd w:id="198"/>
      <w:bookmarkEnd w:id="199"/>
      <w:bookmarkEnd w:id="200"/>
    </w:p>
    <w:p>
      <w:pPr>
        <w:pStyle w:val="5"/>
        <w:snapToGrid w:val="0"/>
        <w:spacing w:before="0" w:after="0" w:line="360" w:lineRule="auto"/>
        <w:rPr>
          <w:rFonts w:ascii="宋体" w:hAnsi="宋体"/>
          <w:b w:val="0"/>
          <w:snapToGrid w:val="0"/>
          <w:sz w:val="24"/>
          <w:szCs w:val="24"/>
        </w:rPr>
      </w:pPr>
      <w:bookmarkStart w:id="201" w:name="_Toc509218711"/>
      <w:bookmarkStart w:id="202" w:name="_Toc287620686"/>
      <w:bookmarkStart w:id="203" w:name="_Toc430530436"/>
      <w:bookmarkStart w:id="204" w:name="_Toc200513127"/>
      <w:bookmarkStart w:id="205" w:name="_Toc224103318"/>
      <w:bookmarkStart w:id="206" w:name="_Toc26983"/>
      <w:bookmarkStart w:id="207" w:name="_Toc287607747"/>
      <w:bookmarkStart w:id="208" w:name="_Toc277082553"/>
      <w:r>
        <w:rPr>
          <w:rFonts w:ascii="宋体" w:hAnsi="宋体"/>
          <w:bCs w:val="0"/>
          <w:snapToGrid w:val="0"/>
          <w:sz w:val="24"/>
          <w:szCs w:val="24"/>
        </w:rPr>
        <w:t>1.1  项目概况</w:t>
      </w:r>
      <w:bookmarkEnd w:id="201"/>
      <w:bookmarkEnd w:id="202"/>
      <w:bookmarkEnd w:id="203"/>
      <w:bookmarkEnd w:id="204"/>
      <w:bookmarkEnd w:id="205"/>
      <w:bookmarkEnd w:id="206"/>
      <w:bookmarkEnd w:id="207"/>
      <w:bookmarkEnd w:id="208"/>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1.1.1  根据《中华人民共和国招标投标法》等有关法律、法规和规章的规定，本招标项目已具备招标条件，现对本</w:t>
      </w:r>
      <w:r>
        <w:rPr>
          <w:rFonts w:hint="eastAsia" w:ascii="宋体" w:hAnsi="宋体"/>
          <w:snapToGrid w:val="0"/>
          <w:kern w:val="0"/>
          <w:szCs w:val="21"/>
        </w:rPr>
        <w:t>项目</w:t>
      </w:r>
      <w:r>
        <w:rPr>
          <w:rFonts w:ascii="宋体" w:hAnsi="宋体"/>
          <w:snapToGrid w:val="0"/>
          <w:kern w:val="0"/>
          <w:szCs w:val="21"/>
        </w:rPr>
        <w:t>施工进行招标。</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1.1.2  本招标项目招标人：见投标人须知前附表。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1.1.3  本招标项目招标代理机构：见投标人须知前附表。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4</w:t>
      </w:r>
      <w:r>
        <w:rPr>
          <w:rFonts w:ascii="宋体" w:hAnsi="宋体"/>
          <w:snapToGrid w:val="0"/>
          <w:kern w:val="0"/>
          <w:szCs w:val="21"/>
        </w:rPr>
        <w:t xml:space="preserve">  本招标项目名称：见投标人须知前附表。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1.1.5  本招标项目建设地点：见投标人须知前附表。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1.1.6  本招标项目建设规模：见投标人须知前附表。</w:t>
      </w:r>
    </w:p>
    <w:p>
      <w:pPr>
        <w:pStyle w:val="5"/>
        <w:snapToGrid w:val="0"/>
        <w:spacing w:before="0" w:after="0" w:line="360" w:lineRule="auto"/>
        <w:rPr>
          <w:rFonts w:ascii="宋体" w:hAnsi="宋体"/>
          <w:bCs w:val="0"/>
          <w:snapToGrid w:val="0"/>
          <w:sz w:val="24"/>
          <w:szCs w:val="24"/>
        </w:rPr>
      </w:pPr>
      <w:bookmarkStart w:id="209" w:name="_Toc287607748"/>
      <w:bookmarkStart w:id="210" w:name="_Toc509218712"/>
      <w:bookmarkStart w:id="211" w:name="_Toc224103319"/>
      <w:bookmarkStart w:id="212" w:name="_Toc12347"/>
      <w:bookmarkStart w:id="213" w:name="_Toc277082554"/>
      <w:bookmarkStart w:id="214" w:name="_Toc430530437"/>
      <w:bookmarkStart w:id="215" w:name="_Toc200513128"/>
      <w:bookmarkStart w:id="216" w:name="_Toc287620687"/>
      <w:r>
        <w:rPr>
          <w:rFonts w:ascii="宋体" w:hAnsi="宋体"/>
          <w:bCs w:val="0"/>
          <w:snapToGrid w:val="0"/>
          <w:sz w:val="24"/>
          <w:szCs w:val="24"/>
        </w:rPr>
        <w:t>1.2  资金来源和落实情况</w:t>
      </w:r>
      <w:bookmarkEnd w:id="209"/>
      <w:bookmarkEnd w:id="210"/>
      <w:bookmarkEnd w:id="211"/>
      <w:bookmarkEnd w:id="212"/>
      <w:bookmarkEnd w:id="213"/>
      <w:bookmarkEnd w:id="214"/>
      <w:bookmarkEnd w:id="215"/>
      <w:bookmarkEnd w:id="216"/>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1.2.1  本招标项目的资金来源：见投标人须知前附表。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1.2.2  本招标项目的出资比例：见投标人须知前附表。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1.2.3  本招标项目的资金落实情况：见投标人须知前附表。</w:t>
      </w:r>
    </w:p>
    <w:p>
      <w:pPr>
        <w:pStyle w:val="5"/>
        <w:snapToGrid w:val="0"/>
        <w:spacing w:before="0" w:after="0" w:line="360" w:lineRule="auto"/>
        <w:rPr>
          <w:rFonts w:ascii="宋体" w:hAnsi="宋体"/>
          <w:bCs w:val="0"/>
          <w:snapToGrid w:val="0"/>
          <w:sz w:val="24"/>
          <w:szCs w:val="24"/>
        </w:rPr>
      </w:pPr>
      <w:bookmarkStart w:id="217" w:name="_Toc430530438"/>
      <w:bookmarkStart w:id="218" w:name="_Toc200513129"/>
      <w:bookmarkStart w:id="219" w:name="_Toc277082555"/>
      <w:bookmarkStart w:id="220" w:name="_Toc287607749"/>
      <w:bookmarkStart w:id="221" w:name="_Toc224103320"/>
      <w:bookmarkStart w:id="222" w:name="_Toc509218713"/>
      <w:bookmarkStart w:id="223" w:name="_Toc287620688"/>
      <w:bookmarkStart w:id="224" w:name="_Toc6873"/>
      <w:r>
        <w:rPr>
          <w:rFonts w:ascii="宋体" w:hAnsi="宋体"/>
          <w:bCs w:val="0"/>
          <w:snapToGrid w:val="0"/>
          <w:sz w:val="24"/>
          <w:szCs w:val="24"/>
        </w:rPr>
        <w:t>1.3  招标范围、计划工期和质量要求</w:t>
      </w:r>
      <w:bookmarkEnd w:id="217"/>
      <w:bookmarkEnd w:id="218"/>
      <w:bookmarkEnd w:id="219"/>
      <w:bookmarkEnd w:id="220"/>
      <w:bookmarkEnd w:id="221"/>
      <w:bookmarkEnd w:id="222"/>
      <w:bookmarkEnd w:id="223"/>
      <w:bookmarkEnd w:id="224"/>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1.3.1  招标范围：见投标人须知前附表。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1.3.2  计划工期：见投标人须知前附表。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1.3.3  质量要求：见投标人须知前附表。</w:t>
      </w:r>
    </w:p>
    <w:p>
      <w:pPr>
        <w:pStyle w:val="5"/>
        <w:snapToGrid w:val="0"/>
        <w:spacing w:before="0" w:after="0" w:line="360" w:lineRule="auto"/>
        <w:rPr>
          <w:rFonts w:ascii="宋体" w:hAnsi="宋体"/>
          <w:bCs w:val="0"/>
          <w:snapToGrid w:val="0"/>
          <w:sz w:val="24"/>
          <w:szCs w:val="24"/>
        </w:rPr>
      </w:pPr>
      <w:bookmarkStart w:id="225" w:name="_Toc509218715"/>
      <w:bookmarkStart w:id="226" w:name="_Toc277082557"/>
      <w:bookmarkStart w:id="227" w:name="_Toc287620690"/>
      <w:bookmarkStart w:id="228" w:name="_Toc224103322"/>
      <w:bookmarkStart w:id="229" w:name="_Toc200513131"/>
      <w:bookmarkStart w:id="230" w:name="_Toc287607751"/>
      <w:bookmarkStart w:id="231" w:name="_Toc430530440"/>
      <w:bookmarkStart w:id="232" w:name="_Toc156"/>
      <w:r>
        <w:rPr>
          <w:rFonts w:ascii="宋体" w:hAnsi="宋体"/>
          <w:bCs w:val="0"/>
          <w:snapToGrid w:val="0"/>
          <w:sz w:val="24"/>
          <w:szCs w:val="24"/>
        </w:rPr>
        <w:t>1.4 投标人资格要求</w:t>
      </w:r>
      <w:bookmarkEnd w:id="225"/>
      <w:bookmarkEnd w:id="226"/>
      <w:bookmarkEnd w:id="227"/>
      <w:bookmarkEnd w:id="228"/>
      <w:bookmarkEnd w:id="229"/>
      <w:bookmarkEnd w:id="230"/>
      <w:bookmarkEnd w:id="231"/>
      <w:bookmarkEnd w:id="232"/>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1.4.1 投标人应具备承担本标段施工的资质条件、能力和信誉。</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w:t>
      </w:r>
      <w:r>
        <w:rPr>
          <w:rFonts w:ascii="宋体" w:hAnsi="宋体"/>
          <w:szCs w:val="21"/>
        </w:rPr>
        <w:t>资质条件、营业执照及安全生产条件</w:t>
      </w:r>
      <w:r>
        <w:rPr>
          <w:rFonts w:ascii="宋体" w:hAnsi="宋体"/>
          <w:snapToGrid w:val="0"/>
          <w:kern w:val="0"/>
          <w:szCs w:val="21"/>
        </w:rPr>
        <w:t>：见投标人须知前附表；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（2）财务要求：见投标人须知前附表；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（3）业绩要求：见投标人须知前附表；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投标截止日投标资格情况</w:t>
      </w:r>
      <w:r>
        <w:rPr>
          <w:rFonts w:ascii="宋体" w:hAnsi="宋体"/>
          <w:snapToGrid w:val="0"/>
          <w:kern w:val="0"/>
          <w:szCs w:val="21"/>
        </w:rPr>
        <w:t>：见投标人须知前附表；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（5）项目经理资格</w:t>
      </w:r>
      <w:r>
        <w:rPr>
          <w:rFonts w:hint="eastAsia" w:ascii="宋体" w:hAnsi="宋体"/>
          <w:snapToGrid w:val="0"/>
          <w:kern w:val="0"/>
          <w:szCs w:val="21"/>
        </w:rPr>
        <w:t>要求</w:t>
      </w:r>
      <w:r>
        <w:rPr>
          <w:rFonts w:ascii="宋体" w:hAnsi="宋体"/>
          <w:snapToGrid w:val="0"/>
          <w:kern w:val="0"/>
          <w:szCs w:val="21"/>
        </w:rPr>
        <w:t>：见投标人须知前附表；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（6）其他要求：见投标人须知前附表。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1.4.2  投标人须知前附表规定接受联合体投标的，除应符合本章第1.4.1项和投标人须知前附表的要求外，还应遵守以下规定：</w:t>
      </w:r>
    </w:p>
    <w:p>
      <w:pPr>
        <w:autoSpaceDE/>
        <w:autoSpaceDN/>
        <w:adjustRightInd/>
        <w:snapToGrid/>
        <w:spacing w:line="360" w:lineRule="auto"/>
        <w:ind w:firstLine="315" w:firstLineChars="150"/>
        <w:rPr>
          <w:rFonts w:ascii="宋体" w:hAnsi="宋体"/>
          <w:snapToGrid w:val="0"/>
          <w:kern w:val="0"/>
          <w:szCs w:val="21"/>
        </w:rPr>
      </w:pPr>
      <w:r>
        <w:rPr>
          <w:rFonts w:ascii="宋体" w:hAnsi="宋体"/>
          <w:snapToGrid w:val="0"/>
          <w:kern w:val="0"/>
          <w:szCs w:val="21"/>
        </w:rPr>
        <w:t>（1）联合体各方应按招标文件提供的格式签订联合体协议书，明确联合体牵头人和各方权利义务</w:t>
      </w:r>
      <w:r>
        <w:rPr>
          <w:rFonts w:hint="eastAsia" w:ascii="宋体" w:hAnsi="宋体"/>
          <w:snapToGrid w:val="0"/>
          <w:kern w:val="0"/>
          <w:szCs w:val="21"/>
          <w:lang w:eastAsia="zh-CN"/>
        </w:rPr>
        <w:t>，</w:t>
      </w:r>
      <w:r>
        <w:rPr>
          <w:rFonts w:asciiTheme="minorEastAsia" w:hAnsiTheme="minorEastAsia" w:eastAsiaTheme="minorEastAsia"/>
          <w:color w:val="auto"/>
          <w:highlight w:val="none"/>
        </w:rPr>
        <w:t>并承诺就中标项目向招标人承担连带责任；</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（2）联合体各方均应当具备承担招标项目的相应能力；联合体协议约定同一专业分工由两个及以上单位共同承担的，</w:t>
      </w:r>
      <w:r>
        <w:rPr>
          <w:rFonts w:hint="eastAsia" w:ascii="宋体" w:hAnsi="宋体"/>
          <w:snapToGrid w:val="0"/>
          <w:kern w:val="0"/>
          <w:szCs w:val="21"/>
        </w:rPr>
        <w:t>按照资质等级较低的单位确定资质等级</w:t>
      </w:r>
      <w:r>
        <w:rPr>
          <w:rFonts w:ascii="宋体" w:hAnsi="宋体"/>
          <w:snapToGrid w:val="0"/>
          <w:kern w:val="0"/>
          <w:szCs w:val="21"/>
        </w:rPr>
        <w:t>；</w:t>
      </w:r>
    </w:p>
    <w:p>
      <w:pPr>
        <w:autoSpaceDE/>
        <w:autoSpaceDN/>
        <w:adjustRightInd/>
        <w:snapToGrid/>
        <w:spacing w:line="360" w:lineRule="auto"/>
        <w:ind w:firstLine="315" w:firstLineChars="150"/>
        <w:rPr>
          <w:rFonts w:ascii="宋体" w:hAnsi="宋体"/>
          <w:snapToGrid w:val="0"/>
          <w:kern w:val="0"/>
          <w:szCs w:val="21"/>
        </w:rPr>
      </w:pPr>
      <w:r>
        <w:rPr>
          <w:rFonts w:ascii="宋体" w:hAnsi="宋体"/>
          <w:snapToGrid w:val="0"/>
          <w:kern w:val="0"/>
          <w:szCs w:val="21"/>
        </w:rPr>
        <w:t>（3）联合体各方不得再以自己名义单独或参加其他联合体在</w:t>
      </w:r>
      <w:r>
        <w:rPr>
          <w:rFonts w:hint="eastAsia" w:ascii="宋体" w:hAnsi="宋体"/>
          <w:snapToGrid w:val="0"/>
          <w:kern w:val="0"/>
          <w:szCs w:val="21"/>
          <w:lang w:val="en-US" w:eastAsia="zh-CN"/>
        </w:rPr>
        <w:t>本招标项目</w:t>
      </w:r>
      <w:r>
        <w:rPr>
          <w:rFonts w:ascii="宋体" w:hAnsi="宋体"/>
          <w:snapToGrid w:val="0"/>
          <w:kern w:val="0"/>
          <w:szCs w:val="21"/>
        </w:rPr>
        <w:t>同一标段中投标</w:t>
      </w:r>
      <w:r>
        <w:rPr>
          <w:rFonts w:hint="eastAsia" w:ascii="宋体" w:hAnsi="宋体"/>
          <w:snapToGrid w:val="0"/>
          <w:kern w:val="0"/>
          <w:szCs w:val="21"/>
          <w:lang w:eastAsia="zh-CN"/>
        </w:rPr>
        <w:t>，</w:t>
      </w:r>
      <w:r>
        <w:rPr>
          <w:rFonts w:asciiTheme="minorEastAsia" w:hAnsiTheme="minorEastAsia" w:eastAsiaTheme="minorEastAsia"/>
          <w:color w:val="auto"/>
          <w:highlight w:val="none"/>
        </w:rPr>
        <w:t>否则各相关投标均无效。</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1.4.3  投标人不得存在下列情形之一：</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position w:val="-2"/>
          <w:szCs w:val="21"/>
        </w:rPr>
        <w:t>（1）与招标人存在利害关系可能影响招标公正性的法人、其他组织或者个人；</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（2）为本标段前期准备提供设计或咨询服务的，但设计施工总承包的除外；</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（3）为本标段的监理人；</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（4）为本标段的代建人；</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（5）为本标段提供招标代理服务的；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（6）与本标段的监理人或代建人或招标代理机构同为一个法定代表人的；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（7）与本标段的监理人或代建人或招标代理机构</w:t>
      </w:r>
      <w:r>
        <w:rPr>
          <w:rFonts w:hint="eastAsia" w:ascii="宋体" w:hAnsi="宋体"/>
          <w:snapToGrid w:val="0"/>
          <w:kern w:val="0"/>
          <w:szCs w:val="21"/>
        </w:rPr>
        <w:t>存在</w:t>
      </w:r>
      <w:r>
        <w:rPr>
          <w:rFonts w:ascii="宋体" w:hAnsi="宋体"/>
          <w:snapToGrid w:val="0"/>
          <w:kern w:val="0"/>
          <w:szCs w:val="21"/>
        </w:rPr>
        <w:t>控股或参股的；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（8）与本标段的监理人或代建人或招标代理机构相互任职或工作的；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（9）</w:t>
      </w:r>
      <w:r>
        <w:rPr>
          <w:rFonts w:hint="eastAsia" w:ascii="宋体" w:hAnsi="宋体"/>
          <w:snapToGrid w:val="0"/>
          <w:kern w:val="0"/>
          <w:szCs w:val="21"/>
        </w:rPr>
        <w:t>被责令停产停业、暂扣或者吊销许可证、暂扣或者吊销执照；</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被国家、重庆市（含市或任意区县）有关行政部门处以暂停投标资格行政处罚，且在处罚期限内的</w:t>
      </w:r>
      <w:r>
        <w:rPr>
          <w:rFonts w:ascii="宋体" w:hAnsi="宋体"/>
          <w:snapToGrid w:val="0"/>
          <w:kern w:val="0"/>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进入清算程序，或被宣告破产，或其他丧失履约能力的情形；</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w:t>
      </w:r>
      <w:r>
        <w:rPr>
          <w:rFonts w:ascii="宋体" w:hAnsi="宋体"/>
          <w:szCs w:val="21"/>
        </w:rPr>
        <w:t>单位负责人为同一人或者存在控股、管理关系的不同单位，不得在同一标段中同时投标</w:t>
      </w:r>
      <w:r>
        <w:rPr>
          <w:rFonts w:ascii="宋体" w:hAnsi="宋体"/>
          <w:snapToGrid w:val="0"/>
          <w:kern w:val="0"/>
          <w:szCs w:val="21"/>
        </w:rPr>
        <w:t>。</w:t>
      </w:r>
    </w:p>
    <w:p>
      <w:pPr>
        <w:pStyle w:val="5"/>
        <w:snapToGrid w:val="0"/>
        <w:spacing w:before="0" w:after="0" w:line="360" w:lineRule="auto"/>
        <w:rPr>
          <w:rFonts w:ascii="宋体" w:hAnsi="宋体"/>
          <w:bCs w:val="0"/>
          <w:snapToGrid w:val="0"/>
          <w:sz w:val="24"/>
          <w:szCs w:val="24"/>
        </w:rPr>
      </w:pPr>
      <w:bookmarkStart w:id="233" w:name="_Toc287607752"/>
      <w:bookmarkStart w:id="234" w:name="_Toc509218716"/>
      <w:bookmarkStart w:id="235" w:name="_Toc277082558"/>
      <w:bookmarkStart w:id="236" w:name="_Toc200513132"/>
      <w:bookmarkStart w:id="237" w:name="_Toc287620691"/>
      <w:bookmarkStart w:id="238" w:name="_Toc224103323"/>
      <w:bookmarkStart w:id="239" w:name="_Toc30127"/>
      <w:bookmarkStart w:id="240" w:name="_Toc430530441"/>
      <w:r>
        <w:rPr>
          <w:rFonts w:ascii="宋体" w:hAnsi="宋体"/>
          <w:bCs w:val="0"/>
          <w:snapToGrid w:val="0"/>
          <w:sz w:val="24"/>
          <w:szCs w:val="24"/>
        </w:rPr>
        <w:t>1.5  费用承担</w:t>
      </w:r>
      <w:bookmarkEnd w:id="233"/>
      <w:bookmarkEnd w:id="234"/>
      <w:bookmarkEnd w:id="235"/>
      <w:bookmarkEnd w:id="236"/>
      <w:bookmarkEnd w:id="237"/>
      <w:bookmarkEnd w:id="238"/>
      <w:bookmarkEnd w:id="239"/>
      <w:bookmarkEnd w:id="240"/>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投标人准备和参加投标活动发生的费用自理。</w:t>
      </w:r>
    </w:p>
    <w:p>
      <w:pPr>
        <w:pStyle w:val="5"/>
        <w:snapToGrid w:val="0"/>
        <w:spacing w:before="0" w:after="0" w:line="360" w:lineRule="auto"/>
        <w:rPr>
          <w:rFonts w:ascii="宋体" w:hAnsi="宋体"/>
          <w:bCs w:val="0"/>
          <w:snapToGrid w:val="0"/>
          <w:sz w:val="24"/>
          <w:szCs w:val="24"/>
        </w:rPr>
      </w:pPr>
      <w:bookmarkStart w:id="241" w:name="_Toc7633"/>
      <w:bookmarkStart w:id="242" w:name="_Toc287620692"/>
      <w:bookmarkStart w:id="243" w:name="_Toc277082559"/>
      <w:bookmarkStart w:id="244" w:name="_Toc430530442"/>
      <w:bookmarkStart w:id="245" w:name="_Toc200513133"/>
      <w:bookmarkStart w:id="246" w:name="_Toc287607753"/>
      <w:bookmarkStart w:id="247" w:name="_Toc509218717"/>
      <w:bookmarkStart w:id="248" w:name="_Toc224103324"/>
      <w:r>
        <w:rPr>
          <w:rFonts w:ascii="宋体" w:hAnsi="宋体"/>
          <w:bCs w:val="0"/>
          <w:snapToGrid w:val="0"/>
          <w:sz w:val="24"/>
          <w:szCs w:val="24"/>
        </w:rPr>
        <w:t>1.6  保密</w:t>
      </w:r>
      <w:bookmarkEnd w:id="241"/>
      <w:bookmarkEnd w:id="242"/>
      <w:bookmarkEnd w:id="243"/>
      <w:bookmarkEnd w:id="244"/>
      <w:bookmarkEnd w:id="245"/>
      <w:bookmarkEnd w:id="246"/>
      <w:bookmarkEnd w:id="247"/>
      <w:bookmarkEnd w:id="248"/>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参与招标投标活动的各方应对招标文件和投标文件中的商业和技术等秘密保密，违者应对由此造成的后果承担法律责任。</w:t>
      </w:r>
    </w:p>
    <w:p>
      <w:pPr>
        <w:pStyle w:val="5"/>
        <w:snapToGrid w:val="0"/>
        <w:spacing w:before="0" w:after="0" w:line="360" w:lineRule="auto"/>
        <w:rPr>
          <w:rFonts w:ascii="宋体" w:hAnsi="宋体"/>
          <w:bCs w:val="0"/>
          <w:snapToGrid w:val="0"/>
          <w:sz w:val="24"/>
          <w:szCs w:val="24"/>
        </w:rPr>
      </w:pPr>
      <w:bookmarkStart w:id="249" w:name="_Toc287620693"/>
      <w:bookmarkStart w:id="250" w:name="_Toc430530443"/>
      <w:bookmarkStart w:id="251" w:name="_Toc24582"/>
      <w:bookmarkStart w:id="252" w:name="_Toc200513134"/>
      <w:bookmarkStart w:id="253" w:name="_Toc224103325"/>
      <w:bookmarkStart w:id="254" w:name="_Toc277082560"/>
      <w:bookmarkStart w:id="255" w:name="_Toc287607754"/>
      <w:bookmarkStart w:id="256" w:name="_Toc509218718"/>
      <w:r>
        <w:rPr>
          <w:rFonts w:ascii="宋体" w:hAnsi="宋体"/>
          <w:bCs w:val="0"/>
          <w:snapToGrid w:val="0"/>
          <w:sz w:val="24"/>
          <w:szCs w:val="24"/>
        </w:rPr>
        <w:t>1.7  语言文字</w:t>
      </w:r>
      <w:bookmarkEnd w:id="249"/>
      <w:bookmarkEnd w:id="250"/>
      <w:bookmarkEnd w:id="251"/>
      <w:bookmarkEnd w:id="252"/>
      <w:bookmarkEnd w:id="253"/>
      <w:bookmarkEnd w:id="254"/>
      <w:bookmarkEnd w:id="255"/>
      <w:bookmarkEnd w:id="256"/>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除专用术语外，与招标投标有关的语言均使用中文。必要时专用术语应附有中文注释。</w:t>
      </w:r>
    </w:p>
    <w:p>
      <w:pPr>
        <w:pStyle w:val="5"/>
        <w:snapToGrid w:val="0"/>
        <w:spacing w:before="0" w:after="0" w:line="360" w:lineRule="auto"/>
        <w:rPr>
          <w:rFonts w:ascii="宋体" w:hAnsi="宋体"/>
          <w:bCs w:val="0"/>
          <w:snapToGrid w:val="0"/>
          <w:sz w:val="24"/>
          <w:szCs w:val="24"/>
        </w:rPr>
      </w:pPr>
      <w:bookmarkStart w:id="257" w:name="_Toc509218719"/>
      <w:bookmarkStart w:id="258" w:name="_Toc224103326"/>
      <w:bookmarkStart w:id="259" w:name="_Toc287620694"/>
      <w:bookmarkStart w:id="260" w:name="_Toc200513135"/>
      <w:bookmarkStart w:id="261" w:name="_Toc14216"/>
      <w:bookmarkStart w:id="262" w:name="_Toc430530444"/>
      <w:bookmarkStart w:id="263" w:name="_Toc287607755"/>
      <w:bookmarkStart w:id="264" w:name="_Toc277082561"/>
      <w:r>
        <w:rPr>
          <w:rFonts w:ascii="宋体" w:hAnsi="宋体"/>
          <w:bCs w:val="0"/>
          <w:snapToGrid w:val="0"/>
          <w:sz w:val="24"/>
          <w:szCs w:val="24"/>
        </w:rPr>
        <w:t>1.8  计量单位</w:t>
      </w:r>
      <w:bookmarkEnd w:id="257"/>
      <w:bookmarkEnd w:id="258"/>
      <w:bookmarkEnd w:id="259"/>
      <w:bookmarkEnd w:id="260"/>
      <w:bookmarkEnd w:id="261"/>
      <w:bookmarkEnd w:id="262"/>
      <w:bookmarkEnd w:id="263"/>
      <w:bookmarkEnd w:id="264"/>
    </w:p>
    <w:p>
      <w:pPr>
        <w:autoSpaceDE w:val="0"/>
        <w:autoSpaceDN w:val="0"/>
        <w:adjustRightInd w:val="0"/>
        <w:snapToGrid w:val="0"/>
        <w:spacing w:line="360" w:lineRule="auto"/>
        <w:ind w:firstLine="424" w:firstLineChars="202"/>
        <w:rPr>
          <w:rFonts w:ascii="宋体" w:hAnsi="宋体"/>
          <w:snapToGrid w:val="0"/>
          <w:kern w:val="0"/>
          <w:szCs w:val="21"/>
        </w:rPr>
      </w:pPr>
      <w:r>
        <w:rPr>
          <w:rFonts w:ascii="宋体" w:hAnsi="宋体"/>
          <w:snapToGrid w:val="0"/>
          <w:kern w:val="0"/>
          <w:szCs w:val="21"/>
        </w:rPr>
        <w:t>所有计量均采用中华人民共和国法定计量单位。</w:t>
      </w:r>
    </w:p>
    <w:p>
      <w:pPr>
        <w:pStyle w:val="5"/>
        <w:snapToGrid w:val="0"/>
        <w:spacing w:before="0" w:after="0" w:line="360" w:lineRule="auto"/>
        <w:rPr>
          <w:rFonts w:ascii="宋体" w:hAnsi="宋体"/>
          <w:bCs w:val="0"/>
          <w:snapToGrid w:val="0"/>
          <w:sz w:val="24"/>
          <w:szCs w:val="24"/>
        </w:rPr>
      </w:pPr>
      <w:bookmarkStart w:id="265" w:name="_Toc11474"/>
      <w:bookmarkStart w:id="266" w:name="_Toc277082562"/>
      <w:bookmarkStart w:id="267" w:name="_Toc287620695"/>
      <w:bookmarkStart w:id="268" w:name="_Toc430530445"/>
      <w:bookmarkStart w:id="269" w:name="_Toc287607756"/>
      <w:bookmarkStart w:id="270" w:name="_Toc224103327"/>
      <w:bookmarkStart w:id="271" w:name="_Toc509218720"/>
      <w:bookmarkStart w:id="272" w:name="_Toc200513136"/>
      <w:r>
        <w:rPr>
          <w:rFonts w:ascii="宋体" w:hAnsi="宋体"/>
          <w:bCs w:val="0"/>
          <w:snapToGrid w:val="0"/>
          <w:sz w:val="24"/>
          <w:szCs w:val="24"/>
        </w:rPr>
        <w:t>1.9  踏勘现场</w:t>
      </w:r>
      <w:bookmarkEnd w:id="265"/>
      <w:bookmarkEnd w:id="266"/>
      <w:bookmarkEnd w:id="267"/>
      <w:bookmarkEnd w:id="268"/>
      <w:bookmarkEnd w:id="269"/>
      <w:bookmarkEnd w:id="270"/>
      <w:bookmarkEnd w:id="271"/>
      <w:bookmarkEnd w:id="272"/>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1.9.1  投标人须知前附表规定组织踏勘现场的，招标人按投标人须知前附表规定的时间、 地点组织投标人踏勘项目现场。</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1.9.2  投标人踏勘现场发生的费用自理。</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1.9.3  除招标人的原因外，投标人自行负责在踏勘现场中所发生的人员伤亡和财产损失。</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1.9.4  招标人在踏勘现场中介绍的工程场地和相关的周边环境情况，供投标人在编制投标文件时参考，招标人不对投标人据此做出的判断和决策负责。</w:t>
      </w:r>
    </w:p>
    <w:p>
      <w:pPr>
        <w:pStyle w:val="5"/>
        <w:snapToGrid w:val="0"/>
        <w:spacing w:before="0" w:after="0" w:line="360" w:lineRule="auto"/>
        <w:rPr>
          <w:rFonts w:ascii="宋体" w:hAnsi="宋体"/>
          <w:bCs w:val="0"/>
          <w:snapToGrid w:val="0"/>
          <w:sz w:val="24"/>
          <w:szCs w:val="24"/>
        </w:rPr>
      </w:pPr>
      <w:bookmarkStart w:id="273" w:name="_Toc430530446"/>
      <w:bookmarkStart w:id="274" w:name="_Toc509218721"/>
      <w:bookmarkStart w:id="275" w:name="_Toc224103328"/>
      <w:bookmarkStart w:id="276" w:name="_Toc277082563"/>
      <w:bookmarkStart w:id="277" w:name="_Toc200513137"/>
      <w:bookmarkStart w:id="278" w:name="_Toc5874"/>
      <w:bookmarkStart w:id="279" w:name="_Toc287607757"/>
      <w:bookmarkStart w:id="280" w:name="_Toc287620696"/>
      <w:r>
        <w:rPr>
          <w:rFonts w:ascii="宋体" w:hAnsi="宋体"/>
          <w:bCs w:val="0"/>
          <w:snapToGrid w:val="0"/>
          <w:sz w:val="24"/>
          <w:szCs w:val="24"/>
        </w:rPr>
        <w:t>1.10  投标预备会</w:t>
      </w:r>
      <w:bookmarkEnd w:id="273"/>
      <w:bookmarkEnd w:id="274"/>
      <w:bookmarkEnd w:id="275"/>
      <w:bookmarkEnd w:id="276"/>
      <w:bookmarkEnd w:id="277"/>
      <w:bookmarkEnd w:id="278"/>
      <w:bookmarkEnd w:id="279"/>
      <w:bookmarkEnd w:id="280"/>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1.10.1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1.10.2  投标人应在投标人须知前附表第</w:t>
      </w:r>
      <w:r>
        <w:rPr>
          <w:rFonts w:ascii="宋体" w:hAnsi="宋体"/>
          <w:kern w:val="0"/>
          <w:szCs w:val="21"/>
        </w:rPr>
        <w:t>2.2.4项</w:t>
      </w:r>
      <w:r>
        <w:rPr>
          <w:rFonts w:ascii="宋体" w:hAnsi="宋体"/>
          <w:snapToGrid w:val="0"/>
          <w:kern w:val="0"/>
          <w:szCs w:val="21"/>
        </w:rPr>
        <w:t>规定的时间前，以书面形式将提出的问题送达招标人，以便招标人澄清。</w:t>
      </w:r>
    </w:p>
    <w:p>
      <w:pPr>
        <w:autoSpaceDE w:val="0"/>
        <w:autoSpaceDN w:val="0"/>
        <w:adjustRightInd w:val="0"/>
        <w:snapToGrid w:val="0"/>
        <w:spacing w:line="360" w:lineRule="auto"/>
        <w:ind w:firstLine="424" w:firstLineChars="202"/>
        <w:rPr>
          <w:rFonts w:ascii="宋体" w:hAnsi="宋体"/>
          <w:snapToGrid w:val="0"/>
          <w:kern w:val="0"/>
          <w:szCs w:val="21"/>
        </w:rPr>
      </w:pPr>
      <w:r>
        <w:rPr>
          <w:rFonts w:ascii="宋体" w:hAnsi="宋体"/>
          <w:snapToGrid w:val="0"/>
          <w:kern w:val="0"/>
          <w:szCs w:val="21"/>
        </w:rPr>
        <w:t>1.10.3  招标人在投标人须知前附表规定的时间内，将对投标人所提</w:t>
      </w:r>
      <w:r>
        <w:rPr>
          <w:rFonts w:ascii="宋体" w:hAnsi="宋体"/>
          <w:snapToGrid w:val="0"/>
          <w:kern w:val="0"/>
          <w:position w:val="-2"/>
          <w:szCs w:val="21"/>
        </w:rPr>
        <w:t>的</w:t>
      </w:r>
      <w:r>
        <w:rPr>
          <w:rFonts w:ascii="宋体" w:hAnsi="宋体"/>
          <w:snapToGrid w:val="0"/>
          <w:kern w:val="0"/>
          <w:szCs w:val="21"/>
        </w:rPr>
        <w:t>问题</w:t>
      </w:r>
      <w:r>
        <w:rPr>
          <w:rFonts w:ascii="宋体" w:hAnsi="宋体"/>
          <w:snapToGrid w:val="0"/>
          <w:kern w:val="0"/>
          <w:position w:val="-2"/>
          <w:szCs w:val="21"/>
        </w:rPr>
        <w:t>进行澄清。该澄清内容为招标文件的组成部分。</w:t>
      </w:r>
    </w:p>
    <w:p>
      <w:pPr>
        <w:pStyle w:val="5"/>
        <w:snapToGrid w:val="0"/>
        <w:spacing w:before="0" w:after="0" w:line="360" w:lineRule="auto"/>
        <w:rPr>
          <w:rFonts w:ascii="宋体" w:hAnsi="宋体"/>
          <w:bCs w:val="0"/>
          <w:snapToGrid w:val="0"/>
          <w:sz w:val="24"/>
          <w:szCs w:val="24"/>
        </w:rPr>
      </w:pPr>
      <w:bookmarkStart w:id="281" w:name="_Toc287620697"/>
      <w:bookmarkStart w:id="282" w:name="_Toc277082564"/>
      <w:bookmarkStart w:id="283" w:name="_Toc509218722"/>
      <w:bookmarkStart w:id="284" w:name="_Toc430530447"/>
      <w:bookmarkStart w:id="285" w:name="_Toc224103329"/>
      <w:bookmarkStart w:id="286" w:name="_Toc200513138"/>
      <w:bookmarkStart w:id="287" w:name="_Toc585"/>
      <w:bookmarkStart w:id="288" w:name="_Toc287607758"/>
      <w:r>
        <w:rPr>
          <w:rFonts w:ascii="宋体" w:hAnsi="宋体"/>
          <w:bCs w:val="0"/>
          <w:snapToGrid w:val="0"/>
          <w:sz w:val="24"/>
          <w:szCs w:val="24"/>
        </w:rPr>
        <w:t>1.11  分包</w:t>
      </w:r>
      <w:bookmarkEnd w:id="281"/>
      <w:bookmarkEnd w:id="282"/>
      <w:bookmarkEnd w:id="283"/>
      <w:bookmarkEnd w:id="284"/>
      <w:bookmarkEnd w:id="285"/>
      <w:bookmarkEnd w:id="286"/>
      <w:bookmarkEnd w:id="287"/>
      <w:bookmarkEnd w:id="288"/>
    </w:p>
    <w:p>
      <w:pPr>
        <w:autoSpaceDE w:val="0"/>
        <w:autoSpaceDN w:val="0"/>
        <w:adjustRightInd w:val="0"/>
        <w:snapToGrid w:val="0"/>
        <w:spacing w:line="360" w:lineRule="auto"/>
        <w:ind w:firstLine="426"/>
        <w:rPr>
          <w:rFonts w:ascii="宋体" w:hAnsi="宋体"/>
          <w:snapToGrid w:val="0"/>
          <w:kern w:val="0"/>
          <w:szCs w:val="21"/>
        </w:rPr>
      </w:pPr>
      <w:r>
        <w:rPr>
          <w:rFonts w:ascii="宋体" w:hAnsi="宋体"/>
          <w:snapToGrid w:val="0"/>
          <w:kern w:val="0"/>
          <w:szCs w:val="21"/>
        </w:rPr>
        <w:t>投标人拟在中标后将中标项目的部分非主体、非关键性工作进行分包的，应符合投标人须知前附表规定的分包内容、分包金额和接受分包的第三人资质要求等限制性条件。</w:t>
      </w:r>
    </w:p>
    <w:p>
      <w:pPr>
        <w:pStyle w:val="5"/>
        <w:snapToGrid w:val="0"/>
        <w:spacing w:before="0" w:after="0" w:line="360" w:lineRule="auto"/>
        <w:rPr>
          <w:rFonts w:ascii="宋体" w:hAnsi="宋体"/>
          <w:bCs w:val="0"/>
          <w:snapToGrid w:val="0"/>
          <w:sz w:val="24"/>
          <w:szCs w:val="24"/>
        </w:rPr>
      </w:pPr>
      <w:bookmarkStart w:id="289" w:name="_Toc287607759"/>
      <w:bookmarkStart w:id="290" w:name="_Toc27668"/>
      <w:bookmarkStart w:id="291" w:name="_Toc509218723"/>
      <w:bookmarkStart w:id="292" w:name="_Toc224103330"/>
      <w:bookmarkStart w:id="293" w:name="_Toc277082565"/>
      <w:bookmarkStart w:id="294" w:name="_Toc200513139"/>
      <w:bookmarkStart w:id="295" w:name="_Toc430530448"/>
      <w:bookmarkStart w:id="296" w:name="_Toc287620698"/>
      <w:r>
        <w:rPr>
          <w:rFonts w:ascii="宋体" w:hAnsi="宋体"/>
          <w:bCs w:val="0"/>
          <w:snapToGrid w:val="0"/>
          <w:sz w:val="24"/>
          <w:szCs w:val="24"/>
        </w:rPr>
        <w:t>1.12  偏离</w:t>
      </w:r>
      <w:bookmarkEnd w:id="289"/>
      <w:bookmarkEnd w:id="290"/>
      <w:bookmarkEnd w:id="291"/>
      <w:bookmarkEnd w:id="292"/>
      <w:bookmarkEnd w:id="293"/>
      <w:bookmarkEnd w:id="294"/>
      <w:bookmarkEnd w:id="295"/>
      <w:bookmarkEnd w:id="296"/>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投标人须知前附表允许投标文件偏离招标文件某些要求的，偏离应当符合招标文件规定 的偏离范围和幅度。</w:t>
      </w:r>
    </w:p>
    <w:p>
      <w:pPr>
        <w:pStyle w:val="4"/>
        <w:spacing w:before="0" w:after="0" w:line="360" w:lineRule="auto"/>
        <w:rPr>
          <w:rFonts w:ascii="宋体" w:hAnsi="宋体"/>
          <w:bCs w:val="0"/>
          <w:snapToGrid w:val="0"/>
        </w:rPr>
      </w:pPr>
      <w:bookmarkStart w:id="297" w:name="_Toc277082566"/>
      <w:bookmarkStart w:id="298" w:name="_Toc200513140"/>
      <w:bookmarkStart w:id="299" w:name="_Toc509218724"/>
      <w:bookmarkStart w:id="300" w:name="_Toc32059"/>
      <w:bookmarkStart w:id="301" w:name="_Toc27300"/>
      <w:bookmarkStart w:id="302" w:name="_Toc430530449"/>
      <w:bookmarkStart w:id="303" w:name="_Toc287620699"/>
      <w:bookmarkStart w:id="304" w:name="_Toc287607760"/>
      <w:bookmarkStart w:id="305" w:name="_Toc224103331"/>
      <w:bookmarkStart w:id="306" w:name="_Toc28787"/>
      <w:r>
        <w:rPr>
          <w:rFonts w:ascii="宋体" w:hAnsi="宋体"/>
          <w:bCs w:val="0"/>
          <w:snapToGrid w:val="0"/>
        </w:rPr>
        <w:t>2.  招标文件</w:t>
      </w:r>
      <w:bookmarkEnd w:id="297"/>
      <w:bookmarkEnd w:id="298"/>
      <w:bookmarkEnd w:id="299"/>
      <w:bookmarkEnd w:id="300"/>
      <w:bookmarkEnd w:id="301"/>
      <w:bookmarkEnd w:id="302"/>
      <w:bookmarkEnd w:id="303"/>
      <w:bookmarkEnd w:id="304"/>
      <w:bookmarkEnd w:id="305"/>
      <w:bookmarkEnd w:id="306"/>
    </w:p>
    <w:p>
      <w:pPr>
        <w:pStyle w:val="5"/>
        <w:snapToGrid w:val="0"/>
        <w:spacing w:before="0" w:after="0" w:line="360" w:lineRule="auto"/>
        <w:rPr>
          <w:rFonts w:ascii="宋体" w:hAnsi="宋体"/>
          <w:bCs w:val="0"/>
          <w:snapToGrid w:val="0"/>
          <w:sz w:val="24"/>
          <w:szCs w:val="24"/>
        </w:rPr>
      </w:pPr>
      <w:bookmarkStart w:id="307" w:name="_Toc509218725"/>
      <w:bookmarkStart w:id="308" w:name="_Toc430530450"/>
      <w:bookmarkStart w:id="309" w:name="_Toc287607761"/>
      <w:bookmarkStart w:id="310" w:name="_Toc287620700"/>
      <w:bookmarkStart w:id="311" w:name="_Toc277082567"/>
      <w:bookmarkStart w:id="312" w:name="_Toc200513141"/>
      <w:bookmarkStart w:id="313" w:name="_Toc3714"/>
      <w:bookmarkStart w:id="314" w:name="_Toc224103332"/>
      <w:r>
        <w:rPr>
          <w:rFonts w:ascii="宋体" w:hAnsi="宋体"/>
          <w:bCs w:val="0"/>
          <w:snapToGrid w:val="0"/>
          <w:sz w:val="24"/>
          <w:szCs w:val="24"/>
        </w:rPr>
        <w:t>2.1  招标文件的组成</w:t>
      </w:r>
      <w:bookmarkEnd w:id="307"/>
      <w:bookmarkEnd w:id="308"/>
      <w:bookmarkEnd w:id="309"/>
      <w:bookmarkEnd w:id="310"/>
      <w:bookmarkEnd w:id="311"/>
      <w:bookmarkEnd w:id="312"/>
      <w:bookmarkEnd w:id="313"/>
      <w:bookmarkEnd w:id="314"/>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本招标文件包括：</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（1）招标公告（或投标邀请书）；</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（2）投标人须知；</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（3）评标办法；</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（4）合同条款及格式；</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（5）工程量清单；</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（6）图纸；</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（7）技术标准和要求；</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（8）投标文件格式；</w:t>
      </w:r>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（9）投标人须知前附表规定的其他材料。</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根据本章第1.10款、第2.2款和第2.3款对招标文件所作的澄清、修改，构成招标文件的组成部分。</w:t>
      </w:r>
    </w:p>
    <w:p>
      <w:pPr>
        <w:pStyle w:val="5"/>
        <w:snapToGrid w:val="0"/>
        <w:spacing w:before="0" w:after="0" w:line="360" w:lineRule="auto"/>
        <w:rPr>
          <w:rFonts w:ascii="宋体" w:hAnsi="宋体"/>
          <w:bCs w:val="0"/>
          <w:snapToGrid w:val="0"/>
          <w:sz w:val="24"/>
          <w:szCs w:val="24"/>
        </w:rPr>
      </w:pPr>
      <w:bookmarkStart w:id="315" w:name="_Toc509218726"/>
      <w:bookmarkStart w:id="316" w:name="_Toc430530451"/>
      <w:bookmarkStart w:id="317" w:name="_Toc8578"/>
      <w:r>
        <w:rPr>
          <w:rFonts w:ascii="宋体" w:hAnsi="宋体"/>
          <w:bCs w:val="0"/>
          <w:snapToGrid w:val="0"/>
          <w:sz w:val="24"/>
          <w:szCs w:val="24"/>
        </w:rPr>
        <w:t>2.2  招标文件的澄清</w:t>
      </w:r>
      <w:bookmarkEnd w:id="315"/>
      <w:bookmarkEnd w:id="316"/>
      <w:bookmarkEnd w:id="317"/>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2.2.1  投标人应仔细阅读和检查招标文件的全部内容。如发现缺页或附件不全，应及时向招标人提出，以便补齐。如有疑问，应在投标人须知前附表规定的时间前</w:t>
      </w:r>
      <w:r>
        <w:rPr>
          <w:rFonts w:ascii="宋体" w:hAnsi="宋体"/>
          <w:kern w:val="0"/>
          <w:szCs w:val="21"/>
        </w:rPr>
        <w:t>在</w:t>
      </w:r>
      <w:r>
        <w:rPr>
          <w:rFonts w:hint="eastAsia" w:ascii="宋体" w:hAnsi="宋体"/>
          <w:kern w:val="0"/>
          <w:szCs w:val="21"/>
        </w:rPr>
        <w:t>相应法定网站提问</w:t>
      </w:r>
      <w:r>
        <w:rPr>
          <w:rFonts w:ascii="宋体" w:hAnsi="宋体"/>
          <w:snapToGrid w:val="0"/>
          <w:kern w:val="0"/>
          <w:szCs w:val="21"/>
        </w:rPr>
        <w:t>，要求招标人对招标文件予以澄清。</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2.2.2  招标文件的澄清将在投标人须知前附表规定的投标截止时间15天前</w:t>
      </w:r>
      <w:r>
        <w:rPr>
          <w:rFonts w:ascii="宋体" w:hAnsi="宋体"/>
          <w:kern w:val="0"/>
          <w:szCs w:val="21"/>
        </w:rPr>
        <w:t>在</w:t>
      </w:r>
      <w:r>
        <w:rPr>
          <w:rFonts w:hint="eastAsia" w:ascii="宋体" w:hAnsi="宋体"/>
          <w:kern w:val="0"/>
          <w:szCs w:val="21"/>
        </w:rPr>
        <w:t>相应法定网站</w:t>
      </w:r>
      <w:r>
        <w:rPr>
          <w:rFonts w:ascii="宋体" w:hAnsi="宋体"/>
          <w:kern w:val="0"/>
          <w:szCs w:val="21"/>
        </w:rPr>
        <w:t>发布，</w:t>
      </w:r>
      <w:r>
        <w:rPr>
          <w:rFonts w:ascii="宋体" w:hAnsi="宋体"/>
          <w:snapToGrid w:val="0"/>
          <w:kern w:val="0"/>
          <w:szCs w:val="21"/>
        </w:rPr>
        <w:t>但不指明澄清问题的来源。如果澄清发出的时间距投标截止时间不足15天，相应延长投标截止时间。</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 xml:space="preserve">2.2.3  </w:t>
      </w:r>
      <w:r>
        <w:rPr>
          <w:rFonts w:ascii="宋体" w:hAnsi="宋体"/>
          <w:kern w:val="0"/>
          <w:szCs w:val="21"/>
        </w:rPr>
        <w:t>招标人对招标文件的</w:t>
      </w:r>
      <w:r>
        <w:rPr>
          <w:rFonts w:hint="eastAsia" w:ascii="宋体" w:hAnsi="宋体"/>
          <w:snapToGrid w:val="0"/>
          <w:kern w:val="0"/>
          <w:szCs w:val="21"/>
        </w:rPr>
        <w:t>修改</w:t>
      </w:r>
      <w:r>
        <w:rPr>
          <w:rFonts w:ascii="宋体" w:hAnsi="宋体"/>
          <w:snapToGrid w:val="0"/>
          <w:kern w:val="0"/>
          <w:szCs w:val="21"/>
        </w:rPr>
        <w:t>内容可能影响投标文件编制的，须在投标截止时间15日前发布，发布时间至投标截止时间不足15日的，须相应延后投标截止时间。</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position w:val="-2"/>
          <w:szCs w:val="21"/>
        </w:rPr>
        <w:t>2.2.4  投标人对招标文件和</w:t>
      </w:r>
      <w:r>
        <w:rPr>
          <w:rFonts w:hint="eastAsia" w:ascii="宋体" w:hAnsi="宋体"/>
          <w:snapToGrid w:val="0"/>
          <w:kern w:val="0"/>
          <w:position w:val="-2"/>
          <w:szCs w:val="21"/>
        </w:rPr>
        <w:t>澄清</w:t>
      </w:r>
      <w:r>
        <w:rPr>
          <w:rFonts w:ascii="宋体" w:hAnsi="宋体"/>
          <w:snapToGrid w:val="0"/>
          <w:kern w:val="0"/>
          <w:position w:val="-2"/>
          <w:szCs w:val="21"/>
        </w:rPr>
        <w:t>修改仍有</w:t>
      </w:r>
      <w:r>
        <w:rPr>
          <w:rFonts w:hint="eastAsia" w:ascii="宋体" w:hAnsi="宋体"/>
          <w:snapToGrid w:val="0"/>
          <w:kern w:val="0"/>
          <w:position w:val="-2"/>
          <w:szCs w:val="21"/>
        </w:rPr>
        <w:t>异议</w:t>
      </w:r>
      <w:r>
        <w:rPr>
          <w:rFonts w:ascii="宋体" w:hAnsi="宋体"/>
          <w:snapToGrid w:val="0"/>
          <w:kern w:val="0"/>
          <w:position w:val="-2"/>
          <w:szCs w:val="21"/>
        </w:rPr>
        <w:t>的，可于投标截止时间10日前，</w:t>
      </w:r>
      <w:r>
        <w:rPr>
          <w:rFonts w:hint="eastAsia" w:ascii="宋体" w:hAnsi="宋体" w:cs="宋体"/>
          <w:snapToGrid w:val="0"/>
          <w:position w:val="-2"/>
          <w:szCs w:val="21"/>
        </w:rPr>
        <w:t>通过重庆市电子招投标系统提出</w:t>
      </w:r>
      <w:r>
        <w:rPr>
          <w:rFonts w:ascii="宋体" w:hAnsi="宋体"/>
          <w:snapToGrid w:val="0"/>
          <w:kern w:val="0"/>
          <w:szCs w:val="21"/>
        </w:rPr>
        <w:t>。招标人应将答复以</w:t>
      </w:r>
      <w:r>
        <w:rPr>
          <w:rFonts w:hint="eastAsia" w:ascii="宋体" w:hAnsi="宋体"/>
          <w:snapToGrid w:val="0"/>
          <w:kern w:val="0"/>
          <w:szCs w:val="21"/>
        </w:rPr>
        <w:t>修改</w:t>
      </w:r>
      <w:r>
        <w:rPr>
          <w:rFonts w:ascii="宋体" w:hAnsi="宋体"/>
          <w:snapToGrid w:val="0"/>
          <w:kern w:val="0"/>
          <w:szCs w:val="21"/>
        </w:rPr>
        <w:t>的形式在</w:t>
      </w:r>
      <w:r>
        <w:rPr>
          <w:rFonts w:hint="eastAsia" w:ascii="宋体" w:hAnsi="宋体"/>
          <w:kern w:val="0"/>
          <w:szCs w:val="21"/>
        </w:rPr>
        <w:t>相应法定网站</w:t>
      </w:r>
      <w:r>
        <w:rPr>
          <w:rFonts w:ascii="宋体" w:hAnsi="宋体"/>
          <w:kern w:val="0"/>
          <w:szCs w:val="21"/>
        </w:rPr>
        <w:t>发布</w:t>
      </w:r>
      <w:r>
        <w:rPr>
          <w:rFonts w:ascii="宋体" w:hAnsi="宋体"/>
          <w:snapToGrid w:val="0"/>
          <w:kern w:val="0"/>
          <w:szCs w:val="21"/>
        </w:rPr>
        <w:t>。</w:t>
      </w:r>
      <w:r>
        <w:rPr>
          <w:rFonts w:hint="eastAsia" w:ascii="宋体" w:hAnsi="宋体"/>
          <w:snapToGrid w:val="0"/>
          <w:kern w:val="0"/>
          <w:szCs w:val="21"/>
        </w:rPr>
        <w:t>修改</w:t>
      </w:r>
      <w:r>
        <w:rPr>
          <w:rFonts w:ascii="宋体" w:hAnsi="宋体"/>
          <w:snapToGrid w:val="0"/>
          <w:kern w:val="0"/>
          <w:szCs w:val="21"/>
        </w:rPr>
        <w:t>内容可能影响投标文件编制的，须在投标截止时间15日前发布，发布时间至投标截止时间不足15日的，须相应延后投标截止时间。</w:t>
      </w:r>
    </w:p>
    <w:p>
      <w:pPr>
        <w:pStyle w:val="5"/>
        <w:snapToGrid w:val="0"/>
        <w:spacing w:before="0" w:after="0" w:line="360" w:lineRule="auto"/>
        <w:rPr>
          <w:rFonts w:ascii="宋体" w:hAnsi="宋体"/>
          <w:bCs w:val="0"/>
          <w:snapToGrid w:val="0"/>
          <w:sz w:val="24"/>
          <w:szCs w:val="24"/>
        </w:rPr>
      </w:pPr>
      <w:bookmarkStart w:id="318" w:name="_Toc224103334"/>
      <w:bookmarkStart w:id="319" w:name="_Toc277082569"/>
      <w:bookmarkStart w:id="320" w:name="_Toc287607763"/>
      <w:bookmarkStart w:id="321" w:name="_Toc200513143"/>
      <w:bookmarkStart w:id="322" w:name="_Toc509218727"/>
      <w:bookmarkStart w:id="323" w:name="_Toc430530452"/>
      <w:bookmarkStart w:id="324" w:name="_Toc5356"/>
      <w:bookmarkStart w:id="325" w:name="_Toc287620702"/>
      <w:r>
        <w:rPr>
          <w:rFonts w:ascii="宋体" w:hAnsi="宋体"/>
          <w:bCs w:val="0"/>
          <w:snapToGrid w:val="0"/>
          <w:sz w:val="24"/>
          <w:szCs w:val="24"/>
        </w:rPr>
        <w:t>2.3  招标文件的修改</w:t>
      </w:r>
      <w:bookmarkEnd w:id="318"/>
      <w:bookmarkEnd w:id="319"/>
      <w:bookmarkEnd w:id="320"/>
      <w:bookmarkEnd w:id="321"/>
      <w:bookmarkEnd w:id="322"/>
      <w:bookmarkEnd w:id="323"/>
      <w:bookmarkEnd w:id="324"/>
      <w:bookmarkEnd w:id="325"/>
    </w:p>
    <w:p>
      <w:pPr>
        <w:autoSpaceDE w:val="0"/>
        <w:autoSpaceDN w:val="0"/>
        <w:adjustRightInd w:val="0"/>
        <w:snapToGrid w:val="0"/>
        <w:spacing w:line="360" w:lineRule="auto"/>
        <w:ind w:firstLine="420"/>
        <w:rPr>
          <w:rFonts w:ascii="宋体" w:hAnsi="宋体"/>
          <w:snapToGrid w:val="0"/>
        </w:rPr>
      </w:pPr>
      <w:bookmarkStart w:id="326" w:name="_Toc277082570"/>
      <w:bookmarkStart w:id="327" w:name="_Toc287607764"/>
      <w:bookmarkStart w:id="328" w:name="_Toc287620703"/>
      <w:bookmarkStart w:id="329" w:name="_Toc224103335"/>
      <w:bookmarkStart w:id="330" w:name="_Toc200513144"/>
      <w:r>
        <w:rPr>
          <w:rFonts w:ascii="宋体" w:hAnsi="宋体"/>
          <w:snapToGrid w:val="0"/>
        </w:rPr>
        <w:t>按照本章第2.2款招标文件的澄清相关内容及方式执行。</w:t>
      </w:r>
    </w:p>
    <w:p>
      <w:pPr>
        <w:pStyle w:val="4"/>
        <w:spacing w:before="0" w:after="0" w:line="360" w:lineRule="auto"/>
        <w:rPr>
          <w:rFonts w:ascii="宋体" w:hAnsi="宋体"/>
          <w:bCs w:val="0"/>
          <w:snapToGrid w:val="0"/>
        </w:rPr>
      </w:pPr>
      <w:bookmarkStart w:id="331" w:name="_Toc6558"/>
      <w:bookmarkStart w:id="332" w:name="_Toc7243"/>
      <w:bookmarkStart w:id="333" w:name="_Toc509218728"/>
      <w:bookmarkStart w:id="334" w:name="_Toc430530453"/>
      <w:bookmarkStart w:id="335" w:name="_Toc21783"/>
      <w:r>
        <w:rPr>
          <w:rFonts w:ascii="宋体" w:hAnsi="宋体"/>
          <w:bCs w:val="0"/>
          <w:snapToGrid w:val="0"/>
        </w:rPr>
        <w:t>3.  投标文件</w:t>
      </w:r>
      <w:bookmarkEnd w:id="326"/>
      <w:bookmarkEnd w:id="327"/>
      <w:bookmarkEnd w:id="328"/>
      <w:bookmarkEnd w:id="329"/>
      <w:bookmarkEnd w:id="330"/>
      <w:bookmarkEnd w:id="331"/>
      <w:bookmarkEnd w:id="332"/>
      <w:bookmarkEnd w:id="333"/>
      <w:bookmarkEnd w:id="334"/>
      <w:bookmarkEnd w:id="335"/>
    </w:p>
    <w:p>
      <w:pPr>
        <w:pStyle w:val="5"/>
        <w:snapToGrid w:val="0"/>
        <w:spacing w:before="0" w:after="0" w:line="360" w:lineRule="auto"/>
        <w:rPr>
          <w:rFonts w:ascii="宋体" w:hAnsi="宋体"/>
          <w:bCs w:val="0"/>
          <w:snapToGrid w:val="0"/>
          <w:sz w:val="24"/>
          <w:szCs w:val="24"/>
        </w:rPr>
      </w:pPr>
      <w:bookmarkStart w:id="336" w:name="_Toc224103336"/>
      <w:bookmarkStart w:id="337" w:name="_Toc277082571"/>
      <w:bookmarkStart w:id="338" w:name="_Toc287620704"/>
      <w:bookmarkStart w:id="339" w:name="_Toc557"/>
      <w:bookmarkStart w:id="340" w:name="_Toc430530454"/>
      <w:bookmarkStart w:id="341" w:name="_Toc287607765"/>
      <w:bookmarkStart w:id="342" w:name="_Toc509218729"/>
      <w:bookmarkStart w:id="343" w:name="_Toc200513145"/>
      <w:r>
        <w:rPr>
          <w:rFonts w:ascii="宋体" w:hAnsi="宋体"/>
          <w:bCs w:val="0"/>
          <w:snapToGrid w:val="0"/>
          <w:sz w:val="24"/>
          <w:szCs w:val="24"/>
        </w:rPr>
        <w:t>3.1  投标文件的组成</w:t>
      </w:r>
      <w:bookmarkEnd w:id="336"/>
      <w:bookmarkEnd w:id="337"/>
      <w:bookmarkEnd w:id="338"/>
      <w:bookmarkEnd w:id="339"/>
      <w:bookmarkEnd w:id="340"/>
      <w:bookmarkEnd w:id="341"/>
      <w:bookmarkEnd w:id="342"/>
      <w:bookmarkEnd w:id="343"/>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3.1.1 投标文件应包括下列内容：</w:t>
      </w:r>
    </w:p>
    <w:p>
      <w:pPr>
        <w:spacing w:line="360" w:lineRule="auto"/>
        <w:ind w:firstLine="420" w:firstLineChars="200"/>
        <w:rPr>
          <w:rFonts w:ascii="宋体" w:hAnsi="宋体"/>
        </w:rPr>
      </w:pPr>
      <w:r>
        <w:rPr>
          <w:rFonts w:hint="eastAsia" w:ascii="宋体" w:hAnsi="宋体"/>
        </w:rPr>
        <w:t>3.1.1.1投标函部分</w:t>
      </w:r>
    </w:p>
    <w:p>
      <w:pPr>
        <w:spacing w:line="360" w:lineRule="auto"/>
        <w:ind w:firstLine="420" w:firstLineChars="200"/>
        <w:rPr>
          <w:rFonts w:ascii="宋体" w:hAnsi="宋体"/>
        </w:rPr>
      </w:pPr>
      <w:r>
        <w:rPr>
          <w:rFonts w:hint="eastAsia" w:ascii="宋体" w:hAnsi="宋体"/>
        </w:rPr>
        <w:t>（1）投标函</w:t>
      </w:r>
    </w:p>
    <w:p>
      <w:pPr>
        <w:spacing w:line="360" w:lineRule="auto"/>
        <w:ind w:firstLine="420" w:firstLineChars="200"/>
        <w:rPr>
          <w:rFonts w:ascii="宋体" w:hAnsi="宋体"/>
        </w:rPr>
      </w:pPr>
      <w:r>
        <w:rPr>
          <w:rFonts w:hint="eastAsia" w:ascii="宋体" w:hAnsi="宋体"/>
        </w:rPr>
        <w:t>（2）投标函附录</w:t>
      </w:r>
    </w:p>
    <w:p>
      <w:pPr>
        <w:spacing w:line="360" w:lineRule="auto"/>
        <w:ind w:firstLine="420" w:firstLineChars="200"/>
        <w:rPr>
          <w:rFonts w:ascii="宋体" w:hAnsi="宋体"/>
        </w:rPr>
      </w:pPr>
      <w:r>
        <w:rPr>
          <w:rFonts w:hint="eastAsia" w:ascii="宋体" w:hAnsi="宋体"/>
        </w:rPr>
        <w:t>（3）法定代表人身份证明或附有法定代表人身份证明的授权委托书</w:t>
      </w:r>
    </w:p>
    <w:p>
      <w:pPr>
        <w:spacing w:line="360" w:lineRule="auto"/>
        <w:ind w:firstLine="420" w:firstLineChars="200"/>
        <w:rPr>
          <w:rFonts w:ascii="宋体" w:hAnsi="宋体"/>
        </w:rPr>
      </w:pPr>
      <w:r>
        <w:rPr>
          <w:rFonts w:hint="eastAsia" w:ascii="宋体" w:hAnsi="宋体"/>
        </w:rPr>
        <w:t>（4）低价风险担保提交承诺书（如有）</w:t>
      </w:r>
    </w:p>
    <w:p>
      <w:pPr>
        <w:spacing w:line="360" w:lineRule="auto"/>
        <w:ind w:firstLine="420" w:firstLineChars="200"/>
        <w:rPr>
          <w:rFonts w:ascii="宋体" w:hAnsi="宋体"/>
        </w:rPr>
      </w:pPr>
      <w:r>
        <w:rPr>
          <w:rFonts w:hint="eastAsia" w:ascii="宋体" w:hAnsi="宋体"/>
        </w:rPr>
        <w:t>3.1.1.2经济部分</w:t>
      </w:r>
    </w:p>
    <w:p>
      <w:pPr>
        <w:spacing w:line="360" w:lineRule="auto"/>
        <w:ind w:firstLine="420" w:firstLineChars="200"/>
        <w:rPr>
          <w:rFonts w:ascii="宋体" w:hAnsi="宋体"/>
        </w:rPr>
      </w:pPr>
      <w:r>
        <w:rPr>
          <w:rFonts w:hint="eastAsia" w:ascii="宋体" w:hAnsi="宋体"/>
        </w:rPr>
        <w:t>（1）已标价工程量清单</w:t>
      </w:r>
    </w:p>
    <w:p>
      <w:pPr>
        <w:pStyle w:val="2"/>
        <w:spacing w:line="360" w:lineRule="auto"/>
        <w:ind w:firstLine="420" w:firstLineChars="200"/>
        <w:rPr>
          <w:rFonts w:ascii="宋体" w:hAnsi="宋体"/>
        </w:rPr>
      </w:pPr>
      <w:r>
        <w:rPr>
          <w:rFonts w:hint="eastAsia"/>
        </w:rPr>
        <w:t>3.1.1.3商务部分</w:t>
      </w:r>
      <w:r>
        <w:rPr>
          <w:rFonts w:hint="eastAsia" w:ascii="宋体" w:hAnsi="宋体"/>
        </w:rPr>
        <w:t>（不设置技术方案评审的不设此部分）</w:t>
      </w:r>
    </w:p>
    <w:p>
      <w:pPr>
        <w:spacing w:line="360" w:lineRule="auto"/>
        <w:ind w:firstLine="420" w:firstLineChars="200"/>
        <w:rPr>
          <w:rFonts w:ascii="宋体" w:hAnsi="宋体"/>
        </w:rPr>
      </w:pPr>
      <w:r>
        <w:rPr>
          <w:rFonts w:hint="eastAsia" w:ascii="宋体" w:hAnsi="宋体"/>
        </w:rPr>
        <w:t>3.1.1.4技术部分（不设置技术方案评审的不设此部分）</w:t>
      </w:r>
    </w:p>
    <w:p>
      <w:pPr>
        <w:spacing w:line="360" w:lineRule="auto"/>
        <w:ind w:firstLine="420" w:firstLineChars="200"/>
        <w:rPr>
          <w:rFonts w:ascii="宋体" w:hAnsi="宋体"/>
        </w:rPr>
      </w:pPr>
      <w:r>
        <w:rPr>
          <w:rFonts w:hint="eastAsia" w:ascii="宋体" w:hAnsi="宋体"/>
        </w:rPr>
        <w:t>3.1.1.5资格审查部分</w:t>
      </w:r>
    </w:p>
    <w:p>
      <w:pPr>
        <w:spacing w:line="360" w:lineRule="auto"/>
        <w:ind w:firstLine="420" w:firstLineChars="200"/>
        <w:rPr>
          <w:rFonts w:ascii="宋体" w:hAnsi="宋体"/>
        </w:rPr>
      </w:pPr>
      <w:r>
        <w:rPr>
          <w:rFonts w:hint="eastAsia" w:ascii="宋体" w:hAnsi="宋体"/>
        </w:rPr>
        <w:t>（1）法定代表人身份证明或附有法定代表人身份证明的授权委托书</w:t>
      </w:r>
    </w:p>
    <w:p>
      <w:pPr>
        <w:spacing w:line="360" w:lineRule="auto"/>
        <w:ind w:firstLine="420" w:firstLineChars="200"/>
        <w:rPr>
          <w:rFonts w:ascii="宋体" w:hAnsi="宋体"/>
        </w:rPr>
      </w:pPr>
      <w:r>
        <w:rPr>
          <w:rFonts w:hint="eastAsia" w:ascii="宋体" w:hAnsi="宋体"/>
        </w:rPr>
        <w:t>（2）联合体协议书（如有）</w:t>
      </w:r>
    </w:p>
    <w:p>
      <w:pPr>
        <w:spacing w:line="360" w:lineRule="auto"/>
        <w:ind w:firstLine="420" w:firstLineChars="200"/>
        <w:rPr>
          <w:rFonts w:ascii="宋体" w:hAnsi="宋体"/>
        </w:rPr>
      </w:pPr>
      <w:r>
        <w:rPr>
          <w:rFonts w:hint="eastAsia" w:ascii="宋体" w:hAnsi="宋体"/>
        </w:rPr>
        <w:t>（3）投标人基本情况表</w:t>
      </w:r>
    </w:p>
    <w:p>
      <w:pPr>
        <w:spacing w:line="360" w:lineRule="auto"/>
        <w:ind w:firstLine="420" w:firstLineChars="200"/>
        <w:rPr>
          <w:rFonts w:ascii="宋体" w:hAnsi="宋体"/>
        </w:rPr>
      </w:pPr>
      <w:r>
        <w:rPr>
          <w:rFonts w:hint="eastAsia" w:ascii="宋体" w:hAnsi="宋体"/>
        </w:rPr>
        <w:t>（4）项目管理机构</w:t>
      </w:r>
    </w:p>
    <w:p>
      <w:pPr>
        <w:spacing w:line="360" w:lineRule="auto"/>
        <w:ind w:firstLine="420" w:firstLineChars="200"/>
        <w:rPr>
          <w:rFonts w:ascii="宋体" w:hAnsi="宋体"/>
        </w:rPr>
      </w:pPr>
      <w:r>
        <w:rPr>
          <w:rFonts w:hint="eastAsia" w:ascii="宋体" w:hAnsi="宋体"/>
        </w:rPr>
        <w:t>（5）近年财务状况表</w:t>
      </w:r>
    </w:p>
    <w:p>
      <w:pPr>
        <w:spacing w:line="360" w:lineRule="auto"/>
        <w:ind w:firstLine="420" w:firstLineChars="200"/>
        <w:rPr>
          <w:rFonts w:ascii="宋体" w:hAnsi="宋体"/>
        </w:rPr>
      </w:pPr>
      <w:r>
        <w:rPr>
          <w:rFonts w:hint="eastAsia" w:ascii="宋体" w:hAnsi="宋体"/>
        </w:rPr>
        <w:t>（6）类似项目情况表</w:t>
      </w:r>
    </w:p>
    <w:p>
      <w:pPr>
        <w:spacing w:line="360" w:lineRule="auto"/>
        <w:ind w:firstLine="420" w:firstLineChars="200"/>
        <w:rPr>
          <w:rFonts w:ascii="宋体" w:hAnsi="宋体"/>
        </w:rPr>
      </w:pPr>
      <w:r>
        <w:rPr>
          <w:rFonts w:hint="eastAsia" w:ascii="宋体" w:hAnsi="宋体"/>
        </w:rPr>
        <w:t>（7）承诺</w:t>
      </w:r>
    </w:p>
    <w:p>
      <w:pPr>
        <w:spacing w:line="360" w:lineRule="auto"/>
        <w:ind w:firstLine="420" w:firstLineChars="200"/>
        <w:rPr>
          <w:rFonts w:ascii="宋体" w:hAnsi="宋体"/>
        </w:rPr>
      </w:pPr>
      <w:r>
        <w:rPr>
          <w:rFonts w:hint="eastAsia" w:ascii="宋体" w:hAnsi="宋体"/>
        </w:rPr>
        <w:t>（8）其他资料</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3.1.2  投标人须知前附表规定不接受联合体投标的，或投标人没有组成联合体的，投标文件不包括联合体协议书。</w:t>
      </w:r>
    </w:p>
    <w:p>
      <w:pPr>
        <w:pStyle w:val="5"/>
        <w:snapToGrid w:val="0"/>
        <w:spacing w:before="0" w:after="0" w:line="360" w:lineRule="auto"/>
        <w:rPr>
          <w:rFonts w:ascii="宋体" w:hAnsi="宋体"/>
          <w:bCs w:val="0"/>
          <w:snapToGrid w:val="0"/>
          <w:sz w:val="24"/>
          <w:szCs w:val="24"/>
        </w:rPr>
      </w:pPr>
      <w:bookmarkStart w:id="344" w:name="_Toc509218730"/>
      <w:bookmarkStart w:id="345" w:name="_Toc200513146"/>
      <w:bookmarkStart w:id="346" w:name="_Toc277082572"/>
      <w:bookmarkStart w:id="347" w:name="_Toc287607766"/>
      <w:bookmarkStart w:id="348" w:name="_Toc287620705"/>
      <w:bookmarkStart w:id="349" w:name="_Toc430530455"/>
      <w:bookmarkStart w:id="350" w:name="_Toc27199"/>
      <w:bookmarkStart w:id="351" w:name="_Toc224103337"/>
      <w:r>
        <w:rPr>
          <w:rFonts w:ascii="宋体" w:hAnsi="宋体"/>
          <w:bCs w:val="0"/>
          <w:snapToGrid w:val="0"/>
          <w:sz w:val="24"/>
          <w:szCs w:val="24"/>
        </w:rPr>
        <w:t>3.2  投标报价</w:t>
      </w:r>
      <w:bookmarkEnd w:id="344"/>
      <w:bookmarkEnd w:id="345"/>
      <w:bookmarkEnd w:id="346"/>
      <w:bookmarkEnd w:id="347"/>
      <w:bookmarkEnd w:id="348"/>
      <w:bookmarkEnd w:id="349"/>
      <w:bookmarkEnd w:id="350"/>
      <w:bookmarkEnd w:id="351"/>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3.2.1  投标人应按第五章“工程量清单”的要求填写相应表格。</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3.2.2</w:t>
      </w:r>
      <w:r>
        <w:rPr>
          <w:rFonts w:hint="eastAsia" w:ascii="宋体" w:hAnsi="宋体"/>
          <w:snapToGrid w:val="0"/>
          <w:kern w:val="0"/>
          <w:szCs w:val="21"/>
        </w:rPr>
        <w:t xml:space="preserve">  </w:t>
      </w:r>
      <w:r>
        <w:rPr>
          <w:rFonts w:ascii="宋体" w:hAnsi="宋体"/>
          <w:snapToGrid w:val="0"/>
          <w:kern w:val="0"/>
          <w:szCs w:val="21"/>
        </w:rPr>
        <w:t>投标人在投标截止时间前修改投标函中的投标总报价，应同时修改第五章“工程量清单”中的相应报价。此修改须符合本章第 4.3 款的有关要求。</w:t>
      </w:r>
    </w:p>
    <w:p>
      <w:pPr>
        <w:pStyle w:val="5"/>
        <w:snapToGrid w:val="0"/>
        <w:spacing w:before="0" w:after="0" w:line="360" w:lineRule="auto"/>
        <w:rPr>
          <w:rFonts w:ascii="宋体" w:hAnsi="宋体"/>
          <w:bCs w:val="0"/>
          <w:snapToGrid w:val="0"/>
          <w:sz w:val="24"/>
          <w:szCs w:val="24"/>
        </w:rPr>
      </w:pPr>
      <w:bookmarkStart w:id="352" w:name="_Toc287607767"/>
      <w:bookmarkStart w:id="353" w:name="_Toc224103338"/>
      <w:bookmarkStart w:id="354" w:name="_Toc430530456"/>
      <w:bookmarkStart w:id="355" w:name="_Toc31676"/>
      <w:bookmarkStart w:id="356" w:name="_Toc200513147"/>
      <w:bookmarkStart w:id="357" w:name="_Toc277082573"/>
      <w:bookmarkStart w:id="358" w:name="_Toc509218731"/>
      <w:bookmarkStart w:id="359" w:name="_Toc287620706"/>
      <w:r>
        <w:rPr>
          <w:rFonts w:ascii="宋体" w:hAnsi="宋体"/>
          <w:bCs w:val="0"/>
          <w:snapToGrid w:val="0"/>
          <w:sz w:val="24"/>
          <w:szCs w:val="24"/>
        </w:rPr>
        <w:t>3.3  投标有效期</w:t>
      </w:r>
      <w:bookmarkEnd w:id="352"/>
      <w:bookmarkEnd w:id="353"/>
      <w:bookmarkEnd w:id="354"/>
      <w:bookmarkEnd w:id="355"/>
      <w:bookmarkEnd w:id="356"/>
      <w:bookmarkEnd w:id="357"/>
      <w:bookmarkEnd w:id="358"/>
      <w:bookmarkEnd w:id="359"/>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3.3.1  在投标人须知前附表规定的投标有效期内，投标人不得要求撤销或修改其投标文件。</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3.3.2  出现特殊情况需要延长投标有效期的，招标人以书面形式通知所有投标人延长投标有效期。投标人同意延长的，应相应延长其投标保函的有效期，但不得要求或被允许修改或撤销其投标文件；投标人拒绝延长的，其投标失效，但投标人有权收回其投标保函。</w:t>
      </w:r>
      <w:r>
        <w:rPr>
          <w:rFonts w:hint="eastAsia" w:ascii="宋体" w:hAnsi="宋体"/>
          <w:snapToGrid w:val="0"/>
          <w:kern w:val="0"/>
          <w:szCs w:val="21"/>
        </w:rPr>
        <w:t>（适用于投标保证金采用投标保函形式的）</w:t>
      </w:r>
    </w:p>
    <w:p>
      <w:pPr>
        <w:autoSpaceDE w:val="0"/>
        <w:autoSpaceDN w:val="0"/>
        <w:adjustRightInd w:val="0"/>
        <w:snapToGrid w:val="0"/>
        <w:spacing w:line="360" w:lineRule="auto"/>
        <w:ind w:firstLine="420" w:firstLineChars="200"/>
        <w:rPr>
          <w:rFonts w:ascii="宋体" w:hAnsi="宋体" w:cs="MingLiU"/>
          <w:snapToGrid w:val="0"/>
          <w:kern w:val="0"/>
          <w:szCs w:val="21"/>
        </w:rPr>
      </w:pPr>
      <w:r>
        <w:rPr>
          <w:rFonts w:hint="eastAsia" w:ascii="宋体" w:hAnsi="宋体" w:cs="MingLiU"/>
          <w:snapToGrid w:val="0"/>
          <w:kern w:val="0"/>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适用于投标保证金采用银行转账形式的）</w:t>
      </w:r>
    </w:p>
    <w:p>
      <w:pPr>
        <w:pStyle w:val="5"/>
        <w:keepNext w:val="0"/>
        <w:keepLines w:val="0"/>
        <w:snapToGrid w:val="0"/>
        <w:spacing w:before="0" w:after="0" w:line="360" w:lineRule="auto"/>
        <w:rPr>
          <w:rFonts w:ascii="宋体" w:hAnsi="宋体"/>
          <w:bCs w:val="0"/>
          <w:snapToGrid w:val="0"/>
          <w:sz w:val="24"/>
          <w:szCs w:val="24"/>
        </w:rPr>
      </w:pPr>
      <w:bookmarkStart w:id="360" w:name="_Toc509218732"/>
      <w:bookmarkStart w:id="361" w:name="_Toc287620707"/>
      <w:bookmarkStart w:id="362" w:name="_Toc287607768"/>
      <w:bookmarkStart w:id="363" w:name="_Toc277082574"/>
      <w:bookmarkStart w:id="364" w:name="_Toc200513148"/>
      <w:bookmarkStart w:id="365" w:name="_Toc430530457"/>
      <w:bookmarkStart w:id="366" w:name="_Toc224103339"/>
      <w:bookmarkStart w:id="367" w:name="_Toc7515"/>
      <w:r>
        <w:rPr>
          <w:rFonts w:ascii="宋体" w:hAnsi="宋体"/>
          <w:bCs w:val="0"/>
          <w:snapToGrid w:val="0"/>
          <w:sz w:val="24"/>
          <w:szCs w:val="24"/>
        </w:rPr>
        <w:t>3.4  投标</w:t>
      </w:r>
      <w:bookmarkEnd w:id="360"/>
      <w:bookmarkEnd w:id="361"/>
      <w:bookmarkEnd w:id="362"/>
      <w:bookmarkEnd w:id="363"/>
      <w:bookmarkEnd w:id="364"/>
      <w:bookmarkEnd w:id="365"/>
      <w:bookmarkEnd w:id="366"/>
      <w:r>
        <w:rPr>
          <w:rFonts w:hint="eastAsia" w:ascii="宋体" w:hAnsi="宋体"/>
          <w:bCs w:val="0"/>
          <w:snapToGrid w:val="0"/>
          <w:sz w:val="24"/>
          <w:szCs w:val="24"/>
        </w:rPr>
        <w:t>保证金</w:t>
      </w:r>
      <w:bookmarkEnd w:id="367"/>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3.4.1  投标人在递交投标文件的同时，应按投标人须知前附表的规定递交投标保证金，并作为其投标文件的组成部分。联合体投标的，其投标保证金由牵头人递交，并应符合投标人须知前附表的规定。</w:t>
      </w:r>
    </w:p>
    <w:p>
      <w:pPr>
        <w:autoSpaceDE w:val="0"/>
        <w:autoSpaceDN w:val="0"/>
        <w:adjustRightInd w:val="0"/>
        <w:snapToGrid w:val="0"/>
        <w:spacing w:line="360" w:lineRule="auto"/>
        <w:ind w:left="13" w:leftChars="6" w:firstLine="405" w:firstLineChars="193"/>
        <w:rPr>
          <w:rFonts w:ascii="宋体" w:hAnsi="宋体"/>
          <w:snapToGrid w:val="0"/>
          <w:kern w:val="0"/>
          <w:szCs w:val="21"/>
        </w:rPr>
      </w:pPr>
      <w:r>
        <w:rPr>
          <w:rFonts w:ascii="宋体" w:hAnsi="宋体"/>
          <w:snapToGrid w:val="0"/>
          <w:kern w:val="0"/>
          <w:szCs w:val="21"/>
        </w:rPr>
        <w:t>3.4.2  投标人不按本章第 3.4.1 项要求提交投标保证金的，其投标文件作否决投标处理。</w:t>
      </w:r>
    </w:p>
    <w:p>
      <w:pPr>
        <w:autoSpaceDE w:val="0"/>
        <w:autoSpaceDN w:val="0"/>
        <w:adjustRightInd w:val="0"/>
        <w:snapToGrid w:val="0"/>
        <w:spacing w:line="360" w:lineRule="auto"/>
        <w:ind w:left="13" w:leftChars="6" w:firstLine="405" w:firstLineChars="193"/>
        <w:rPr>
          <w:rFonts w:ascii="宋体" w:hAnsi="宋体"/>
          <w:snapToGrid w:val="0"/>
          <w:kern w:val="0"/>
          <w:szCs w:val="21"/>
        </w:rPr>
      </w:pPr>
      <w:r>
        <w:rPr>
          <w:rFonts w:ascii="宋体" w:hAnsi="宋体"/>
          <w:snapToGrid w:val="0"/>
          <w:kern w:val="0"/>
          <w:szCs w:val="21"/>
        </w:rPr>
        <w:t xml:space="preserve">3.4.3 </w:t>
      </w:r>
      <w:r>
        <w:rPr>
          <w:rFonts w:ascii="宋体" w:hAnsi="宋体"/>
          <w:snapToGrid w:val="0"/>
          <w:kern w:val="0"/>
          <w:szCs w:val="21"/>
          <w:highlight w:val="none"/>
        </w:rPr>
        <w:t xml:space="preserve"> </w:t>
      </w:r>
      <w:r>
        <w:rPr>
          <w:rFonts w:hint="eastAsia" w:asciiTheme="minorEastAsia" w:hAnsiTheme="minorEastAsia" w:eastAsiaTheme="minorEastAsia"/>
          <w:highlight w:val="none"/>
        </w:rPr>
        <w:t>电子投标保函注消/投标保证金退还/纸质投标保函退还：</w:t>
      </w:r>
      <w:r>
        <w:rPr>
          <w:rFonts w:ascii="宋体" w:hAnsi="宋体"/>
          <w:snapToGrid w:val="0"/>
          <w:kern w:val="0"/>
          <w:szCs w:val="21"/>
        </w:rPr>
        <w:t>见投标人须知前附表</w:t>
      </w:r>
      <w:r>
        <w:rPr>
          <w:rFonts w:ascii="宋体" w:hAnsi="宋体"/>
          <w:snapToGrid w:val="0"/>
          <w:kern w:val="0"/>
          <w:position w:val="-2"/>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3.4.4  </w:t>
      </w:r>
      <w:r>
        <w:rPr>
          <w:rFonts w:asciiTheme="minorEastAsia" w:hAnsiTheme="minorEastAsia" w:eastAsiaTheme="minorEastAsia"/>
        </w:rPr>
        <w:t>有下列情形之一的，投标保证金</w:t>
      </w:r>
      <w:r>
        <w:rPr>
          <w:rFonts w:hint="eastAsia" w:asciiTheme="minorEastAsia" w:hAnsiTheme="minorEastAsia" w:eastAsiaTheme="minorEastAsia"/>
        </w:rPr>
        <w:t>以现金形式交纳的</w:t>
      </w:r>
      <w:r>
        <w:rPr>
          <w:rFonts w:asciiTheme="minorEastAsia" w:hAnsiTheme="minorEastAsia" w:eastAsiaTheme="minorEastAsia"/>
        </w:rPr>
        <w:t>不予退还</w:t>
      </w:r>
      <w:r>
        <w:rPr>
          <w:rFonts w:hint="eastAsia" w:asciiTheme="minorEastAsia" w:hAnsiTheme="minorEastAsia" w:eastAsiaTheme="minorEastAsia"/>
        </w:rPr>
        <w:t>，以保函形式交纳的由保函开立人支付保函担保的与投标保证金等额的款项</w:t>
      </w:r>
      <w:r>
        <w:rPr>
          <w:rFonts w:asciiTheme="minorEastAsia" w:hAnsiTheme="minorEastAsia" w:eastAsiaTheme="minorEastAsia"/>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（1）投标人在规定的投标有效期内撤销或修改其投标文件；</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w:t>
      </w:r>
      <w:r>
        <w:rPr>
          <w:rFonts w:hint="eastAsia" w:ascii="宋体" w:hAnsi="宋体"/>
          <w:kern w:val="0"/>
          <w:szCs w:val="21"/>
        </w:rPr>
        <w:t>中标人在收到中标通知书后，无正当理由不与招标人订立合同，在签订合同时向招标人提出附加条件，或者不按照招标文件要求提交履约保证金</w:t>
      </w:r>
      <w:r>
        <w:rPr>
          <w:rFonts w:ascii="宋体" w:hAnsi="宋体"/>
          <w:snapToGrid w:val="0"/>
          <w:kern w:val="0"/>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（3）</w:t>
      </w:r>
      <w:r>
        <w:rPr>
          <w:rFonts w:hint="eastAsia" w:ascii="宋体" w:hAnsi="宋体"/>
          <w:kern w:val="0"/>
          <w:szCs w:val="21"/>
        </w:rPr>
        <w:t>中标人（或拟中标人）拒不提供或者不按时提供低价风险担保（适用于经评审的最低投标价法）；</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rPr>
        <w:t>4</w:t>
      </w:r>
      <w:r>
        <w:rPr>
          <w:rFonts w:ascii="宋体" w:hAnsi="宋体"/>
          <w:snapToGrid w:val="0"/>
          <w:kern w:val="0"/>
          <w:szCs w:val="21"/>
        </w:rPr>
        <w:t>）违反本章第9.2</w:t>
      </w:r>
      <w:r>
        <w:rPr>
          <w:rFonts w:hint="eastAsia" w:ascii="宋体" w:hAnsi="宋体"/>
          <w:snapToGrid w:val="0"/>
          <w:kern w:val="0"/>
          <w:szCs w:val="21"/>
        </w:rPr>
        <w:t>款</w:t>
      </w:r>
      <w:r>
        <w:rPr>
          <w:rFonts w:ascii="宋体" w:hAnsi="宋体"/>
          <w:snapToGrid w:val="0"/>
          <w:kern w:val="0"/>
          <w:szCs w:val="21"/>
        </w:rPr>
        <w:t>对投标人的纪律要求的；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rPr>
        <w:t>5</w:t>
      </w:r>
      <w:r>
        <w:rPr>
          <w:rFonts w:ascii="宋体" w:hAnsi="宋体"/>
          <w:snapToGrid w:val="0"/>
          <w:kern w:val="0"/>
          <w:szCs w:val="21"/>
        </w:rPr>
        <w:t>）法律法规规定的其他情形。</w:t>
      </w:r>
    </w:p>
    <w:p>
      <w:pPr>
        <w:tabs>
          <w:tab w:val="left" w:pos="611"/>
          <w:tab w:val="left" w:pos="669"/>
        </w:tabs>
        <w:snapToGrid w:val="0"/>
        <w:spacing w:line="360" w:lineRule="auto"/>
        <w:ind w:firstLine="420" w:firstLineChars="200"/>
        <w:rPr>
          <w:rFonts w:ascii="宋体" w:hAnsi="宋体"/>
          <w:kern w:val="0"/>
        </w:rPr>
      </w:pPr>
      <w:r>
        <w:rPr>
          <w:rFonts w:ascii="宋体" w:hAnsi="宋体"/>
          <w:snapToGrid w:val="0"/>
          <w:kern w:val="0"/>
          <w:szCs w:val="21"/>
        </w:rPr>
        <w:t>3.4.5</w:t>
      </w:r>
      <w:r>
        <w:rPr>
          <w:rFonts w:ascii="宋体" w:hAnsi="宋体"/>
          <w:kern w:val="0"/>
        </w:rPr>
        <w:t>（1）投标保证金为无条件担保；</w:t>
      </w:r>
    </w:p>
    <w:p>
      <w:pPr>
        <w:tabs>
          <w:tab w:val="left" w:pos="611"/>
          <w:tab w:val="left" w:pos="669"/>
        </w:tabs>
        <w:snapToGrid w:val="0"/>
        <w:spacing w:line="360" w:lineRule="auto"/>
        <w:ind w:firstLine="945" w:firstLineChars="450"/>
        <w:rPr>
          <w:rFonts w:ascii="宋体" w:hAnsi="宋体"/>
          <w:kern w:val="0"/>
        </w:rPr>
      </w:pPr>
      <w:r>
        <w:rPr>
          <w:rFonts w:ascii="宋体" w:hAnsi="宋体"/>
          <w:kern w:val="0"/>
        </w:rPr>
        <w:t>（2）投标保证金的受益人为招标人</w:t>
      </w:r>
      <w:r>
        <w:rPr>
          <w:rFonts w:hint="eastAsia" w:ascii="宋体" w:hAnsi="宋体"/>
          <w:kern w:val="0"/>
        </w:rPr>
        <w:t>。</w:t>
      </w:r>
    </w:p>
    <w:p>
      <w:pPr>
        <w:pStyle w:val="5"/>
        <w:keepNext w:val="0"/>
        <w:keepLines w:val="0"/>
        <w:snapToGrid w:val="0"/>
        <w:spacing w:before="0" w:after="0" w:line="360" w:lineRule="auto"/>
        <w:rPr>
          <w:rFonts w:ascii="宋体" w:hAnsi="宋体"/>
          <w:bCs w:val="0"/>
          <w:snapToGrid w:val="0"/>
          <w:sz w:val="24"/>
          <w:szCs w:val="24"/>
        </w:rPr>
      </w:pPr>
      <w:bookmarkStart w:id="368" w:name="_Toc200513150"/>
      <w:bookmarkStart w:id="369" w:name="_Toc509218734"/>
      <w:bookmarkStart w:id="370" w:name="_Toc277082576"/>
      <w:bookmarkStart w:id="371" w:name="_Toc23723"/>
      <w:bookmarkStart w:id="372" w:name="_Toc287620709"/>
      <w:bookmarkStart w:id="373" w:name="_Toc224103341"/>
      <w:bookmarkStart w:id="374" w:name="_Toc287607770"/>
      <w:bookmarkStart w:id="375" w:name="_Toc430530459"/>
      <w:r>
        <w:rPr>
          <w:rFonts w:ascii="宋体" w:hAnsi="宋体"/>
          <w:bCs w:val="0"/>
          <w:snapToGrid w:val="0"/>
          <w:sz w:val="24"/>
          <w:szCs w:val="24"/>
        </w:rPr>
        <w:t>3.5  资格审查资料</w:t>
      </w:r>
      <w:bookmarkEnd w:id="368"/>
      <w:bookmarkEnd w:id="369"/>
      <w:bookmarkEnd w:id="370"/>
      <w:bookmarkEnd w:id="371"/>
      <w:bookmarkEnd w:id="372"/>
      <w:bookmarkEnd w:id="373"/>
      <w:bookmarkEnd w:id="374"/>
      <w:bookmarkEnd w:id="375"/>
    </w:p>
    <w:p>
      <w:pPr>
        <w:autoSpaceDE w:val="0"/>
        <w:autoSpaceDN w:val="0"/>
        <w:adjustRightInd w:val="0"/>
        <w:snapToGrid w:val="0"/>
        <w:spacing w:line="360" w:lineRule="auto"/>
        <w:ind w:left="103" w:leftChars="49" w:right="37" w:firstLine="420" w:firstLineChars="200"/>
        <w:rPr>
          <w:rFonts w:ascii="宋体" w:hAnsi="宋体"/>
          <w:szCs w:val="21"/>
        </w:rPr>
      </w:pPr>
      <w:r>
        <w:rPr>
          <w:rFonts w:ascii="宋体" w:hAnsi="宋体"/>
          <w:szCs w:val="21"/>
        </w:rPr>
        <w:t>投标人</w:t>
      </w:r>
      <w:r>
        <w:rPr>
          <w:rFonts w:hint="eastAsia" w:ascii="宋体" w:hAnsi="宋体"/>
          <w:szCs w:val="21"/>
        </w:rPr>
        <w:t>应附</w:t>
      </w:r>
      <w:r>
        <w:rPr>
          <w:rFonts w:hint="eastAsia" w:ascii="宋体" w:hAnsi="宋体"/>
          <w:kern w:val="0"/>
          <w:szCs w:val="21"/>
        </w:rPr>
        <w:t>投标人须知前附表第1</w:t>
      </w:r>
      <w:r>
        <w:rPr>
          <w:rFonts w:ascii="宋体" w:hAnsi="宋体"/>
          <w:kern w:val="0"/>
          <w:szCs w:val="21"/>
        </w:rPr>
        <w:t>.4.1项</w:t>
      </w:r>
      <w:r>
        <w:rPr>
          <w:rFonts w:hint="eastAsia" w:ascii="宋体" w:hAnsi="宋体"/>
          <w:kern w:val="0"/>
          <w:szCs w:val="21"/>
        </w:rPr>
        <w:t>中要求的相关证明材料</w:t>
      </w:r>
      <w:r>
        <w:rPr>
          <w:rFonts w:ascii="宋体" w:hAnsi="宋体"/>
          <w:szCs w:val="21"/>
        </w:rPr>
        <w:t>。</w:t>
      </w:r>
    </w:p>
    <w:p>
      <w:pPr>
        <w:autoSpaceDE w:val="0"/>
        <w:autoSpaceDN w:val="0"/>
        <w:adjustRightInd w:val="0"/>
        <w:snapToGrid w:val="0"/>
        <w:spacing w:line="360" w:lineRule="auto"/>
        <w:ind w:left="103" w:leftChars="49" w:right="37" w:firstLine="420" w:firstLineChars="200"/>
        <w:rPr>
          <w:rFonts w:ascii="宋体" w:hAnsi="宋体"/>
          <w:snapToGrid w:val="0"/>
          <w:kern w:val="0"/>
          <w:szCs w:val="21"/>
        </w:rPr>
      </w:pPr>
      <w:r>
        <w:rPr>
          <w:rFonts w:hint="eastAsia" w:ascii="宋体" w:hAnsi="宋体"/>
          <w:snapToGrid w:val="0"/>
          <w:kern w:val="0"/>
          <w:szCs w:val="21"/>
        </w:rPr>
        <w:t>投标人须知前附表规定接受联合体投标的，详见投标人须知前附表联合体投标相关内容。</w:t>
      </w:r>
    </w:p>
    <w:p>
      <w:pPr>
        <w:pStyle w:val="5"/>
        <w:snapToGrid w:val="0"/>
        <w:spacing w:before="0" w:after="0" w:line="360" w:lineRule="auto"/>
        <w:rPr>
          <w:rFonts w:ascii="宋体" w:hAnsi="宋体"/>
          <w:bCs w:val="0"/>
          <w:snapToGrid w:val="0"/>
          <w:sz w:val="24"/>
          <w:szCs w:val="24"/>
        </w:rPr>
      </w:pPr>
      <w:bookmarkStart w:id="376" w:name="_Toc430530460"/>
      <w:bookmarkStart w:id="377" w:name="_Toc287607771"/>
      <w:bookmarkStart w:id="378" w:name="_Toc200513151"/>
      <w:bookmarkStart w:id="379" w:name="_Toc287620710"/>
      <w:bookmarkStart w:id="380" w:name="_Toc277082577"/>
      <w:bookmarkStart w:id="381" w:name="_Toc32488"/>
      <w:bookmarkStart w:id="382" w:name="_Toc509218735"/>
      <w:bookmarkStart w:id="383" w:name="_Toc224103342"/>
      <w:r>
        <w:rPr>
          <w:rFonts w:ascii="宋体" w:hAnsi="宋体"/>
          <w:bCs w:val="0"/>
          <w:snapToGrid w:val="0"/>
          <w:sz w:val="24"/>
          <w:szCs w:val="24"/>
        </w:rPr>
        <w:t>3.6  备选投标方案</w:t>
      </w:r>
      <w:bookmarkEnd w:id="376"/>
      <w:bookmarkEnd w:id="377"/>
      <w:bookmarkEnd w:id="378"/>
      <w:bookmarkEnd w:id="379"/>
      <w:bookmarkEnd w:id="380"/>
      <w:bookmarkEnd w:id="381"/>
      <w:bookmarkEnd w:id="382"/>
      <w:bookmarkEnd w:id="383"/>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除投标人须知前附表另有规定外，投标人不得递交备选投标方案。允许投标人递交备选投标方案的，只有中标人所递交的备选投标方案方可予以考虑。评标委员会认为中标人的备 选投标方案优于其按照招标文件要求编制的投标方案的，招标人可以接受该备选投标方案。</w:t>
      </w:r>
    </w:p>
    <w:p>
      <w:pPr>
        <w:pStyle w:val="5"/>
        <w:snapToGrid w:val="0"/>
        <w:spacing w:before="0" w:after="0" w:line="360" w:lineRule="auto"/>
        <w:rPr>
          <w:rFonts w:ascii="宋体" w:hAnsi="宋体"/>
          <w:bCs w:val="0"/>
          <w:snapToGrid w:val="0"/>
          <w:sz w:val="24"/>
          <w:szCs w:val="24"/>
        </w:rPr>
      </w:pPr>
      <w:bookmarkStart w:id="384" w:name="_Toc287620711"/>
      <w:bookmarkStart w:id="385" w:name="_Toc287607772"/>
      <w:bookmarkStart w:id="386" w:name="_Toc277082578"/>
      <w:bookmarkStart w:id="387" w:name="_Toc20888"/>
      <w:bookmarkStart w:id="388" w:name="_Toc224103343"/>
      <w:bookmarkStart w:id="389" w:name="_Toc430530461"/>
      <w:bookmarkStart w:id="390" w:name="_Toc200513152"/>
      <w:bookmarkStart w:id="391" w:name="_Toc509218736"/>
      <w:r>
        <w:rPr>
          <w:rFonts w:ascii="宋体" w:hAnsi="宋体"/>
          <w:bCs w:val="0"/>
          <w:snapToGrid w:val="0"/>
          <w:sz w:val="24"/>
          <w:szCs w:val="24"/>
        </w:rPr>
        <w:t>3.7  投标文件的编制</w:t>
      </w:r>
      <w:bookmarkEnd w:id="384"/>
      <w:bookmarkEnd w:id="385"/>
      <w:bookmarkEnd w:id="386"/>
      <w:bookmarkEnd w:id="387"/>
      <w:bookmarkEnd w:id="388"/>
      <w:bookmarkEnd w:id="389"/>
      <w:bookmarkEnd w:id="390"/>
      <w:bookmarkEnd w:id="391"/>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3.7.1  投标文件应按第八章“投标文件格式”进行编写，如有必要，可以增加附页，作为投标文件的组成部分。其中，投标函附录在满足招标文件实质性要求的基础上，可以提出比招标文件要求更有利于招标人的承诺。</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3.7.2  投标文件应当对招标文件有关工期、投标有效期、质量要求、技术标准和要求、招标范围等实质性内容做出响应。</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position w:val="-2"/>
          <w:szCs w:val="21"/>
        </w:rPr>
        <w:t xml:space="preserve">3.7.3  </w:t>
      </w:r>
      <w:r>
        <w:rPr>
          <w:rFonts w:hint="eastAsia" w:ascii="宋体" w:hAnsi="宋体"/>
          <w:snapToGrid w:val="0"/>
          <w:kern w:val="0"/>
          <w:position w:val="-2"/>
          <w:szCs w:val="21"/>
        </w:rPr>
        <w:t>投标文件的签名盖章要求：按本章投标人须知前附表第3.7.3项执行。</w:t>
      </w:r>
    </w:p>
    <w:p>
      <w:pPr>
        <w:autoSpaceDE w:val="0"/>
        <w:autoSpaceDN w:val="0"/>
        <w:adjustRightInd w:val="0"/>
        <w:snapToGrid w:val="0"/>
        <w:spacing w:line="360" w:lineRule="auto"/>
        <w:ind w:right="-164" w:firstLine="420" w:firstLineChars="200"/>
        <w:rPr>
          <w:rFonts w:ascii="宋体" w:hAnsi="宋体"/>
          <w:snapToGrid w:val="0"/>
          <w:kern w:val="0"/>
          <w:szCs w:val="21"/>
        </w:rPr>
      </w:pPr>
      <w:r>
        <w:rPr>
          <w:rFonts w:ascii="宋体" w:hAnsi="宋体"/>
          <w:snapToGrid w:val="0"/>
          <w:kern w:val="0"/>
          <w:szCs w:val="21"/>
        </w:rPr>
        <w:t xml:space="preserve">3.7.4  </w:t>
      </w:r>
      <w:r>
        <w:rPr>
          <w:rFonts w:hint="eastAsia" w:ascii="宋体" w:hAnsi="宋体"/>
          <w:snapToGrid w:val="0"/>
          <w:kern w:val="0"/>
          <w:szCs w:val="21"/>
        </w:rPr>
        <w:t>投标文件份数：</w:t>
      </w:r>
      <w:r>
        <w:rPr>
          <w:rFonts w:hint="eastAsia" w:ascii="宋体" w:hAnsi="宋体"/>
          <w:kern w:val="0"/>
          <w:szCs w:val="21"/>
        </w:rPr>
        <w:t>投标人网上提交加密投标文件一份</w:t>
      </w:r>
      <w:r>
        <w:rPr>
          <w:rFonts w:ascii="宋体" w:hAnsi="宋体"/>
          <w:kern w:val="0"/>
          <w:szCs w:val="21"/>
        </w:rPr>
        <w:t>。</w:t>
      </w:r>
    </w:p>
    <w:p>
      <w:pPr>
        <w:autoSpaceDE w:val="0"/>
        <w:autoSpaceDN w:val="0"/>
        <w:adjustRightInd w:val="0"/>
        <w:snapToGrid w:val="0"/>
        <w:spacing w:line="360" w:lineRule="auto"/>
        <w:ind w:right="-109" w:firstLine="420" w:firstLineChars="200"/>
        <w:rPr>
          <w:rFonts w:ascii="宋体" w:hAnsi="宋体"/>
          <w:snapToGrid w:val="0"/>
          <w:kern w:val="0"/>
          <w:szCs w:val="21"/>
        </w:rPr>
      </w:pPr>
      <w:r>
        <w:rPr>
          <w:rFonts w:ascii="宋体" w:hAnsi="宋体"/>
          <w:snapToGrid w:val="0"/>
          <w:kern w:val="0"/>
          <w:szCs w:val="21"/>
        </w:rPr>
        <w:t>3.7.5  投标文件</w:t>
      </w:r>
      <w:r>
        <w:rPr>
          <w:rFonts w:hint="eastAsia" w:ascii="宋体" w:hAnsi="宋体"/>
          <w:snapToGrid w:val="0"/>
          <w:kern w:val="0"/>
          <w:szCs w:val="21"/>
        </w:rPr>
        <w:t>应按规定格式排版</w:t>
      </w:r>
      <w:r>
        <w:rPr>
          <w:rFonts w:ascii="宋体" w:hAnsi="宋体"/>
          <w:snapToGrid w:val="0"/>
          <w:kern w:val="0"/>
          <w:szCs w:val="21"/>
        </w:rPr>
        <w:t>，并编制目录，具体</w:t>
      </w:r>
      <w:r>
        <w:rPr>
          <w:rFonts w:hint="eastAsia" w:ascii="宋体" w:hAnsi="宋体"/>
          <w:snapToGrid w:val="0"/>
          <w:kern w:val="0"/>
          <w:szCs w:val="21"/>
        </w:rPr>
        <w:t>编制</w:t>
      </w:r>
      <w:r>
        <w:rPr>
          <w:rFonts w:ascii="宋体" w:hAnsi="宋体"/>
          <w:snapToGrid w:val="0"/>
          <w:kern w:val="0"/>
          <w:szCs w:val="21"/>
        </w:rPr>
        <w:t>要求见投标人须知前附表规定。</w:t>
      </w:r>
    </w:p>
    <w:p>
      <w:pPr>
        <w:pStyle w:val="4"/>
        <w:keepNext w:val="0"/>
        <w:keepLines w:val="0"/>
        <w:spacing w:before="0" w:after="0" w:line="360" w:lineRule="auto"/>
        <w:rPr>
          <w:rFonts w:ascii="宋体" w:hAnsi="宋体"/>
          <w:bCs w:val="0"/>
          <w:snapToGrid w:val="0"/>
        </w:rPr>
      </w:pPr>
      <w:bookmarkStart w:id="392" w:name="_Toc277082579"/>
      <w:bookmarkStart w:id="393" w:name="_Toc224103344"/>
      <w:bookmarkStart w:id="394" w:name="_Toc7431"/>
      <w:bookmarkStart w:id="395" w:name="_Toc430530462"/>
      <w:bookmarkStart w:id="396" w:name="_Toc509218737"/>
      <w:bookmarkStart w:id="397" w:name="_Toc287607773"/>
      <w:bookmarkStart w:id="398" w:name="_Toc200513153"/>
      <w:bookmarkStart w:id="399" w:name="_Toc24450"/>
      <w:bookmarkStart w:id="400" w:name="_Toc287620712"/>
      <w:bookmarkStart w:id="401" w:name="_Toc30774"/>
      <w:r>
        <w:rPr>
          <w:rFonts w:ascii="宋体" w:hAnsi="宋体"/>
          <w:bCs w:val="0"/>
          <w:snapToGrid w:val="0"/>
        </w:rPr>
        <w:t>4.  投标</w:t>
      </w:r>
      <w:bookmarkEnd w:id="392"/>
      <w:bookmarkEnd w:id="393"/>
      <w:bookmarkEnd w:id="394"/>
      <w:bookmarkEnd w:id="395"/>
      <w:bookmarkEnd w:id="396"/>
      <w:bookmarkEnd w:id="397"/>
      <w:bookmarkEnd w:id="398"/>
      <w:bookmarkEnd w:id="399"/>
      <w:bookmarkEnd w:id="400"/>
      <w:bookmarkEnd w:id="401"/>
    </w:p>
    <w:p>
      <w:pPr>
        <w:pStyle w:val="5"/>
        <w:keepNext w:val="0"/>
        <w:keepLines w:val="0"/>
        <w:snapToGrid w:val="0"/>
        <w:spacing w:before="0" w:after="0" w:line="360" w:lineRule="auto"/>
        <w:rPr>
          <w:rFonts w:ascii="宋体" w:hAnsi="宋体"/>
          <w:bCs w:val="0"/>
          <w:snapToGrid w:val="0"/>
          <w:sz w:val="24"/>
          <w:szCs w:val="24"/>
        </w:rPr>
      </w:pPr>
      <w:bookmarkStart w:id="402" w:name="_Toc287620713"/>
      <w:bookmarkStart w:id="403" w:name="_Toc200513154"/>
      <w:bookmarkStart w:id="404" w:name="_Toc509218738"/>
      <w:bookmarkStart w:id="405" w:name="_Toc19778"/>
      <w:bookmarkStart w:id="406" w:name="_Toc224103345"/>
      <w:bookmarkStart w:id="407" w:name="_Toc430530463"/>
      <w:bookmarkStart w:id="408" w:name="_Toc277082580"/>
      <w:bookmarkStart w:id="409" w:name="_Toc287607774"/>
      <w:r>
        <w:rPr>
          <w:rFonts w:ascii="宋体" w:hAnsi="宋体"/>
          <w:bCs w:val="0"/>
          <w:snapToGrid w:val="0"/>
          <w:sz w:val="24"/>
          <w:szCs w:val="24"/>
        </w:rPr>
        <w:t>4.1  投标文件的密封和标记</w:t>
      </w:r>
      <w:bookmarkEnd w:id="402"/>
      <w:bookmarkEnd w:id="403"/>
      <w:bookmarkEnd w:id="404"/>
      <w:bookmarkEnd w:id="405"/>
      <w:bookmarkEnd w:id="406"/>
      <w:bookmarkEnd w:id="407"/>
      <w:bookmarkEnd w:id="408"/>
      <w:bookmarkEnd w:id="409"/>
    </w:p>
    <w:p>
      <w:pPr>
        <w:autoSpaceDE w:val="0"/>
        <w:autoSpaceDN w:val="0"/>
        <w:adjustRightInd w:val="0"/>
        <w:snapToGrid w:val="0"/>
        <w:spacing w:line="360" w:lineRule="auto"/>
        <w:ind w:firstLine="420" w:firstLineChars="200"/>
        <w:rPr>
          <w:rFonts w:ascii="宋体" w:hAnsi="宋体"/>
          <w:snapToGrid w:val="0"/>
          <w:kern w:val="0"/>
          <w:szCs w:val="21"/>
        </w:rPr>
      </w:pPr>
      <w:bookmarkStart w:id="410" w:name="_Toc200513155"/>
      <w:r>
        <w:rPr>
          <w:rFonts w:ascii="宋体" w:hAnsi="宋体"/>
          <w:snapToGrid w:val="0"/>
          <w:kern w:val="0"/>
          <w:szCs w:val="21"/>
        </w:rPr>
        <w:t>4.1.1  投标文件的密封</w:t>
      </w:r>
      <w:r>
        <w:rPr>
          <w:rFonts w:hint="eastAsia" w:ascii="宋体" w:hAnsi="宋体"/>
          <w:snapToGrid w:val="0"/>
          <w:kern w:val="0"/>
          <w:szCs w:val="21"/>
        </w:rPr>
        <w:t>：</w:t>
      </w:r>
      <w:r>
        <w:rPr>
          <w:rFonts w:ascii="宋体" w:hAnsi="宋体"/>
          <w:snapToGrid w:val="0"/>
          <w:kern w:val="0"/>
          <w:szCs w:val="21"/>
        </w:rPr>
        <w:t>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4.1.2  投标文件的封套上应写明的内容</w:t>
      </w:r>
      <w:r>
        <w:rPr>
          <w:rFonts w:hint="eastAsia" w:ascii="宋体" w:hAnsi="宋体"/>
          <w:snapToGrid w:val="0"/>
          <w:kern w:val="0"/>
          <w:szCs w:val="21"/>
        </w:rPr>
        <w:t>：</w:t>
      </w:r>
      <w:r>
        <w:rPr>
          <w:rFonts w:ascii="宋体" w:hAnsi="宋体"/>
          <w:snapToGrid w:val="0"/>
          <w:kern w:val="0"/>
          <w:szCs w:val="21"/>
        </w:rPr>
        <w:t>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4.1.3  电子投标文件的加密</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加密的电子投标文件应按照本章投标人须知前附表第10.8款相关要求制作并加密，未按要求加密的电子投标文件，将无法上传至重庆市电子招投标系统，逾期未完成上传投标文件的，视为撤回投标文件。</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4.1.4  不加密电子投标文件的密封</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投标人如需递交不加密电子投标文件（光盘备份）应单独封装，并在封套的封口处加盖投标人单位法人章。</w:t>
      </w:r>
    </w:p>
    <w:p>
      <w:pPr>
        <w:pStyle w:val="5"/>
        <w:keepNext w:val="0"/>
        <w:keepLines w:val="0"/>
        <w:snapToGrid w:val="0"/>
        <w:spacing w:before="0" w:after="0" w:line="360" w:lineRule="auto"/>
        <w:rPr>
          <w:rFonts w:ascii="宋体" w:hAnsi="宋体"/>
          <w:bCs w:val="0"/>
          <w:snapToGrid w:val="0"/>
          <w:sz w:val="24"/>
          <w:szCs w:val="24"/>
        </w:rPr>
      </w:pPr>
      <w:bookmarkStart w:id="411" w:name="_Toc224103346"/>
      <w:bookmarkStart w:id="412" w:name="_Toc287620714"/>
      <w:bookmarkStart w:id="413" w:name="_Toc287607775"/>
      <w:bookmarkStart w:id="414" w:name="_Toc430530464"/>
      <w:bookmarkStart w:id="415" w:name="_Toc509218739"/>
      <w:bookmarkStart w:id="416" w:name="_Toc277082581"/>
      <w:bookmarkStart w:id="417" w:name="_Toc313"/>
      <w:r>
        <w:rPr>
          <w:rFonts w:ascii="宋体" w:hAnsi="宋体"/>
          <w:bCs w:val="0"/>
          <w:snapToGrid w:val="0"/>
          <w:sz w:val="24"/>
          <w:szCs w:val="24"/>
        </w:rPr>
        <w:t>4.2  投标文件的递交</w:t>
      </w:r>
      <w:bookmarkEnd w:id="410"/>
      <w:bookmarkEnd w:id="411"/>
      <w:bookmarkEnd w:id="412"/>
      <w:bookmarkEnd w:id="413"/>
      <w:bookmarkEnd w:id="414"/>
      <w:bookmarkEnd w:id="415"/>
      <w:bookmarkEnd w:id="416"/>
      <w:bookmarkEnd w:id="417"/>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4.2.1  投标人应在投标人须知前附表第 2.2.2 项规定的投标截止时间前递交投标文件。</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4.2.2  投标人递交投标文件的地点：见投标人须知前附表。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4.2.3  除投标人须知前附表另有规定外，投标人所递交的投标文件不予退还。</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4.2.4  招标人收到投标文件后，由</w:t>
      </w:r>
      <w:r>
        <w:rPr>
          <w:rFonts w:hint="eastAsia" w:ascii="宋体" w:hAnsi="宋体" w:cs="宋体"/>
          <w:szCs w:val="21"/>
        </w:rPr>
        <w:t>重庆市电子招投标系统</w:t>
      </w:r>
      <w:r>
        <w:rPr>
          <w:rFonts w:ascii="宋体" w:hAnsi="宋体"/>
          <w:snapToGrid w:val="0"/>
          <w:kern w:val="0"/>
          <w:szCs w:val="21"/>
        </w:rPr>
        <w:t>向投标人出具签收凭证。</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4.2.5  逾期送达的或者未送达指定地点的投标文件，招标人不予受理。</w:t>
      </w:r>
    </w:p>
    <w:p>
      <w:pPr>
        <w:pStyle w:val="5"/>
        <w:keepNext w:val="0"/>
        <w:keepLines w:val="0"/>
        <w:snapToGrid w:val="0"/>
        <w:spacing w:before="0" w:after="0" w:line="360" w:lineRule="auto"/>
        <w:rPr>
          <w:rFonts w:ascii="宋体" w:hAnsi="宋体"/>
          <w:bCs w:val="0"/>
          <w:snapToGrid w:val="0"/>
          <w:sz w:val="24"/>
          <w:szCs w:val="24"/>
        </w:rPr>
      </w:pPr>
      <w:bookmarkStart w:id="418" w:name="_Toc287607776"/>
      <w:bookmarkStart w:id="419" w:name="_Toc430530465"/>
      <w:bookmarkStart w:id="420" w:name="_Toc287620715"/>
      <w:bookmarkStart w:id="421" w:name="_Toc277082582"/>
      <w:bookmarkStart w:id="422" w:name="_Toc25244"/>
      <w:bookmarkStart w:id="423" w:name="_Toc509218740"/>
      <w:bookmarkStart w:id="424" w:name="_Toc200513156"/>
      <w:bookmarkStart w:id="425" w:name="_Toc224103347"/>
      <w:r>
        <w:rPr>
          <w:rFonts w:ascii="宋体" w:hAnsi="宋体"/>
          <w:bCs w:val="0"/>
          <w:snapToGrid w:val="0"/>
          <w:sz w:val="24"/>
          <w:szCs w:val="24"/>
        </w:rPr>
        <w:t>4.3  投标文件的修改与撤回</w:t>
      </w:r>
      <w:bookmarkEnd w:id="418"/>
      <w:bookmarkEnd w:id="419"/>
      <w:bookmarkEnd w:id="420"/>
      <w:bookmarkEnd w:id="421"/>
      <w:bookmarkEnd w:id="422"/>
      <w:bookmarkEnd w:id="423"/>
      <w:bookmarkEnd w:id="424"/>
      <w:bookmarkEnd w:id="425"/>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4.3.1  在投标人须知前附表第2.2.2项规定的投标截止时间前，投标人可以修改或撤回已递交的投标文件。</w:t>
      </w:r>
      <w:r>
        <w:rPr>
          <w:rFonts w:hint="eastAsia" w:ascii="宋体" w:hAnsi="宋体" w:cs="宋体"/>
          <w:szCs w:val="21"/>
        </w:rPr>
        <w:t>投标人修改投标文件的，应按照本章第 3.7.3 项的要求重新对投标文件进行电子签章，再按照本章第 4.2 款的要求提交。</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4.3.2  投标人对加密的电子投标文件进行撤回的，在重庆市电子招投标系统直接进行撤回操作；任何情况下，投标人都有义务保证其递交的加密的电子投标文件和不加密电子投标文件（光盘备份）的内容保持一致，否则造成的后果由投标人自行承担。</w:t>
      </w:r>
    </w:p>
    <w:p>
      <w:pPr>
        <w:pStyle w:val="4"/>
        <w:keepNext w:val="0"/>
        <w:keepLines w:val="0"/>
        <w:spacing w:before="0" w:after="0" w:line="360" w:lineRule="auto"/>
        <w:rPr>
          <w:rFonts w:ascii="宋体" w:hAnsi="宋体"/>
          <w:bCs w:val="0"/>
          <w:snapToGrid w:val="0"/>
        </w:rPr>
      </w:pPr>
      <w:bookmarkStart w:id="426" w:name="_Toc509218741"/>
      <w:bookmarkStart w:id="427" w:name="_Toc12608"/>
      <w:bookmarkStart w:id="428" w:name="_Toc287607777"/>
      <w:bookmarkStart w:id="429" w:name="_Toc200513157"/>
      <w:bookmarkStart w:id="430" w:name="_Toc287620716"/>
      <w:bookmarkStart w:id="431" w:name="_Toc12894"/>
      <w:bookmarkStart w:id="432" w:name="_Toc10192"/>
      <w:bookmarkStart w:id="433" w:name="_Toc224103348"/>
      <w:bookmarkStart w:id="434" w:name="_Toc277082583"/>
      <w:bookmarkStart w:id="435" w:name="_Toc430530466"/>
      <w:r>
        <w:rPr>
          <w:rFonts w:ascii="宋体" w:hAnsi="宋体"/>
          <w:bCs w:val="0"/>
          <w:snapToGrid w:val="0"/>
        </w:rPr>
        <w:t>5.  开标</w:t>
      </w:r>
      <w:bookmarkEnd w:id="426"/>
      <w:bookmarkEnd w:id="427"/>
      <w:bookmarkEnd w:id="428"/>
      <w:bookmarkEnd w:id="429"/>
      <w:bookmarkEnd w:id="430"/>
      <w:bookmarkEnd w:id="431"/>
      <w:bookmarkEnd w:id="432"/>
      <w:bookmarkEnd w:id="433"/>
      <w:bookmarkEnd w:id="434"/>
      <w:bookmarkEnd w:id="435"/>
    </w:p>
    <w:p>
      <w:pPr>
        <w:pStyle w:val="5"/>
        <w:keepNext w:val="0"/>
        <w:keepLines w:val="0"/>
        <w:snapToGrid w:val="0"/>
        <w:spacing w:before="0" w:after="0" w:line="360" w:lineRule="auto"/>
        <w:rPr>
          <w:rFonts w:ascii="宋体" w:hAnsi="宋体"/>
          <w:bCs w:val="0"/>
          <w:snapToGrid w:val="0"/>
          <w:sz w:val="24"/>
          <w:szCs w:val="24"/>
        </w:rPr>
      </w:pPr>
      <w:bookmarkStart w:id="436" w:name="_Toc287620717"/>
      <w:bookmarkStart w:id="437" w:name="_Toc224103349"/>
      <w:bookmarkStart w:id="438" w:name="_Toc430530467"/>
      <w:bookmarkStart w:id="439" w:name="_Toc277082584"/>
      <w:bookmarkStart w:id="440" w:name="_Toc200513158"/>
      <w:bookmarkStart w:id="441" w:name="_Toc287607778"/>
      <w:bookmarkStart w:id="442" w:name="_Toc14477"/>
      <w:bookmarkStart w:id="443" w:name="_Toc509218742"/>
      <w:r>
        <w:rPr>
          <w:rFonts w:ascii="宋体" w:hAnsi="宋体"/>
          <w:bCs w:val="0"/>
          <w:snapToGrid w:val="0"/>
          <w:sz w:val="24"/>
          <w:szCs w:val="24"/>
        </w:rPr>
        <w:t>5.1  开标时间和地点</w:t>
      </w:r>
      <w:bookmarkEnd w:id="436"/>
      <w:bookmarkEnd w:id="437"/>
      <w:bookmarkEnd w:id="438"/>
      <w:bookmarkEnd w:id="439"/>
      <w:bookmarkEnd w:id="440"/>
      <w:bookmarkEnd w:id="441"/>
      <w:bookmarkEnd w:id="442"/>
      <w:bookmarkEnd w:id="443"/>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 xml:space="preserve">5.1.1  </w:t>
      </w:r>
      <w:r>
        <w:rPr>
          <w:rFonts w:ascii="宋体" w:hAnsi="宋体"/>
          <w:snapToGrid w:val="0"/>
          <w:kern w:val="0"/>
          <w:szCs w:val="21"/>
        </w:rPr>
        <w:t>招标人在投标人须知前附表第 2.2.2 项规定的投标截止时间（开标时间）和投标人须知前附表规定的地点公开开标，并邀请所有投标人的法定代表人或其委托代理人准时参加。</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5.1.2  投标人在投标人须知前附表第 5.1.2 项规定的解密时间内在线或到开标现场完成投标文件解密工作。</w:t>
      </w:r>
    </w:p>
    <w:p>
      <w:pPr>
        <w:pStyle w:val="5"/>
        <w:keepNext w:val="0"/>
        <w:keepLines w:val="0"/>
        <w:snapToGrid w:val="0"/>
        <w:spacing w:before="0" w:after="0" w:line="360" w:lineRule="auto"/>
        <w:rPr>
          <w:rFonts w:ascii="宋体" w:hAnsi="宋体"/>
          <w:bCs w:val="0"/>
          <w:snapToGrid w:val="0"/>
          <w:sz w:val="24"/>
          <w:szCs w:val="24"/>
        </w:rPr>
      </w:pPr>
      <w:bookmarkStart w:id="444" w:name="_Toc287607779"/>
      <w:bookmarkStart w:id="445" w:name="_Toc509218743"/>
      <w:bookmarkStart w:id="446" w:name="_Toc200513159"/>
      <w:bookmarkStart w:id="447" w:name="_Toc224103350"/>
      <w:bookmarkStart w:id="448" w:name="_Toc20469"/>
      <w:bookmarkStart w:id="449" w:name="_Toc277082585"/>
      <w:bookmarkStart w:id="450" w:name="_Toc287620718"/>
      <w:bookmarkStart w:id="451" w:name="_Toc430530468"/>
      <w:r>
        <w:rPr>
          <w:rFonts w:ascii="宋体" w:hAnsi="宋体"/>
          <w:bCs w:val="0"/>
          <w:snapToGrid w:val="0"/>
          <w:sz w:val="24"/>
          <w:szCs w:val="24"/>
        </w:rPr>
        <w:t>5.2  开标程序</w:t>
      </w:r>
      <w:bookmarkEnd w:id="444"/>
      <w:bookmarkEnd w:id="445"/>
      <w:bookmarkEnd w:id="446"/>
      <w:bookmarkEnd w:id="447"/>
      <w:bookmarkEnd w:id="448"/>
      <w:bookmarkEnd w:id="449"/>
      <w:bookmarkEnd w:id="450"/>
      <w:bookmarkEnd w:id="451"/>
    </w:p>
    <w:p>
      <w:pPr>
        <w:autoSpaceDE w:val="0"/>
        <w:autoSpaceDN w:val="0"/>
        <w:adjustRightInd w:val="0"/>
        <w:snapToGrid w:val="0"/>
        <w:spacing w:line="360" w:lineRule="auto"/>
        <w:ind w:firstLine="420" w:firstLineChars="200"/>
        <w:rPr>
          <w:rFonts w:ascii="宋体" w:hAnsi="宋体"/>
          <w:szCs w:val="21"/>
        </w:rPr>
      </w:pPr>
      <w:bookmarkStart w:id="452" w:name="_Toc200513160"/>
      <w:bookmarkStart w:id="453" w:name="_Toc287607780"/>
      <w:bookmarkStart w:id="454" w:name="_Toc277082586"/>
      <w:bookmarkStart w:id="455" w:name="_Toc224103351"/>
      <w:bookmarkStart w:id="456" w:name="_Toc287620719"/>
      <w:r>
        <w:rPr>
          <w:rFonts w:ascii="宋体" w:hAnsi="宋体"/>
          <w:szCs w:val="21"/>
        </w:rPr>
        <w:t>详见投标人须知前附表第5.2款开标程序。</w:t>
      </w:r>
    </w:p>
    <w:p>
      <w:pPr>
        <w:pStyle w:val="5"/>
        <w:keepNext w:val="0"/>
        <w:keepLines w:val="0"/>
        <w:snapToGrid w:val="0"/>
        <w:spacing w:before="0" w:after="0" w:line="360" w:lineRule="auto"/>
        <w:rPr>
          <w:rFonts w:ascii="宋体" w:hAnsi="宋体"/>
          <w:bCs w:val="0"/>
          <w:snapToGrid w:val="0"/>
          <w:sz w:val="24"/>
          <w:szCs w:val="24"/>
        </w:rPr>
      </w:pPr>
      <w:bookmarkStart w:id="457" w:name="_Toc11471"/>
      <w:r>
        <w:rPr>
          <w:rFonts w:ascii="宋体" w:hAnsi="宋体"/>
          <w:bCs w:val="0"/>
          <w:snapToGrid w:val="0"/>
          <w:sz w:val="24"/>
          <w:szCs w:val="24"/>
        </w:rPr>
        <w:t>5.</w:t>
      </w:r>
      <w:r>
        <w:rPr>
          <w:rFonts w:hint="eastAsia" w:ascii="宋体" w:hAnsi="宋体"/>
          <w:bCs w:val="0"/>
          <w:snapToGrid w:val="0"/>
          <w:sz w:val="24"/>
          <w:szCs w:val="24"/>
        </w:rPr>
        <w:t>3</w:t>
      </w:r>
      <w:r>
        <w:rPr>
          <w:rFonts w:ascii="宋体" w:hAnsi="宋体"/>
          <w:bCs w:val="0"/>
          <w:snapToGrid w:val="0"/>
          <w:sz w:val="24"/>
          <w:szCs w:val="24"/>
        </w:rPr>
        <w:t xml:space="preserve">  </w:t>
      </w:r>
      <w:r>
        <w:rPr>
          <w:rFonts w:hint="eastAsia" w:ascii="宋体" w:hAnsi="宋体"/>
          <w:bCs w:val="0"/>
          <w:snapToGrid w:val="0"/>
          <w:sz w:val="24"/>
          <w:szCs w:val="24"/>
        </w:rPr>
        <w:t>开标异议</w:t>
      </w:r>
      <w:bookmarkEnd w:id="457"/>
    </w:p>
    <w:p>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投标人对开标有异议的，应在开标现场或在线（不见面开标适用）提出，开标现场提出异议的，应出示法定代表人身份证明或附有法定代表人身份证明的授权委托书。招标人当场作出答复，并制作记录，有异议的投标人代表、招标人代表、主持人、记录人等有关人员在记录上签名确认</w:t>
      </w:r>
      <w:r>
        <w:rPr>
          <w:rFonts w:ascii="宋体" w:hAnsi="宋体"/>
          <w:szCs w:val="21"/>
        </w:rPr>
        <w:t>。</w:t>
      </w:r>
    </w:p>
    <w:p>
      <w:pPr>
        <w:pStyle w:val="4"/>
        <w:keepNext w:val="0"/>
        <w:keepLines w:val="0"/>
        <w:spacing w:before="0" w:after="0" w:line="360" w:lineRule="auto"/>
        <w:rPr>
          <w:rFonts w:ascii="宋体" w:hAnsi="宋体"/>
          <w:bCs w:val="0"/>
          <w:snapToGrid w:val="0"/>
        </w:rPr>
      </w:pPr>
      <w:bookmarkStart w:id="458" w:name="_Toc22485"/>
      <w:bookmarkStart w:id="459" w:name="_Toc509218744"/>
      <w:bookmarkStart w:id="460" w:name="_Toc430530469"/>
      <w:bookmarkStart w:id="461" w:name="_Toc27963"/>
      <w:bookmarkStart w:id="462" w:name="_Toc364"/>
      <w:r>
        <w:rPr>
          <w:rFonts w:ascii="宋体" w:hAnsi="宋体"/>
          <w:bCs w:val="0"/>
          <w:snapToGrid w:val="0"/>
        </w:rPr>
        <w:t>6.  评标</w:t>
      </w:r>
      <w:bookmarkEnd w:id="452"/>
      <w:bookmarkEnd w:id="453"/>
      <w:bookmarkEnd w:id="454"/>
      <w:bookmarkEnd w:id="455"/>
      <w:bookmarkEnd w:id="456"/>
      <w:bookmarkEnd w:id="458"/>
      <w:bookmarkEnd w:id="459"/>
      <w:bookmarkEnd w:id="460"/>
      <w:bookmarkEnd w:id="461"/>
      <w:bookmarkEnd w:id="462"/>
    </w:p>
    <w:p>
      <w:pPr>
        <w:pStyle w:val="5"/>
        <w:keepNext w:val="0"/>
        <w:keepLines w:val="0"/>
        <w:snapToGrid w:val="0"/>
        <w:spacing w:before="0" w:after="0" w:line="360" w:lineRule="auto"/>
        <w:rPr>
          <w:rFonts w:ascii="宋体" w:hAnsi="宋体"/>
          <w:bCs w:val="0"/>
          <w:snapToGrid w:val="0"/>
          <w:sz w:val="24"/>
          <w:szCs w:val="24"/>
        </w:rPr>
      </w:pPr>
      <w:bookmarkStart w:id="463" w:name="_Toc287620720"/>
      <w:bookmarkStart w:id="464" w:name="_Toc9853"/>
      <w:bookmarkStart w:id="465" w:name="_Toc224103352"/>
      <w:bookmarkStart w:id="466" w:name="_Toc287607781"/>
      <w:bookmarkStart w:id="467" w:name="_Toc509218745"/>
      <w:bookmarkStart w:id="468" w:name="_Toc430530470"/>
      <w:bookmarkStart w:id="469" w:name="_Toc277082587"/>
      <w:bookmarkStart w:id="470" w:name="_Toc200513161"/>
      <w:r>
        <w:rPr>
          <w:rFonts w:ascii="宋体" w:hAnsi="宋体"/>
          <w:bCs w:val="0"/>
          <w:snapToGrid w:val="0"/>
          <w:sz w:val="24"/>
          <w:szCs w:val="24"/>
        </w:rPr>
        <w:t>6.1  评标委员会</w:t>
      </w:r>
      <w:bookmarkEnd w:id="463"/>
      <w:bookmarkEnd w:id="464"/>
      <w:bookmarkEnd w:id="465"/>
      <w:bookmarkEnd w:id="466"/>
      <w:bookmarkEnd w:id="467"/>
      <w:bookmarkEnd w:id="468"/>
      <w:bookmarkEnd w:id="469"/>
      <w:bookmarkEnd w:id="470"/>
    </w:p>
    <w:p>
      <w:pPr>
        <w:autoSpaceDE w:val="0"/>
        <w:autoSpaceDN w:val="0"/>
        <w:adjustRightInd w:val="0"/>
        <w:snapToGrid w:val="0"/>
        <w:spacing w:line="360" w:lineRule="auto"/>
        <w:ind w:firstLine="420" w:firstLineChars="200"/>
        <w:rPr>
          <w:rFonts w:ascii="宋体" w:hAnsi="宋体"/>
          <w:b/>
          <w:snapToGrid w:val="0"/>
          <w:kern w:val="0"/>
          <w:szCs w:val="21"/>
        </w:rPr>
      </w:pPr>
      <w:r>
        <w:rPr>
          <w:rFonts w:ascii="宋体" w:hAnsi="宋体"/>
          <w:snapToGrid w:val="0"/>
          <w:kern w:val="0"/>
          <w:szCs w:val="21"/>
        </w:rPr>
        <w:t>6.1.1  评标由招标人依据法律法规和相关规范性文件组建的评标委员会负责。</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6.1.2  评标委员会成员有下列情形之一的，应当回避：</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（1）投标人或投标人的主要负责人的近亲属；</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（2）项目主管部门或者</w:t>
      </w:r>
      <w:r>
        <w:rPr>
          <w:rFonts w:hint="eastAsia" w:ascii="宋体" w:hAnsi="宋体"/>
          <w:snapToGrid w:val="0"/>
          <w:kern w:val="0"/>
          <w:szCs w:val="21"/>
        </w:rPr>
        <w:t>项目</w:t>
      </w:r>
      <w:r>
        <w:rPr>
          <w:rFonts w:ascii="宋体" w:hAnsi="宋体"/>
          <w:snapToGrid w:val="0"/>
          <w:kern w:val="0"/>
          <w:szCs w:val="21"/>
        </w:rPr>
        <w:t>行政监督部门的人员；</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（3）与投标人有利害关系，可能影响对投标公正评审的；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（4）曾因在招标、评标以及其他与招标投标有关活动中从事违法行为而受过行政处罚或刑事处罚的</w:t>
      </w:r>
      <w:r>
        <w:rPr>
          <w:rFonts w:hint="eastAsia" w:ascii="宋体" w:hAnsi="宋体"/>
          <w:snapToGrid w:val="0"/>
          <w:kern w:val="0"/>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（5）法律法规规定的其他情形。</w:t>
      </w:r>
    </w:p>
    <w:p>
      <w:pPr>
        <w:pStyle w:val="98"/>
        <w:spacing w:before="0" w:after="0" w:line="360" w:lineRule="auto"/>
        <w:ind w:firstLine="420" w:firstLineChars="200"/>
        <w:jc w:val="left"/>
        <w:rPr>
          <w:rFonts w:ascii="宋体" w:hAnsi="宋体" w:eastAsia="宋体" w:cs="宋体"/>
          <w:sz w:val="21"/>
          <w:szCs w:val="21"/>
          <w:lang w:eastAsia="zh-CN"/>
        </w:rPr>
      </w:pPr>
      <w:r>
        <w:rPr>
          <w:rFonts w:hint="eastAsia" w:ascii="宋体" w:hAnsi="宋体" w:eastAsia="宋体" w:cs="宋体"/>
          <w:sz w:val="21"/>
          <w:szCs w:val="21"/>
          <w:lang w:eastAsia="zh-CN"/>
        </w:rPr>
        <w:t>6.1.3  评标过程中，评标委员会成员有回避事由、擅离职守或者因健康等原因不能继续评标的，应当及时更换。被更换的评标委员会成员作出的评审结论无效，由更换后的评标委员会成员重新进行评审。</w:t>
      </w:r>
    </w:p>
    <w:p>
      <w:pPr>
        <w:pStyle w:val="5"/>
        <w:snapToGrid w:val="0"/>
        <w:spacing w:before="0" w:after="0" w:line="360" w:lineRule="auto"/>
        <w:rPr>
          <w:rFonts w:ascii="宋体" w:hAnsi="宋体"/>
          <w:bCs w:val="0"/>
          <w:snapToGrid w:val="0"/>
          <w:sz w:val="24"/>
          <w:szCs w:val="24"/>
        </w:rPr>
      </w:pPr>
      <w:bookmarkStart w:id="471" w:name="_Toc287607782"/>
      <w:bookmarkStart w:id="472" w:name="_Toc19673"/>
      <w:bookmarkStart w:id="473" w:name="_Toc277082588"/>
      <w:bookmarkStart w:id="474" w:name="_Toc224103353"/>
      <w:bookmarkStart w:id="475" w:name="_Toc509218746"/>
      <w:bookmarkStart w:id="476" w:name="_Toc430530471"/>
      <w:bookmarkStart w:id="477" w:name="_Toc200513162"/>
      <w:bookmarkStart w:id="478" w:name="_Toc287620721"/>
      <w:r>
        <w:rPr>
          <w:rFonts w:ascii="宋体" w:hAnsi="宋体"/>
          <w:bCs w:val="0"/>
          <w:snapToGrid w:val="0"/>
          <w:sz w:val="24"/>
          <w:szCs w:val="24"/>
        </w:rPr>
        <w:t>6.2  评标原则</w:t>
      </w:r>
      <w:bookmarkEnd w:id="471"/>
      <w:bookmarkEnd w:id="472"/>
      <w:bookmarkEnd w:id="473"/>
      <w:bookmarkEnd w:id="474"/>
      <w:bookmarkEnd w:id="475"/>
      <w:bookmarkEnd w:id="476"/>
      <w:bookmarkEnd w:id="477"/>
      <w:bookmarkEnd w:id="478"/>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评标活动遵循公平、公正、科学和择优的原则。</w:t>
      </w:r>
    </w:p>
    <w:p>
      <w:pPr>
        <w:pStyle w:val="5"/>
        <w:snapToGrid w:val="0"/>
        <w:spacing w:before="0" w:after="0" w:line="360" w:lineRule="auto"/>
        <w:rPr>
          <w:rFonts w:ascii="宋体" w:hAnsi="宋体"/>
          <w:bCs w:val="0"/>
          <w:snapToGrid w:val="0"/>
          <w:sz w:val="24"/>
          <w:szCs w:val="24"/>
        </w:rPr>
      </w:pPr>
      <w:bookmarkStart w:id="479" w:name="_Toc509218747"/>
      <w:bookmarkStart w:id="480" w:name="_Toc277082589"/>
      <w:bookmarkStart w:id="481" w:name="_Toc224103354"/>
      <w:bookmarkStart w:id="482" w:name="_Toc200513163"/>
      <w:bookmarkStart w:id="483" w:name="_Toc430530472"/>
      <w:bookmarkStart w:id="484" w:name="_Toc24141"/>
      <w:bookmarkStart w:id="485" w:name="_Toc287620722"/>
      <w:bookmarkStart w:id="486" w:name="_Toc287607783"/>
      <w:r>
        <w:rPr>
          <w:rFonts w:ascii="宋体" w:hAnsi="宋体"/>
          <w:bCs w:val="0"/>
          <w:snapToGrid w:val="0"/>
          <w:sz w:val="24"/>
          <w:szCs w:val="24"/>
        </w:rPr>
        <w:t>6.3  评标</w:t>
      </w:r>
      <w:bookmarkEnd w:id="479"/>
      <w:bookmarkEnd w:id="480"/>
      <w:bookmarkEnd w:id="481"/>
      <w:bookmarkEnd w:id="482"/>
      <w:bookmarkEnd w:id="483"/>
      <w:bookmarkEnd w:id="484"/>
      <w:bookmarkEnd w:id="485"/>
      <w:bookmarkEnd w:id="486"/>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val="en-US" w:eastAsia="zh-CN"/>
        </w:rPr>
        <w:t>6.3.1</w:t>
      </w:r>
      <w:r>
        <w:rPr>
          <w:rFonts w:ascii="宋体" w:hAnsi="宋体"/>
          <w:snapToGrid w:val="0"/>
          <w:kern w:val="0"/>
          <w:szCs w:val="21"/>
        </w:rPr>
        <w:t>评标委员会按照第三章“评标办法”规定的方法、评审因素、标准和程序对投标文件进行评审。第三章“评标办法”没有规定的方法、评审因素和标准，不得作为评标依据。</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6.3.2评标完成后，评标委员会应当向招标人提交书面评标报告和中标候选人名单。评标委员会推荐中标</w:t>
      </w:r>
      <w:bookmarkStart w:id="487" w:name="_Toc247527583"/>
      <w:bookmarkStart w:id="488" w:name="_Toc152042334"/>
      <w:bookmarkStart w:id="489" w:name="_Toc300834979"/>
      <w:bookmarkStart w:id="490" w:name="_Toc361508615"/>
      <w:bookmarkStart w:id="491" w:name="_Toc369531546"/>
      <w:bookmarkStart w:id="492" w:name="_Toc12259"/>
      <w:bookmarkStart w:id="493" w:name="_Toc247513982"/>
      <w:bookmarkStart w:id="494" w:name="_Toc152045558"/>
      <w:bookmarkStart w:id="495" w:name="_Toc352691502"/>
      <w:bookmarkStart w:id="496" w:name="_Toc384308240"/>
      <w:bookmarkStart w:id="497" w:name="_Toc144974526"/>
      <w:r>
        <w:rPr>
          <w:rFonts w:asciiTheme="minorEastAsia" w:hAnsiTheme="minorEastAsia" w:eastAsiaTheme="minorEastAsia"/>
          <w:color w:val="auto"/>
          <w:highlight w:val="none"/>
        </w:rPr>
        <w:t>候选人的人数见投标人须知前附</w:t>
      </w:r>
      <w:bookmarkEnd w:id="487"/>
      <w:bookmarkEnd w:id="488"/>
      <w:bookmarkEnd w:id="489"/>
      <w:bookmarkEnd w:id="490"/>
      <w:bookmarkEnd w:id="491"/>
      <w:bookmarkEnd w:id="492"/>
      <w:bookmarkEnd w:id="493"/>
      <w:bookmarkEnd w:id="494"/>
      <w:bookmarkEnd w:id="495"/>
      <w:bookmarkEnd w:id="496"/>
      <w:bookmarkEnd w:id="497"/>
      <w:r>
        <w:rPr>
          <w:rFonts w:asciiTheme="minorEastAsia" w:hAnsiTheme="minorEastAsia" w:eastAsiaTheme="minorEastAsia"/>
          <w:color w:val="auto"/>
          <w:highlight w:val="none"/>
        </w:rPr>
        <w:t>表。</w:t>
      </w:r>
    </w:p>
    <w:p>
      <w:pPr>
        <w:pStyle w:val="4"/>
        <w:spacing w:before="0" w:after="0" w:line="360" w:lineRule="auto"/>
        <w:rPr>
          <w:rFonts w:ascii="宋体" w:hAnsi="宋体"/>
          <w:bCs w:val="0"/>
          <w:snapToGrid w:val="0"/>
        </w:rPr>
      </w:pPr>
      <w:bookmarkStart w:id="498" w:name="_Toc224103355"/>
      <w:bookmarkStart w:id="499" w:name="_Toc27523"/>
      <w:bookmarkStart w:id="500" w:name="_Toc28715"/>
      <w:bookmarkStart w:id="501" w:name="_Toc287607784"/>
      <w:bookmarkStart w:id="502" w:name="_Toc14842"/>
      <w:bookmarkStart w:id="503" w:name="_Toc287620723"/>
      <w:bookmarkStart w:id="504" w:name="_Toc200513164"/>
      <w:bookmarkStart w:id="505" w:name="_Toc277082590"/>
      <w:bookmarkStart w:id="506" w:name="_Toc430530473"/>
      <w:bookmarkStart w:id="507" w:name="_Toc509218748"/>
      <w:r>
        <w:rPr>
          <w:rFonts w:ascii="宋体" w:hAnsi="宋体"/>
          <w:bCs w:val="0"/>
          <w:snapToGrid w:val="0"/>
        </w:rPr>
        <w:t>7.  合同授予</w:t>
      </w:r>
      <w:bookmarkEnd w:id="498"/>
      <w:bookmarkEnd w:id="499"/>
      <w:bookmarkEnd w:id="500"/>
      <w:bookmarkEnd w:id="501"/>
      <w:bookmarkEnd w:id="502"/>
      <w:bookmarkEnd w:id="503"/>
      <w:bookmarkEnd w:id="504"/>
      <w:bookmarkEnd w:id="505"/>
      <w:bookmarkEnd w:id="506"/>
      <w:bookmarkEnd w:id="507"/>
    </w:p>
    <w:p>
      <w:pPr>
        <w:pStyle w:val="5"/>
        <w:snapToGrid w:val="0"/>
        <w:spacing w:before="0" w:after="0" w:line="360" w:lineRule="auto"/>
        <w:rPr>
          <w:rFonts w:ascii="宋体" w:hAnsi="宋体"/>
          <w:bCs w:val="0"/>
          <w:snapToGrid w:val="0"/>
          <w:sz w:val="24"/>
          <w:szCs w:val="24"/>
        </w:rPr>
      </w:pPr>
      <w:bookmarkStart w:id="508" w:name="_Toc224103356"/>
      <w:bookmarkStart w:id="509" w:name="_Toc200513165"/>
      <w:bookmarkStart w:id="510" w:name="_Toc20893"/>
      <w:bookmarkStart w:id="511" w:name="_Toc287607785"/>
      <w:bookmarkStart w:id="512" w:name="_Toc277082591"/>
      <w:bookmarkStart w:id="513" w:name="_Toc509218749"/>
      <w:bookmarkStart w:id="514" w:name="_Toc430530474"/>
      <w:bookmarkStart w:id="515" w:name="_Toc287620724"/>
      <w:r>
        <w:rPr>
          <w:rFonts w:ascii="宋体" w:hAnsi="宋体"/>
          <w:bCs w:val="0"/>
          <w:snapToGrid w:val="0"/>
          <w:sz w:val="24"/>
          <w:szCs w:val="24"/>
        </w:rPr>
        <w:t>7.1  定标方式</w:t>
      </w:r>
      <w:bookmarkEnd w:id="508"/>
      <w:bookmarkEnd w:id="509"/>
      <w:bookmarkEnd w:id="510"/>
      <w:bookmarkEnd w:id="511"/>
      <w:bookmarkEnd w:id="512"/>
      <w:bookmarkEnd w:id="513"/>
      <w:bookmarkEnd w:id="514"/>
      <w:bookmarkEnd w:id="515"/>
    </w:p>
    <w:p>
      <w:pPr>
        <w:spacing w:line="360" w:lineRule="auto"/>
        <w:ind w:firstLine="420" w:firstLineChars="200"/>
        <w:rPr>
          <w:rFonts w:ascii="宋体" w:hAnsi="宋体"/>
          <w:szCs w:val="21"/>
        </w:rPr>
      </w:pPr>
      <w:r>
        <w:rPr>
          <w:rFonts w:ascii="宋体" w:hAnsi="宋体"/>
          <w:szCs w:val="21"/>
        </w:rPr>
        <w:t>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pPr>
        <w:spacing w:line="360" w:lineRule="auto"/>
        <w:ind w:firstLine="420" w:firstLineChars="200"/>
        <w:rPr>
          <w:rFonts w:ascii="宋体" w:hAnsi="宋体"/>
          <w:szCs w:val="21"/>
        </w:rPr>
      </w:pPr>
      <w:r>
        <w:rPr>
          <w:rFonts w:ascii="宋体" w:hAnsi="宋体"/>
          <w:snapToGrid w:val="0"/>
          <w:kern w:val="0"/>
          <w:szCs w:val="21"/>
        </w:rPr>
        <w:t>评标委员会推荐中标候选人的人数</w:t>
      </w:r>
      <w:r>
        <w:rPr>
          <w:rFonts w:hint="eastAsia" w:ascii="宋体" w:hAnsi="宋体"/>
          <w:snapToGrid w:val="0"/>
          <w:kern w:val="0"/>
          <w:szCs w:val="21"/>
        </w:rPr>
        <w:t>：</w:t>
      </w:r>
      <w:r>
        <w:rPr>
          <w:rFonts w:ascii="宋体" w:hAnsi="宋体"/>
          <w:snapToGrid w:val="0"/>
          <w:kern w:val="0"/>
          <w:szCs w:val="21"/>
        </w:rPr>
        <w:t>见投标人须知前附表。</w:t>
      </w:r>
    </w:p>
    <w:p>
      <w:pPr>
        <w:pStyle w:val="5"/>
        <w:snapToGrid w:val="0"/>
        <w:spacing w:before="0" w:after="0" w:line="360" w:lineRule="auto"/>
        <w:outlineLvl w:val="9"/>
        <w:rPr>
          <w:rFonts w:ascii="宋体" w:hAnsi="宋体"/>
          <w:bCs w:val="0"/>
          <w:snapToGrid w:val="0"/>
          <w:sz w:val="24"/>
          <w:szCs w:val="24"/>
        </w:rPr>
      </w:pPr>
      <w:bookmarkStart w:id="516" w:name="_Toc430530475"/>
      <w:bookmarkStart w:id="517" w:name="_Toc509218750"/>
      <w:bookmarkStart w:id="518" w:name="_Toc16079"/>
    </w:p>
    <w:p>
      <w:pPr>
        <w:pStyle w:val="5"/>
        <w:snapToGrid w:val="0"/>
        <w:spacing w:before="0" w:after="0" w:line="360" w:lineRule="auto"/>
        <w:rPr>
          <w:rFonts w:ascii="宋体" w:hAnsi="宋体"/>
          <w:bCs w:val="0"/>
          <w:snapToGrid w:val="0"/>
          <w:sz w:val="24"/>
          <w:szCs w:val="24"/>
        </w:rPr>
      </w:pPr>
      <w:r>
        <w:rPr>
          <w:rFonts w:ascii="宋体" w:hAnsi="宋体"/>
          <w:bCs w:val="0"/>
          <w:snapToGrid w:val="0"/>
          <w:sz w:val="24"/>
          <w:szCs w:val="24"/>
        </w:rPr>
        <w:t>7.2  中标公示及中标通知</w:t>
      </w:r>
      <w:bookmarkEnd w:id="516"/>
      <w:bookmarkEnd w:id="517"/>
      <w:bookmarkEnd w:id="518"/>
    </w:p>
    <w:p>
      <w:pPr>
        <w:autoSpaceDE w:val="0"/>
        <w:autoSpaceDN w:val="0"/>
        <w:adjustRightInd w:val="0"/>
        <w:snapToGrid w:val="0"/>
        <w:spacing w:line="360" w:lineRule="auto"/>
        <w:ind w:firstLine="420" w:firstLineChars="200"/>
        <w:rPr>
          <w:rFonts w:ascii="宋体" w:hAnsi="宋体"/>
          <w:szCs w:val="21"/>
        </w:rPr>
      </w:pPr>
      <w:r>
        <w:rPr>
          <w:rFonts w:ascii="宋体" w:hAnsi="宋体"/>
          <w:snapToGrid w:val="0"/>
          <w:kern w:val="0"/>
          <w:szCs w:val="21"/>
        </w:rPr>
        <w:t>招标人在收到评标报告之日起3日内公示中标候选人，公示期不得少于3日</w:t>
      </w:r>
      <w:r>
        <w:rPr>
          <w:rFonts w:hint="eastAsia" w:ascii="宋体" w:hAnsi="宋体"/>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在本章第 3.3 款规定的投标有效期内，且未有投标人的异议与投诉，招标人以书面形式向中标人发出中标通知书。</w:t>
      </w:r>
    </w:p>
    <w:p>
      <w:pPr>
        <w:pStyle w:val="5"/>
        <w:snapToGrid w:val="0"/>
        <w:spacing w:before="0" w:after="0" w:line="360" w:lineRule="auto"/>
        <w:rPr>
          <w:rFonts w:ascii="宋体" w:hAnsi="宋体"/>
          <w:bCs w:val="0"/>
          <w:snapToGrid w:val="0"/>
          <w:sz w:val="24"/>
          <w:szCs w:val="24"/>
        </w:rPr>
      </w:pPr>
      <w:bookmarkStart w:id="519" w:name="_Toc509218751"/>
      <w:bookmarkStart w:id="520" w:name="_Toc277082593"/>
      <w:bookmarkStart w:id="521" w:name="_Toc224103358"/>
      <w:bookmarkStart w:id="522" w:name="_Toc287620726"/>
      <w:bookmarkStart w:id="523" w:name="_Toc430530476"/>
      <w:bookmarkStart w:id="524" w:name="_Toc200513167"/>
      <w:bookmarkStart w:id="525" w:name="_Toc32422"/>
      <w:bookmarkStart w:id="526" w:name="_Toc287607787"/>
      <w:r>
        <w:rPr>
          <w:rFonts w:ascii="宋体" w:hAnsi="宋体"/>
          <w:bCs w:val="0"/>
          <w:snapToGrid w:val="0"/>
          <w:sz w:val="24"/>
          <w:szCs w:val="24"/>
        </w:rPr>
        <w:t>7.3  履约担保</w:t>
      </w:r>
      <w:bookmarkEnd w:id="519"/>
      <w:bookmarkEnd w:id="520"/>
      <w:bookmarkEnd w:id="521"/>
      <w:bookmarkEnd w:id="522"/>
      <w:bookmarkEnd w:id="523"/>
      <w:bookmarkEnd w:id="524"/>
      <w:bookmarkEnd w:id="525"/>
      <w:bookmarkEnd w:id="526"/>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7.3.1  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7.3.2  中标人不能按本章第 7.3.1 项要求提交履约担保的，视为放弃中标，</w:t>
      </w:r>
      <w:r>
        <w:rPr>
          <w:rFonts w:hint="eastAsia" w:ascii="宋体" w:hAnsi="宋体"/>
          <w:snapToGrid w:val="0"/>
          <w:kern w:val="0"/>
          <w:szCs w:val="21"/>
          <w:lang w:val="en-US" w:eastAsia="zh-CN"/>
        </w:rPr>
        <w:t>其</w:t>
      </w:r>
      <w:r>
        <w:rPr>
          <w:rFonts w:hint="eastAsia" w:asciiTheme="minorEastAsia" w:hAnsiTheme="minorEastAsia" w:eastAsiaTheme="minorEastAsia" w:cstheme="minorEastAsia"/>
          <w:color w:val="auto"/>
          <w:highlight w:val="none"/>
        </w:rPr>
        <w:t>投标保证金以现金形式交纳的不予退还</w:t>
      </w:r>
      <w:r>
        <w:rPr>
          <w:rFonts w:ascii="宋体" w:hAnsi="宋体"/>
          <w:snapToGrid w:val="0"/>
          <w:kern w:val="0"/>
          <w:szCs w:val="21"/>
        </w:rPr>
        <w:t>，</w:t>
      </w:r>
      <w:r>
        <w:rPr>
          <w:rFonts w:hint="eastAsia" w:asciiTheme="minorEastAsia" w:hAnsiTheme="minorEastAsia" w:eastAsiaTheme="minorEastAsia" w:cstheme="minorEastAsia"/>
          <w:szCs w:val="21"/>
          <w:highlight w:val="none"/>
          <w:u w:val="none"/>
        </w:rPr>
        <w:t>以保函形式交纳的由保函开立人支付保函担保的与投标保证金等额的款项，</w:t>
      </w:r>
      <w:r>
        <w:rPr>
          <w:rFonts w:ascii="宋体" w:hAnsi="宋体"/>
          <w:snapToGrid w:val="0"/>
          <w:kern w:val="0"/>
          <w:szCs w:val="21"/>
        </w:rPr>
        <w:t>给招标人造成的损失超过投标保证金数额的，中标人还应当对超过部分予以赔偿。</w:t>
      </w:r>
    </w:p>
    <w:p>
      <w:pPr>
        <w:pStyle w:val="5"/>
        <w:snapToGrid w:val="0"/>
        <w:spacing w:before="0" w:after="0" w:line="360" w:lineRule="auto"/>
        <w:rPr>
          <w:rFonts w:ascii="宋体" w:hAnsi="宋体"/>
          <w:bCs w:val="0"/>
          <w:snapToGrid w:val="0"/>
          <w:sz w:val="24"/>
          <w:szCs w:val="24"/>
        </w:rPr>
      </w:pPr>
      <w:bookmarkStart w:id="527" w:name="_Toc287607788"/>
      <w:bookmarkStart w:id="528" w:name="_Toc287620727"/>
      <w:bookmarkStart w:id="529" w:name="_Toc224103359"/>
      <w:bookmarkStart w:id="530" w:name="_Toc200513168"/>
      <w:bookmarkStart w:id="531" w:name="_Toc509218752"/>
      <w:bookmarkStart w:id="532" w:name="_Toc430530477"/>
      <w:bookmarkStart w:id="533" w:name="_Toc14090"/>
      <w:bookmarkStart w:id="534" w:name="_Toc277082594"/>
      <w:r>
        <w:rPr>
          <w:rFonts w:ascii="宋体" w:hAnsi="宋体"/>
          <w:bCs w:val="0"/>
          <w:snapToGrid w:val="0"/>
          <w:sz w:val="24"/>
          <w:szCs w:val="24"/>
        </w:rPr>
        <w:t>7.4  签订合同</w:t>
      </w:r>
      <w:bookmarkEnd w:id="527"/>
      <w:bookmarkEnd w:id="528"/>
      <w:bookmarkEnd w:id="529"/>
      <w:bookmarkEnd w:id="530"/>
      <w:bookmarkEnd w:id="531"/>
      <w:bookmarkEnd w:id="532"/>
      <w:bookmarkEnd w:id="533"/>
      <w:bookmarkEnd w:id="534"/>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 xml:space="preserve">7.4.1 </w:t>
      </w:r>
      <w:r>
        <w:rPr>
          <w:rFonts w:hint="eastAsia" w:ascii="宋体" w:hAnsi="宋体"/>
          <w:snapToGrid w:val="0"/>
          <w:kern w:val="0"/>
          <w:szCs w:val="21"/>
        </w:rPr>
        <w:t xml:space="preserve"> </w:t>
      </w:r>
      <w:r>
        <w:rPr>
          <w:rFonts w:ascii="宋体" w:hAnsi="宋体"/>
          <w:snapToGrid w:val="0"/>
          <w:kern w:val="0"/>
          <w:szCs w:val="21"/>
        </w:rPr>
        <w:t>招标人和中标人应当自中标通知书发出之日起 30 天内，根据招标文件和中标人的投标文件订立书面合同。中标人</w:t>
      </w:r>
      <w:r>
        <w:rPr>
          <w:rFonts w:hint="eastAsia" w:ascii="宋体" w:hAnsi="宋体"/>
          <w:snapToGrid w:val="0"/>
          <w:kern w:val="0"/>
          <w:szCs w:val="21"/>
        </w:rPr>
        <w:t>放弃中标项目，</w:t>
      </w:r>
      <w:r>
        <w:rPr>
          <w:rFonts w:ascii="宋体" w:hAnsi="宋体"/>
          <w:snapToGrid w:val="0"/>
          <w:kern w:val="0"/>
          <w:szCs w:val="21"/>
        </w:rPr>
        <w:t>无正当理由</w:t>
      </w:r>
      <w:r>
        <w:rPr>
          <w:rFonts w:hint="eastAsia" w:ascii="宋体" w:hAnsi="宋体"/>
          <w:snapToGrid w:val="0"/>
          <w:kern w:val="0"/>
          <w:szCs w:val="21"/>
        </w:rPr>
        <w:t>不与招标人签订合同，在签订合同时向招标人提出附加条件或者更改合同实质性内容</w:t>
      </w:r>
      <w:r>
        <w:rPr>
          <w:rFonts w:ascii="宋体" w:hAnsi="宋体"/>
          <w:snapToGrid w:val="0"/>
          <w:kern w:val="0"/>
          <w:szCs w:val="21"/>
        </w:rPr>
        <w:t>，</w:t>
      </w:r>
      <w:r>
        <w:rPr>
          <w:rFonts w:hint="eastAsia" w:ascii="宋体" w:hAnsi="宋体" w:cs="宋体"/>
          <w:szCs w:val="21"/>
        </w:rPr>
        <w:t>或不按照招标文件要求提交低价风险担保（适用于经评审最低投标价法）或履约保证金的，</w:t>
      </w:r>
      <w:r>
        <w:rPr>
          <w:rFonts w:ascii="宋体" w:hAnsi="宋体"/>
          <w:snapToGrid w:val="0"/>
          <w:kern w:val="0"/>
          <w:szCs w:val="21"/>
        </w:rPr>
        <w:t>招标人取消其中标资格，</w:t>
      </w:r>
      <w:r>
        <w:rPr>
          <w:rFonts w:hint="eastAsia" w:ascii="宋体" w:hAnsi="宋体"/>
          <w:snapToGrid w:val="0"/>
          <w:kern w:val="0"/>
          <w:szCs w:val="21"/>
          <w:lang w:val="en-US" w:eastAsia="zh-CN"/>
        </w:rPr>
        <w:t>其</w:t>
      </w:r>
      <w:r>
        <w:rPr>
          <w:rFonts w:hint="eastAsia" w:asciiTheme="minorEastAsia" w:hAnsiTheme="minorEastAsia" w:eastAsiaTheme="minorEastAsia" w:cstheme="minorEastAsia"/>
          <w:color w:val="auto"/>
          <w:highlight w:val="none"/>
        </w:rPr>
        <w:t>投标保证金以现金形式交纳的不予退还，</w:t>
      </w:r>
      <w:r>
        <w:rPr>
          <w:rFonts w:hint="eastAsia" w:asciiTheme="minorEastAsia" w:hAnsiTheme="minorEastAsia" w:eastAsiaTheme="minorEastAsia" w:cstheme="minorEastAsia"/>
          <w:szCs w:val="21"/>
          <w:highlight w:val="none"/>
          <w:u w:val="none"/>
        </w:rPr>
        <w:t>以保函形式交纳的由保函开立人支付保函担保的与投标保证金等额的款项</w:t>
      </w:r>
      <w:r>
        <w:rPr>
          <w:rFonts w:ascii="宋体" w:hAnsi="宋体"/>
          <w:snapToGrid w:val="0"/>
          <w:kern w:val="0"/>
          <w:szCs w:val="21"/>
          <w:highlight w:val="none"/>
          <w:u w:val="none"/>
        </w:rPr>
        <w:t>；</w:t>
      </w:r>
      <w:r>
        <w:rPr>
          <w:rFonts w:ascii="宋体" w:hAnsi="宋体"/>
          <w:snapToGrid w:val="0"/>
          <w:kern w:val="0"/>
          <w:szCs w:val="21"/>
        </w:rPr>
        <w:t>给招标人造成的损失超过投标保证金数额的，中标人还应当对超过部分予以赔偿。</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7.4.2  发出中标通知书后，招标人无正当理由拒签合同的，招标人向中标人退还投标保证金；给中标人造成损失的，还应当赔偿损失。</w:t>
      </w:r>
    </w:p>
    <w:p>
      <w:pPr>
        <w:pStyle w:val="4"/>
        <w:spacing w:before="0" w:after="0" w:line="360" w:lineRule="auto"/>
        <w:rPr>
          <w:rFonts w:ascii="宋体" w:hAnsi="宋体"/>
          <w:bCs w:val="0"/>
          <w:snapToGrid w:val="0"/>
        </w:rPr>
      </w:pPr>
      <w:bookmarkStart w:id="535" w:name="_Toc8554"/>
      <w:bookmarkStart w:id="536" w:name="_Toc287607789"/>
      <w:bookmarkStart w:id="537" w:name="_Toc224103360"/>
      <w:bookmarkStart w:id="538" w:name="_Toc15258"/>
      <w:bookmarkStart w:id="539" w:name="_Toc200513169"/>
      <w:bookmarkStart w:id="540" w:name="_Toc287620728"/>
      <w:bookmarkStart w:id="541" w:name="_Toc430530478"/>
      <w:bookmarkStart w:id="542" w:name="_Toc509218753"/>
      <w:bookmarkStart w:id="543" w:name="_Toc1099"/>
      <w:bookmarkStart w:id="544" w:name="_Toc277082595"/>
      <w:r>
        <w:rPr>
          <w:rFonts w:ascii="宋体" w:hAnsi="宋体"/>
          <w:bCs w:val="0"/>
          <w:snapToGrid w:val="0"/>
        </w:rPr>
        <w:t>8.  重新招标和不再招标</w:t>
      </w:r>
      <w:bookmarkEnd w:id="535"/>
      <w:bookmarkEnd w:id="536"/>
      <w:bookmarkEnd w:id="537"/>
      <w:bookmarkEnd w:id="538"/>
      <w:bookmarkEnd w:id="539"/>
      <w:bookmarkEnd w:id="540"/>
      <w:bookmarkEnd w:id="541"/>
      <w:bookmarkEnd w:id="542"/>
      <w:bookmarkEnd w:id="543"/>
      <w:bookmarkEnd w:id="544"/>
    </w:p>
    <w:p>
      <w:pPr>
        <w:pStyle w:val="5"/>
        <w:snapToGrid w:val="0"/>
        <w:spacing w:before="0" w:after="0" w:line="360" w:lineRule="auto"/>
        <w:rPr>
          <w:rFonts w:ascii="宋体" w:hAnsi="宋体"/>
          <w:bCs w:val="0"/>
          <w:snapToGrid w:val="0"/>
          <w:sz w:val="24"/>
          <w:szCs w:val="24"/>
        </w:rPr>
      </w:pPr>
      <w:bookmarkStart w:id="545" w:name="_Toc200513170"/>
      <w:bookmarkStart w:id="546" w:name="_Toc277082596"/>
      <w:bookmarkStart w:id="547" w:name="_Toc430530479"/>
      <w:bookmarkStart w:id="548" w:name="_Toc287620729"/>
      <w:bookmarkStart w:id="549" w:name="_Toc224103361"/>
      <w:bookmarkStart w:id="550" w:name="_Toc287607790"/>
      <w:bookmarkStart w:id="551" w:name="_Toc509218754"/>
      <w:bookmarkStart w:id="552" w:name="_Toc9317"/>
      <w:r>
        <w:rPr>
          <w:rFonts w:ascii="宋体" w:hAnsi="宋体"/>
          <w:bCs w:val="0"/>
          <w:snapToGrid w:val="0"/>
          <w:sz w:val="24"/>
          <w:szCs w:val="24"/>
        </w:rPr>
        <w:t>8.1  重新招标</w:t>
      </w:r>
      <w:bookmarkEnd w:id="545"/>
      <w:bookmarkEnd w:id="546"/>
      <w:bookmarkEnd w:id="547"/>
      <w:bookmarkEnd w:id="548"/>
      <w:bookmarkEnd w:id="549"/>
      <w:bookmarkEnd w:id="550"/>
      <w:bookmarkEnd w:id="551"/>
      <w:r>
        <w:rPr>
          <w:rFonts w:hint="eastAsia" w:ascii="宋体" w:hAnsi="宋体"/>
          <w:bCs w:val="0"/>
          <w:snapToGrid w:val="0"/>
          <w:sz w:val="24"/>
          <w:szCs w:val="24"/>
        </w:rPr>
        <w:t>的情形</w:t>
      </w:r>
      <w:bookmarkEnd w:id="552"/>
    </w:p>
    <w:p>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有下列情形之一的，招标人将重新招标：</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（1）投标截止时间止，投标人少于 3 个的；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（2）经评标委员会评审后否决所有投标的；</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w:t>
      </w:r>
      <w:r>
        <w:rPr>
          <w:rFonts w:hint="eastAsia" w:ascii="宋体" w:hAnsi="宋体"/>
          <w:snapToGrid w:val="0"/>
          <w:kern w:val="0"/>
          <w:szCs w:val="21"/>
        </w:rPr>
        <w:t>经评标委员会评审后部分投标被否决，导致有效投标人不足三个的，评标委员会应当否决所有投标。但是有效投标人的经济、技术等指标仍然具有市场竞争力，能够满足招标文件要求的，评标委员会可以继续评标并确定中标候选人</w:t>
      </w:r>
      <w:r>
        <w:rPr>
          <w:rFonts w:ascii="宋体" w:hAnsi="宋体"/>
          <w:snapToGrid w:val="0"/>
          <w:kern w:val="0"/>
          <w:szCs w:val="21"/>
        </w:rPr>
        <w:t>；</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（4）法律法规规定的其他情形。</w:t>
      </w:r>
    </w:p>
    <w:p>
      <w:pPr>
        <w:pStyle w:val="5"/>
        <w:snapToGrid w:val="0"/>
        <w:spacing w:before="0" w:after="0" w:line="360" w:lineRule="auto"/>
        <w:rPr>
          <w:rFonts w:ascii="宋体" w:hAnsi="宋体"/>
          <w:bCs w:val="0"/>
          <w:snapToGrid w:val="0"/>
          <w:sz w:val="24"/>
          <w:szCs w:val="24"/>
        </w:rPr>
      </w:pPr>
      <w:bookmarkStart w:id="553" w:name="_Toc287607791"/>
      <w:bookmarkStart w:id="554" w:name="_Toc18305"/>
      <w:bookmarkStart w:id="555" w:name="_Toc277082597"/>
      <w:bookmarkStart w:id="556" w:name="_Toc430530480"/>
      <w:bookmarkStart w:id="557" w:name="_Toc224103362"/>
      <w:bookmarkStart w:id="558" w:name="_Toc287620730"/>
      <w:bookmarkStart w:id="559" w:name="_Toc200513171"/>
      <w:bookmarkStart w:id="560" w:name="_Toc509218755"/>
      <w:r>
        <w:rPr>
          <w:rFonts w:ascii="宋体" w:hAnsi="宋体"/>
          <w:bCs w:val="0"/>
          <w:snapToGrid w:val="0"/>
          <w:sz w:val="24"/>
          <w:szCs w:val="24"/>
        </w:rPr>
        <w:t xml:space="preserve">8.2  </w:t>
      </w:r>
      <w:r>
        <w:rPr>
          <w:rFonts w:hint="eastAsia" w:ascii="宋体" w:hAnsi="宋体"/>
          <w:bCs w:val="0"/>
          <w:snapToGrid w:val="0"/>
          <w:sz w:val="24"/>
          <w:szCs w:val="24"/>
        </w:rPr>
        <w:t>重新</w:t>
      </w:r>
      <w:r>
        <w:rPr>
          <w:rFonts w:ascii="宋体" w:hAnsi="宋体"/>
          <w:bCs w:val="0"/>
          <w:snapToGrid w:val="0"/>
          <w:sz w:val="24"/>
          <w:szCs w:val="24"/>
        </w:rPr>
        <w:t>招标和不再招标</w:t>
      </w:r>
      <w:bookmarkEnd w:id="553"/>
      <w:bookmarkEnd w:id="554"/>
      <w:bookmarkEnd w:id="555"/>
      <w:bookmarkEnd w:id="556"/>
      <w:bookmarkEnd w:id="557"/>
      <w:bookmarkEnd w:id="558"/>
      <w:bookmarkEnd w:id="559"/>
      <w:bookmarkEnd w:id="560"/>
    </w:p>
    <w:p>
      <w:pPr>
        <w:autoSpaceDE w:val="0"/>
        <w:autoSpaceDN w:val="0"/>
        <w:adjustRightInd w:val="0"/>
        <w:snapToGrid w:val="0"/>
        <w:spacing w:line="360" w:lineRule="auto"/>
        <w:ind w:firstLine="420"/>
        <w:rPr>
          <w:rFonts w:ascii="宋体" w:hAnsi="宋体"/>
          <w:snapToGrid w:val="0"/>
          <w:kern w:val="0"/>
          <w:szCs w:val="21"/>
        </w:rPr>
      </w:pPr>
      <w:r>
        <w:rPr>
          <w:rFonts w:hint="eastAsia" w:ascii="宋体" w:hAnsi="宋体"/>
          <w:snapToGrid w:val="0"/>
          <w:kern w:val="0"/>
          <w:szCs w:val="21"/>
        </w:rPr>
        <w:t>重新招标的投标人仍然少于三个的，按照招标投标法律法规规定的程序开标和评标。重新招标经评审有有效投标人的，应当依法确定中标候选人；无有效投标人的，可以不再进行招标，但是按照国家有关规定需要履行审批、核准、备案手续的依法必须进行招标的项目，应当报原项目投资主管部门审批、核准、备案</w:t>
      </w:r>
      <w:r>
        <w:rPr>
          <w:rFonts w:ascii="宋体" w:hAnsi="宋体"/>
          <w:snapToGrid w:val="0"/>
          <w:kern w:val="0"/>
          <w:szCs w:val="21"/>
        </w:rPr>
        <w:t>。</w:t>
      </w:r>
    </w:p>
    <w:p>
      <w:pPr>
        <w:pStyle w:val="4"/>
        <w:spacing w:before="0" w:after="0" w:line="360" w:lineRule="auto"/>
        <w:rPr>
          <w:rFonts w:ascii="宋体" w:hAnsi="宋体"/>
          <w:bCs w:val="0"/>
          <w:snapToGrid w:val="0"/>
        </w:rPr>
      </w:pPr>
      <w:bookmarkStart w:id="561" w:name="_Toc224103363"/>
      <w:bookmarkStart w:id="562" w:name="_Toc17125"/>
      <w:bookmarkStart w:id="563" w:name="_Toc509218756"/>
      <w:bookmarkStart w:id="564" w:name="_Toc8602"/>
      <w:bookmarkStart w:id="565" w:name="_Toc277082598"/>
      <w:bookmarkStart w:id="566" w:name="_Toc200513172"/>
      <w:bookmarkStart w:id="567" w:name="_Toc15322"/>
      <w:bookmarkStart w:id="568" w:name="_Toc287607792"/>
      <w:bookmarkStart w:id="569" w:name="_Toc287620731"/>
      <w:bookmarkStart w:id="570" w:name="_Toc430530481"/>
      <w:r>
        <w:rPr>
          <w:rFonts w:ascii="宋体" w:hAnsi="宋体"/>
          <w:bCs w:val="0"/>
          <w:snapToGrid w:val="0"/>
        </w:rPr>
        <w:t>9.  纪律和监督</w:t>
      </w:r>
      <w:bookmarkEnd w:id="561"/>
      <w:bookmarkEnd w:id="562"/>
      <w:bookmarkEnd w:id="563"/>
      <w:bookmarkEnd w:id="564"/>
      <w:bookmarkEnd w:id="565"/>
      <w:bookmarkEnd w:id="566"/>
      <w:bookmarkEnd w:id="567"/>
      <w:bookmarkEnd w:id="568"/>
      <w:bookmarkEnd w:id="569"/>
      <w:bookmarkEnd w:id="570"/>
    </w:p>
    <w:p>
      <w:pPr>
        <w:pStyle w:val="5"/>
        <w:snapToGrid w:val="0"/>
        <w:spacing w:before="0" w:after="0" w:line="360" w:lineRule="auto"/>
        <w:rPr>
          <w:rFonts w:ascii="宋体" w:hAnsi="宋体"/>
          <w:bCs w:val="0"/>
          <w:snapToGrid w:val="0"/>
          <w:sz w:val="24"/>
          <w:szCs w:val="24"/>
        </w:rPr>
      </w:pPr>
      <w:bookmarkStart w:id="571" w:name="_Toc509218757"/>
      <w:bookmarkStart w:id="572" w:name="_Toc430530482"/>
      <w:bookmarkStart w:id="573" w:name="_Toc200513173"/>
      <w:bookmarkStart w:id="574" w:name="_Toc27394"/>
      <w:bookmarkStart w:id="575" w:name="_Toc287620732"/>
      <w:bookmarkStart w:id="576" w:name="_Toc277082599"/>
      <w:bookmarkStart w:id="577" w:name="_Toc287607793"/>
      <w:bookmarkStart w:id="578" w:name="_Toc224103364"/>
      <w:r>
        <w:rPr>
          <w:rFonts w:ascii="宋体" w:hAnsi="宋体"/>
          <w:bCs w:val="0"/>
          <w:snapToGrid w:val="0"/>
          <w:sz w:val="24"/>
          <w:szCs w:val="24"/>
        </w:rPr>
        <w:t>9.1  对招标人的纪律要求</w:t>
      </w:r>
      <w:bookmarkEnd w:id="571"/>
      <w:bookmarkEnd w:id="572"/>
      <w:bookmarkEnd w:id="573"/>
      <w:bookmarkEnd w:id="574"/>
      <w:bookmarkEnd w:id="575"/>
      <w:bookmarkEnd w:id="576"/>
      <w:bookmarkEnd w:id="577"/>
      <w:bookmarkEnd w:id="578"/>
    </w:p>
    <w:p>
      <w:pPr>
        <w:autoSpaceDE w:val="0"/>
        <w:autoSpaceDN w:val="0"/>
        <w:adjustRightInd w:val="0"/>
        <w:snapToGrid w:val="0"/>
        <w:spacing w:line="360" w:lineRule="auto"/>
        <w:ind w:firstLine="420"/>
        <w:rPr>
          <w:rFonts w:ascii="宋体" w:hAnsi="宋体"/>
        </w:rPr>
      </w:pPr>
      <w:r>
        <w:rPr>
          <w:rFonts w:ascii="宋体" w:hAnsi="宋体"/>
          <w:snapToGrid w:val="0"/>
          <w:kern w:val="0"/>
          <w:szCs w:val="21"/>
        </w:rPr>
        <w:t>招标人不得泄漏招标投标活动中应当保密的情况和资料，不得与投标人串通损害国家利 益、社会公共利益或者他人合法权益，</w:t>
      </w:r>
      <w:r>
        <w:rPr>
          <w:rFonts w:ascii="宋体" w:hAnsi="宋体"/>
        </w:rPr>
        <w:t>禁止招标人与投标人串通投标。</w:t>
      </w:r>
    </w:p>
    <w:p>
      <w:pPr>
        <w:autoSpaceDE w:val="0"/>
        <w:autoSpaceDN w:val="0"/>
        <w:adjustRightInd w:val="0"/>
        <w:snapToGrid w:val="0"/>
        <w:spacing w:line="360" w:lineRule="auto"/>
        <w:ind w:firstLine="420"/>
        <w:rPr>
          <w:rFonts w:ascii="宋体" w:hAnsi="宋体"/>
        </w:rPr>
      </w:pPr>
      <w:r>
        <w:rPr>
          <w:rFonts w:ascii="宋体" w:hAnsi="宋体"/>
        </w:rPr>
        <w:t>有下列情形之一的，属于招标人与投标人串通投标：</w:t>
      </w:r>
    </w:p>
    <w:p>
      <w:pPr>
        <w:autoSpaceDE w:val="0"/>
        <w:autoSpaceDN w:val="0"/>
        <w:adjustRightInd w:val="0"/>
        <w:snapToGrid w:val="0"/>
        <w:spacing w:line="360" w:lineRule="auto"/>
        <w:ind w:firstLine="420"/>
        <w:rPr>
          <w:rFonts w:ascii="宋体" w:hAnsi="宋体"/>
        </w:rPr>
      </w:pPr>
      <w:r>
        <w:rPr>
          <w:rFonts w:ascii="宋体" w:hAnsi="宋体"/>
        </w:rPr>
        <w:t>（1）招标人在开标前开启投标文件并将有关信息泄露给其他投标人</w:t>
      </w:r>
      <w:r>
        <w:rPr>
          <w:rFonts w:hint="eastAsia" w:ascii="宋体" w:hAnsi="宋体"/>
        </w:rPr>
        <w:t>；</w:t>
      </w:r>
    </w:p>
    <w:p>
      <w:pPr>
        <w:autoSpaceDE w:val="0"/>
        <w:autoSpaceDN w:val="0"/>
        <w:adjustRightInd w:val="0"/>
        <w:snapToGrid w:val="0"/>
        <w:spacing w:line="360" w:lineRule="auto"/>
        <w:ind w:firstLine="420"/>
        <w:rPr>
          <w:rFonts w:ascii="宋体" w:hAnsi="宋体"/>
        </w:rPr>
      </w:pPr>
      <w:r>
        <w:rPr>
          <w:rFonts w:ascii="宋体" w:hAnsi="宋体"/>
        </w:rPr>
        <w:t>（2）招标人直接或者间接向投标人泄露标底、评标委员会成员等信息；</w:t>
      </w:r>
    </w:p>
    <w:p>
      <w:pPr>
        <w:autoSpaceDE w:val="0"/>
        <w:autoSpaceDN w:val="0"/>
        <w:adjustRightInd w:val="0"/>
        <w:snapToGrid w:val="0"/>
        <w:spacing w:line="360" w:lineRule="auto"/>
        <w:ind w:firstLine="420"/>
        <w:rPr>
          <w:rFonts w:ascii="宋体" w:hAnsi="宋体"/>
        </w:rPr>
      </w:pPr>
      <w:r>
        <w:rPr>
          <w:rFonts w:ascii="宋体" w:hAnsi="宋体"/>
        </w:rPr>
        <w:t>（3）招标人明示或者暗示投标人压低或者抬高投标报价；</w:t>
      </w:r>
    </w:p>
    <w:p>
      <w:pPr>
        <w:autoSpaceDE w:val="0"/>
        <w:autoSpaceDN w:val="0"/>
        <w:adjustRightInd w:val="0"/>
        <w:snapToGrid w:val="0"/>
        <w:spacing w:line="360" w:lineRule="auto"/>
        <w:ind w:firstLine="420"/>
        <w:rPr>
          <w:rFonts w:ascii="宋体" w:hAnsi="宋体"/>
        </w:rPr>
      </w:pPr>
      <w:r>
        <w:rPr>
          <w:rFonts w:ascii="宋体" w:hAnsi="宋体"/>
        </w:rPr>
        <w:t>（4）招标人授意投标人撤换、修改投标文件；</w:t>
      </w:r>
    </w:p>
    <w:p>
      <w:pPr>
        <w:autoSpaceDE w:val="0"/>
        <w:autoSpaceDN w:val="0"/>
        <w:adjustRightInd w:val="0"/>
        <w:snapToGrid w:val="0"/>
        <w:spacing w:line="360" w:lineRule="auto"/>
        <w:ind w:firstLine="420"/>
        <w:rPr>
          <w:rFonts w:ascii="宋体" w:hAnsi="宋体"/>
        </w:rPr>
      </w:pPr>
      <w:r>
        <w:rPr>
          <w:rFonts w:ascii="宋体" w:hAnsi="宋体"/>
        </w:rPr>
        <w:t>（5）招标人明示或者暗示投标人为特定投标人中标提供方便；</w:t>
      </w:r>
    </w:p>
    <w:p>
      <w:pPr>
        <w:autoSpaceDE w:val="0"/>
        <w:autoSpaceDN w:val="0"/>
        <w:adjustRightInd w:val="0"/>
        <w:snapToGrid w:val="0"/>
        <w:spacing w:line="360" w:lineRule="auto"/>
        <w:ind w:firstLine="420"/>
        <w:rPr>
          <w:rFonts w:ascii="宋体" w:hAnsi="宋体"/>
          <w:snapToGrid w:val="0"/>
          <w:kern w:val="0"/>
          <w:szCs w:val="21"/>
        </w:rPr>
      </w:pPr>
      <w:r>
        <w:rPr>
          <w:rFonts w:ascii="宋体" w:hAnsi="宋体"/>
        </w:rPr>
        <w:t>（6）招标人与投标人为谋求特定投标人中标而采取的其他串通行为。</w:t>
      </w:r>
    </w:p>
    <w:p>
      <w:pPr>
        <w:pStyle w:val="5"/>
        <w:snapToGrid w:val="0"/>
        <w:spacing w:before="0" w:after="0" w:line="360" w:lineRule="auto"/>
        <w:ind w:firstLine="482" w:firstLineChars="200"/>
        <w:rPr>
          <w:rFonts w:ascii="宋体" w:hAnsi="宋体"/>
          <w:bCs w:val="0"/>
          <w:snapToGrid w:val="0"/>
          <w:sz w:val="24"/>
          <w:szCs w:val="24"/>
        </w:rPr>
      </w:pPr>
      <w:bookmarkStart w:id="579" w:name="_Toc224103365"/>
      <w:bookmarkStart w:id="580" w:name="_Toc200513174"/>
      <w:bookmarkStart w:id="581" w:name="_Toc287607794"/>
      <w:bookmarkStart w:id="582" w:name="_Toc509218758"/>
      <w:bookmarkStart w:id="583" w:name="_Toc2685"/>
      <w:bookmarkStart w:id="584" w:name="_Toc430530483"/>
      <w:bookmarkStart w:id="585" w:name="_Toc277082600"/>
      <w:bookmarkStart w:id="586" w:name="_Toc287620733"/>
      <w:r>
        <w:rPr>
          <w:rFonts w:ascii="宋体" w:hAnsi="宋体"/>
          <w:bCs w:val="0"/>
          <w:snapToGrid w:val="0"/>
          <w:sz w:val="24"/>
          <w:szCs w:val="24"/>
        </w:rPr>
        <w:t>9.2  对投标人的纪律要求</w:t>
      </w:r>
      <w:bookmarkEnd w:id="579"/>
      <w:bookmarkEnd w:id="580"/>
      <w:bookmarkEnd w:id="581"/>
      <w:bookmarkEnd w:id="582"/>
      <w:bookmarkEnd w:id="583"/>
      <w:bookmarkEnd w:id="584"/>
      <w:bookmarkEnd w:id="585"/>
      <w:bookmarkEnd w:id="586"/>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 xml:space="preserve">9.2.1  </w:t>
      </w:r>
      <w:r>
        <w:rPr>
          <w:rFonts w:ascii="宋体" w:hAnsi="宋体"/>
        </w:rPr>
        <w:t>有下列情形之一的，属于投标人相互串通投标：</w:t>
      </w:r>
    </w:p>
    <w:p>
      <w:pPr>
        <w:autoSpaceDE w:val="0"/>
        <w:autoSpaceDN w:val="0"/>
        <w:adjustRightInd w:val="0"/>
        <w:snapToGrid w:val="0"/>
        <w:spacing w:line="360" w:lineRule="auto"/>
        <w:ind w:firstLine="420" w:firstLineChars="200"/>
        <w:rPr>
          <w:rFonts w:ascii="宋体" w:hAnsi="宋体"/>
        </w:rPr>
      </w:pPr>
      <w:r>
        <w:rPr>
          <w:rFonts w:ascii="宋体" w:hAnsi="宋体"/>
        </w:rPr>
        <w:t>（1）投标人之间协商投标报价等投标文件的实质性内容；</w:t>
      </w:r>
    </w:p>
    <w:p>
      <w:pPr>
        <w:autoSpaceDE w:val="0"/>
        <w:autoSpaceDN w:val="0"/>
        <w:adjustRightInd w:val="0"/>
        <w:snapToGrid w:val="0"/>
        <w:spacing w:line="360" w:lineRule="auto"/>
        <w:ind w:firstLine="420" w:firstLineChars="200"/>
        <w:rPr>
          <w:rFonts w:ascii="宋体" w:hAnsi="宋体"/>
        </w:rPr>
      </w:pPr>
      <w:r>
        <w:rPr>
          <w:rFonts w:ascii="宋体" w:hAnsi="宋体"/>
        </w:rPr>
        <w:t>（2）投标人之间约定中标人；</w:t>
      </w:r>
    </w:p>
    <w:p>
      <w:pPr>
        <w:autoSpaceDE w:val="0"/>
        <w:autoSpaceDN w:val="0"/>
        <w:adjustRightInd w:val="0"/>
        <w:snapToGrid w:val="0"/>
        <w:spacing w:line="360" w:lineRule="auto"/>
        <w:ind w:firstLine="420" w:firstLineChars="200"/>
        <w:rPr>
          <w:rFonts w:ascii="宋体" w:hAnsi="宋体"/>
        </w:rPr>
      </w:pPr>
      <w:r>
        <w:rPr>
          <w:rFonts w:ascii="宋体" w:hAnsi="宋体"/>
        </w:rPr>
        <w:t>（3）投标人之间约定部分投标人放弃投标或者中标；</w:t>
      </w:r>
    </w:p>
    <w:p>
      <w:pPr>
        <w:autoSpaceDE w:val="0"/>
        <w:autoSpaceDN w:val="0"/>
        <w:adjustRightInd w:val="0"/>
        <w:snapToGrid w:val="0"/>
        <w:spacing w:line="360" w:lineRule="auto"/>
        <w:ind w:firstLine="420" w:firstLineChars="200"/>
        <w:rPr>
          <w:rFonts w:ascii="宋体" w:hAnsi="宋体"/>
        </w:rPr>
      </w:pPr>
      <w:r>
        <w:rPr>
          <w:rFonts w:ascii="宋体" w:hAnsi="宋体"/>
        </w:rPr>
        <w:t>（4）属于同一集团、协会、商会等组织成员的投标人按照该组织要求协同投标；</w:t>
      </w:r>
    </w:p>
    <w:p>
      <w:pPr>
        <w:autoSpaceDE w:val="0"/>
        <w:autoSpaceDN w:val="0"/>
        <w:adjustRightInd w:val="0"/>
        <w:snapToGrid w:val="0"/>
        <w:spacing w:line="360" w:lineRule="auto"/>
        <w:ind w:firstLine="420" w:firstLineChars="200"/>
        <w:rPr>
          <w:rFonts w:ascii="宋体" w:hAnsi="宋体"/>
        </w:rPr>
      </w:pPr>
      <w:r>
        <w:rPr>
          <w:rFonts w:ascii="宋体" w:hAnsi="宋体"/>
        </w:rPr>
        <w:t>（5）投标人之间为谋取中标或者排斥特定投标人而采取的其他联合行动。</w:t>
      </w:r>
    </w:p>
    <w:p>
      <w:pPr>
        <w:autoSpaceDE w:val="0"/>
        <w:autoSpaceDN w:val="0"/>
        <w:adjustRightInd w:val="0"/>
        <w:snapToGrid w:val="0"/>
        <w:spacing w:line="360" w:lineRule="auto"/>
        <w:ind w:firstLine="420" w:firstLineChars="200"/>
        <w:rPr>
          <w:rFonts w:ascii="宋体" w:hAnsi="宋体"/>
        </w:rPr>
      </w:pPr>
      <w:r>
        <w:rPr>
          <w:rFonts w:hint="eastAsia" w:ascii="宋体" w:hAnsi="宋体"/>
        </w:rPr>
        <w:t xml:space="preserve">9.2.2  </w:t>
      </w:r>
      <w:r>
        <w:rPr>
          <w:rFonts w:ascii="宋体" w:hAnsi="宋体"/>
        </w:rPr>
        <w:t>有下列情形之一的，视为投标人相互串通投标：</w:t>
      </w:r>
    </w:p>
    <w:p>
      <w:pPr>
        <w:autoSpaceDE w:val="0"/>
        <w:autoSpaceDN w:val="0"/>
        <w:adjustRightInd w:val="0"/>
        <w:snapToGrid w:val="0"/>
        <w:spacing w:line="360" w:lineRule="auto"/>
        <w:ind w:firstLine="420" w:firstLineChars="200"/>
        <w:rPr>
          <w:rFonts w:ascii="宋体" w:hAnsi="宋体"/>
        </w:rPr>
      </w:pPr>
      <w:r>
        <w:rPr>
          <w:rFonts w:ascii="宋体" w:hAnsi="宋体"/>
        </w:rPr>
        <w:t>（1）不同投标人的投标文件由同一单位或者个人编制；</w:t>
      </w:r>
    </w:p>
    <w:p>
      <w:pPr>
        <w:autoSpaceDE w:val="0"/>
        <w:autoSpaceDN w:val="0"/>
        <w:adjustRightInd w:val="0"/>
        <w:snapToGrid w:val="0"/>
        <w:spacing w:line="360" w:lineRule="auto"/>
        <w:ind w:firstLine="420" w:firstLineChars="200"/>
        <w:rPr>
          <w:rFonts w:ascii="宋体" w:hAnsi="宋体"/>
        </w:rPr>
      </w:pPr>
      <w:r>
        <w:rPr>
          <w:rFonts w:ascii="宋体" w:hAnsi="宋体"/>
        </w:rPr>
        <w:t>（2）不同投标人委托同一单位或者个人办理投标事宜；</w:t>
      </w:r>
    </w:p>
    <w:p>
      <w:pPr>
        <w:autoSpaceDE w:val="0"/>
        <w:autoSpaceDN w:val="0"/>
        <w:adjustRightInd w:val="0"/>
        <w:snapToGrid w:val="0"/>
        <w:spacing w:line="360" w:lineRule="auto"/>
        <w:ind w:firstLine="420" w:firstLineChars="200"/>
        <w:rPr>
          <w:rFonts w:ascii="宋体" w:hAnsi="宋体"/>
        </w:rPr>
      </w:pPr>
      <w:r>
        <w:rPr>
          <w:rFonts w:ascii="宋体" w:hAnsi="宋体"/>
        </w:rPr>
        <w:t>（3）不同投标人的投标文件载明的项目管理成员为同一人；</w:t>
      </w:r>
    </w:p>
    <w:p>
      <w:pPr>
        <w:autoSpaceDE w:val="0"/>
        <w:autoSpaceDN w:val="0"/>
        <w:adjustRightInd w:val="0"/>
        <w:snapToGrid w:val="0"/>
        <w:spacing w:line="360" w:lineRule="auto"/>
        <w:ind w:firstLine="420" w:firstLineChars="200"/>
        <w:rPr>
          <w:rFonts w:ascii="宋体" w:hAnsi="宋体"/>
        </w:rPr>
      </w:pPr>
      <w:r>
        <w:rPr>
          <w:rFonts w:ascii="宋体" w:hAnsi="宋体"/>
        </w:rPr>
        <w:t>（4）不同投标人的投标文件异常一致或者投标报价呈规律性差异；</w:t>
      </w:r>
    </w:p>
    <w:p>
      <w:pPr>
        <w:autoSpaceDE w:val="0"/>
        <w:autoSpaceDN w:val="0"/>
        <w:adjustRightInd w:val="0"/>
        <w:snapToGrid w:val="0"/>
        <w:spacing w:line="360" w:lineRule="auto"/>
        <w:ind w:firstLine="420" w:firstLineChars="200"/>
        <w:rPr>
          <w:rFonts w:ascii="宋体" w:hAnsi="宋体"/>
        </w:rPr>
      </w:pPr>
      <w:r>
        <w:rPr>
          <w:rFonts w:ascii="宋体" w:hAnsi="宋体"/>
        </w:rPr>
        <w:t>（5）不同投标人的投标文件相互混装；</w:t>
      </w:r>
    </w:p>
    <w:p>
      <w:pPr>
        <w:autoSpaceDE w:val="0"/>
        <w:autoSpaceDN w:val="0"/>
        <w:adjustRightInd w:val="0"/>
        <w:snapToGrid w:val="0"/>
        <w:spacing w:line="360" w:lineRule="auto"/>
        <w:ind w:firstLine="420" w:firstLineChars="200"/>
        <w:rPr>
          <w:rFonts w:ascii="宋体" w:hAnsi="宋体"/>
        </w:rPr>
      </w:pPr>
      <w:r>
        <w:rPr>
          <w:rFonts w:ascii="宋体" w:hAnsi="宋体"/>
        </w:rPr>
        <w:t>（6）不同投标人的投标保证金从同一单位或者个人的账户转出</w:t>
      </w:r>
      <w:r>
        <w:rPr>
          <w:rFonts w:hint="eastAsia" w:ascii="宋体" w:hAnsi="宋体"/>
        </w:rPr>
        <w:t>；</w:t>
      </w:r>
    </w:p>
    <w:p>
      <w:pPr>
        <w:autoSpaceDE w:val="0"/>
        <w:autoSpaceDN w:val="0"/>
        <w:adjustRightInd w:val="0"/>
        <w:snapToGrid w:val="0"/>
        <w:spacing w:line="360" w:lineRule="auto"/>
        <w:ind w:firstLine="420" w:firstLineChars="200"/>
        <w:rPr>
          <w:rFonts w:ascii="宋体" w:hAnsi="宋体"/>
        </w:rPr>
      </w:pPr>
      <w:r>
        <w:rPr>
          <w:rFonts w:hint="eastAsia" w:ascii="宋体" w:hAnsi="宋体"/>
        </w:rPr>
        <w:t>（7）不同投标人的电子投标文件</w:t>
      </w:r>
      <w:r>
        <w:rPr>
          <w:rFonts w:hint="eastAsia" w:ascii="宋体" w:hAnsi="宋体"/>
          <w:lang w:val="en-US" w:eastAsia="zh-CN"/>
        </w:rPr>
        <w:t>制作机器码</w:t>
      </w:r>
      <w:r>
        <w:rPr>
          <w:rFonts w:hint="eastAsia" w:ascii="宋体" w:hAnsi="宋体"/>
        </w:rPr>
        <w:t>相同。</w:t>
      </w:r>
    </w:p>
    <w:p>
      <w:pPr>
        <w:autoSpaceDE w:val="0"/>
        <w:autoSpaceDN w:val="0"/>
        <w:adjustRightInd w:val="0"/>
        <w:snapToGrid w:val="0"/>
        <w:spacing w:line="360" w:lineRule="auto"/>
        <w:ind w:firstLine="420" w:firstLineChars="200"/>
        <w:rPr>
          <w:rFonts w:ascii="宋体" w:hAnsi="宋体"/>
        </w:rPr>
      </w:pPr>
      <w:r>
        <w:rPr>
          <w:rFonts w:hint="eastAsia" w:ascii="宋体" w:hAnsi="宋体"/>
        </w:rPr>
        <w:t xml:space="preserve">9.2.3  </w:t>
      </w:r>
      <w:r>
        <w:rPr>
          <w:rFonts w:ascii="宋体" w:hAnsi="宋体"/>
        </w:rPr>
        <w:t>使用通过受让或者租借等方式获取的资格、资质证书投标的，属于以他人名义投标。</w:t>
      </w:r>
    </w:p>
    <w:p>
      <w:pPr>
        <w:autoSpaceDE w:val="0"/>
        <w:autoSpaceDN w:val="0"/>
        <w:adjustRightInd w:val="0"/>
        <w:snapToGrid w:val="0"/>
        <w:spacing w:line="360" w:lineRule="auto"/>
        <w:ind w:firstLine="420" w:firstLineChars="200"/>
        <w:rPr>
          <w:rFonts w:ascii="宋体" w:hAnsi="宋体"/>
        </w:rPr>
      </w:pPr>
      <w:r>
        <w:rPr>
          <w:rFonts w:hint="eastAsia" w:ascii="宋体" w:hAnsi="宋体"/>
        </w:rPr>
        <w:t xml:space="preserve">9.2.4  </w:t>
      </w:r>
      <w:r>
        <w:rPr>
          <w:rFonts w:ascii="宋体" w:hAnsi="宋体"/>
        </w:rPr>
        <w:t>投标人有下列情形之一的，属于以其他方式弄虚作假的行为：</w:t>
      </w:r>
    </w:p>
    <w:p>
      <w:pPr>
        <w:autoSpaceDE w:val="0"/>
        <w:autoSpaceDN w:val="0"/>
        <w:adjustRightInd w:val="0"/>
        <w:snapToGrid w:val="0"/>
        <w:spacing w:line="360" w:lineRule="auto"/>
        <w:ind w:firstLine="420" w:firstLineChars="200"/>
        <w:rPr>
          <w:rFonts w:ascii="宋体" w:hAnsi="宋体"/>
        </w:rPr>
      </w:pPr>
      <w:r>
        <w:rPr>
          <w:rFonts w:hint="eastAsia" w:ascii="宋体" w:hAnsi="宋体"/>
        </w:rPr>
        <w:t>（1）</w:t>
      </w:r>
      <w:r>
        <w:rPr>
          <w:rFonts w:ascii="宋体" w:hAnsi="宋体"/>
        </w:rPr>
        <w:t>使用伪造、变造的许可证件；</w:t>
      </w:r>
    </w:p>
    <w:p>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2</w:t>
      </w:r>
      <w:r>
        <w:rPr>
          <w:rFonts w:ascii="宋体" w:hAnsi="宋体"/>
        </w:rPr>
        <w:t>）提供虚假的财务状况或者业绩；</w:t>
      </w:r>
    </w:p>
    <w:p>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3</w:t>
      </w:r>
      <w:r>
        <w:rPr>
          <w:rFonts w:ascii="宋体" w:hAnsi="宋体"/>
        </w:rPr>
        <w:t>）提供虚假的项目负责人或者主要技术人员简历、劳动关系证明；</w:t>
      </w:r>
    </w:p>
    <w:p>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4</w:t>
      </w:r>
      <w:r>
        <w:rPr>
          <w:rFonts w:ascii="宋体" w:hAnsi="宋体"/>
        </w:rPr>
        <w:t>）提供虚假的信用状况；</w:t>
      </w:r>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rPr>
        <w:t>（</w:t>
      </w:r>
      <w:r>
        <w:rPr>
          <w:rFonts w:hint="eastAsia" w:ascii="宋体" w:hAnsi="宋体"/>
        </w:rPr>
        <w:t>5</w:t>
      </w:r>
      <w:r>
        <w:rPr>
          <w:rFonts w:ascii="宋体" w:hAnsi="宋体"/>
        </w:rPr>
        <w:t>）其他弄虚作假的行为。</w:t>
      </w:r>
    </w:p>
    <w:p>
      <w:pPr>
        <w:pStyle w:val="5"/>
        <w:snapToGrid w:val="0"/>
        <w:spacing w:before="0" w:after="0" w:line="360" w:lineRule="auto"/>
        <w:rPr>
          <w:rFonts w:ascii="宋体" w:hAnsi="宋体"/>
          <w:bCs w:val="0"/>
          <w:snapToGrid w:val="0"/>
          <w:sz w:val="24"/>
          <w:szCs w:val="24"/>
        </w:rPr>
      </w:pPr>
      <w:bookmarkStart w:id="587" w:name="_Toc509218759"/>
      <w:bookmarkStart w:id="588" w:name="_Toc430530484"/>
      <w:bookmarkStart w:id="589" w:name="_Toc28805"/>
      <w:bookmarkStart w:id="590" w:name="_Toc200513175"/>
      <w:bookmarkStart w:id="591" w:name="_Toc287620734"/>
      <w:bookmarkStart w:id="592" w:name="_Toc287607795"/>
      <w:bookmarkStart w:id="593" w:name="_Toc224103366"/>
      <w:bookmarkStart w:id="594" w:name="_Toc277082601"/>
      <w:r>
        <w:rPr>
          <w:rFonts w:ascii="宋体" w:hAnsi="宋体"/>
          <w:bCs w:val="0"/>
          <w:snapToGrid w:val="0"/>
          <w:sz w:val="24"/>
          <w:szCs w:val="24"/>
        </w:rPr>
        <w:t>9.3  对评标委员会成员的纪律要求</w:t>
      </w:r>
      <w:bookmarkEnd w:id="587"/>
      <w:bookmarkEnd w:id="588"/>
      <w:bookmarkEnd w:id="589"/>
      <w:bookmarkEnd w:id="590"/>
      <w:bookmarkEnd w:id="591"/>
      <w:bookmarkEnd w:id="592"/>
      <w:bookmarkEnd w:id="593"/>
      <w:bookmarkEnd w:id="594"/>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r>
        <w:rPr>
          <w:rFonts w:hint="eastAsia" w:ascii="宋体" w:hAnsi="宋体"/>
          <w:snapToGrid w:val="0"/>
          <w:kern w:val="0"/>
          <w:szCs w:val="21"/>
        </w:rPr>
        <w:t>，不得对招标文件中《否决投标情况一览表》以外的内容予以否决投标，否则对评标委员会成员按《重庆市综合评标专家库和评标专家管理暂行办法》进行处理。</w:t>
      </w:r>
    </w:p>
    <w:p>
      <w:pPr>
        <w:pStyle w:val="5"/>
        <w:snapToGrid w:val="0"/>
        <w:spacing w:before="0" w:after="0" w:line="360" w:lineRule="auto"/>
        <w:rPr>
          <w:rFonts w:ascii="宋体" w:hAnsi="宋体"/>
          <w:bCs w:val="0"/>
          <w:snapToGrid w:val="0"/>
          <w:sz w:val="24"/>
          <w:szCs w:val="24"/>
        </w:rPr>
      </w:pPr>
      <w:bookmarkStart w:id="595" w:name="_Toc277082602"/>
      <w:bookmarkStart w:id="596" w:name="_Toc287607796"/>
      <w:bookmarkStart w:id="597" w:name="_Toc509218760"/>
      <w:bookmarkStart w:id="598" w:name="_Toc200513176"/>
      <w:bookmarkStart w:id="599" w:name="_Toc430530485"/>
      <w:bookmarkStart w:id="600" w:name="_Toc3379"/>
      <w:bookmarkStart w:id="601" w:name="_Toc224103367"/>
      <w:bookmarkStart w:id="602" w:name="_Toc287620735"/>
      <w:r>
        <w:rPr>
          <w:rFonts w:ascii="宋体" w:hAnsi="宋体"/>
          <w:bCs w:val="0"/>
          <w:snapToGrid w:val="0"/>
          <w:sz w:val="24"/>
          <w:szCs w:val="24"/>
        </w:rPr>
        <w:t>9.4  对与评标活动有关的工作人员的纪律要求</w:t>
      </w:r>
      <w:bookmarkEnd w:id="595"/>
      <w:bookmarkEnd w:id="596"/>
      <w:bookmarkEnd w:id="597"/>
      <w:bookmarkEnd w:id="598"/>
      <w:bookmarkEnd w:id="599"/>
      <w:bookmarkEnd w:id="600"/>
      <w:bookmarkEnd w:id="601"/>
      <w:bookmarkEnd w:id="602"/>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与评标活动有关的工作人员不得收受他人的财物或者其他好处，不得向他人透漏对投标文件的评审和比较、中标候选人的推荐情况以及与评标有关的其他情况。在评标活动中，与评标活动有关的工作人员不得擅离职守，影响评标程序正常进行。</w:t>
      </w:r>
    </w:p>
    <w:p>
      <w:pPr>
        <w:pStyle w:val="5"/>
        <w:snapToGrid w:val="0"/>
        <w:spacing w:before="0" w:after="0" w:line="360" w:lineRule="auto"/>
        <w:rPr>
          <w:rFonts w:ascii="宋体" w:hAnsi="宋体"/>
          <w:bCs w:val="0"/>
          <w:snapToGrid w:val="0"/>
          <w:sz w:val="24"/>
          <w:szCs w:val="24"/>
        </w:rPr>
      </w:pPr>
      <w:bookmarkStart w:id="603" w:name="_Toc13900"/>
      <w:bookmarkStart w:id="604" w:name="_Toc287607797"/>
      <w:bookmarkStart w:id="605" w:name="_Toc224103368"/>
      <w:bookmarkStart w:id="606" w:name="_Toc200513177"/>
      <w:bookmarkStart w:id="607" w:name="_Toc277082603"/>
      <w:bookmarkStart w:id="608" w:name="_Toc509218761"/>
      <w:bookmarkStart w:id="609" w:name="_Toc287620736"/>
      <w:bookmarkStart w:id="610" w:name="_Toc430530486"/>
      <w:r>
        <w:rPr>
          <w:rFonts w:ascii="宋体" w:hAnsi="宋体"/>
          <w:bCs w:val="0"/>
          <w:snapToGrid w:val="0"/>
          <w:sz w:val="24"/>
          <w:szCs w:val="24"/>
        </w:rPr>
        <w:t>9.5  投诉</w:t>
      </w:r>
      <w:bookmarkEnd w:id="603"/>
      <w:bookmarkEnd w:id="604"/>
      <w:bookmarkEnd w:id="605"/>
      <w:bookmarkEnd w:id="606"/>
      <w:bookmarkEnd w:id="607"/>
      <w:bookmarkEnd w:id="608"/>
      <w:bookmarkEnd w:id="609"/>
      <w:bookmarkEnd w:id="610"/>
    </w:p>
    <w:p>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投标人和其他利害关系人认为本次招标活动违反法律、法规和规章规定的，有权向有关行政监督部门投诉。</w:t>
      </w:r>
    </w:p>
    <w:p>
      <w:pPr>
        <w:pStyle w:val="4"/>
        <w:spacing w:before="0" w:after="0" w:line="360" w:lineRule="auto"/>
        <w:rPr>
          <w:rFonts w:ascii="宋体" w:hAnsi="宋体"/>
          <w:bCs w:val="0"/>
          <w:snapToGrid w:val="0"/>
        </w:rPr>
      </w:pPr>
      <w:bookmarkStart w:id="611" w:name="_Toc7475"/>
      <w:bookmarkStart w:id="612" w:name="_Toc430530487"/>
      <w:bookmarkStart w:id="613" w:name="_Toc509218762"/>
      <w:bookmarkStart w:id="614" w:name="_Toc200513178"/>
      <w:bookmarkStart w:id="615" w:name="_Toc14933"/>
      <w:bookmarkStart w:id="616" w:name="_Toc287620737"/>
      <w:bookmarkStart w:id="617" w:name="_Toc15174"/>
      <w:bookmarkStart w:id="618" w:name="_Toc287607798"/>
      <w:bookmarkStart w:id="619" w:name="_Toc277082604"/>
      <w:bookmarkStart w:id="620" w:name="_Toc224103369"/>
      <w:r>
        <w:rPr>
          <w:rFonts w:ascii="宋体" w:hAnsi="宋体"/>
          <w:bCs w:val="0"/>
          <w:snapToGrid w:val="0"/>
        </w:rPr>
        <w:t>10. 需要补充的其他内容</w:t>
      </w:r>
      <w:bookmarkEnd w:id="611"/>
      <w:bookmarkEnd w:id="612"/>
      <w:bookmarkEnd w:id="613"/>
      <w:bookmarkEnd w:id="614"/>
      <w:bookmarkEnd w:id="615"/>
      <w:bookmarkEnd w:id="616"/>
      <w:bookmarkEnd w:id="617"/>
      <w:bookmarkEnd w:id="618"/>
      <w:bookmarkEnd w:id="619"/>
      <w:bookmarkEnd w:id="620"/>
    </w:p>
    <w:p>
      <w:pPr>
        <w:autoSpaceDE w:val="0"/>
        <w:autoSpaceDN w:val="0"/>
        <w:adjustRightInd w:val="0"/>
        <w:snapToGrid w:val="0"/>
        <w:spacing w:line="360" w:lineRule="auto"/>
        <w:ind w:firstLine="420" w:firstLineChars="200"/>
        <w:rPr>
          <w:rFonts w:ascii="宋体" w:hAnsi="宋体"/>
          <w:snapToGrid w:val="0"/>
          <w:kern w:val="0"/>
          <w:szCs w:val="21"/>
        </w:rPr>
        <w:sectPr>
          <w:footerReference r:id="rId9" w:type="default"/>
          <w:footerReference r:id="rId10" w:type="even"/>
          <w:pgSz w:w="11906" w:h="16838"/>
          <w:pgMar w:top="1304" w:right="1134" w:bottom="1304" w:left="1304" w:header="851" w:footer="992" w:gutter="0"/>
          <w:cols w:space="720" w:num="1"/>
          <w:docGrid w:type="lines" w:linePitch="312" w:charSpace="0"/>
        </w:sectPr>
      </w:pPr>
      <w:r>
        <w:rPr>
          <w:rFonts w:ascii="宋体" w:hAnsi="宋体"/>
          <w:snapToGrid w:val="0"/>
          <w:kern w:val="0"/>
          <w:szCs w:val="21"/>
        </w:rPr>
        <w:t>需要补充的其他内容：见投标人须知前附表。</w:t>
      </w:r>
    </w:p>
    <w:p>
      <w:pPr>
        <w:autoSpaceDE w:val="0"/>
        <w:autoSpaceDN w:val="0"/>
        <w:adjustRightInd w:val="0"/>
        <w:snapToGrid w:val="0"/>
        <w:spacing w:line="360" w:lineRule="auto"/>
        <w:ind w:firstLine="420" w:firstLineChars="200"/>
        <w:rPr>
          <w:rFonts w:ascii="宋体" w:hAnsi="宋体"/>
          <w:snapToGrid w:val="0"/>
          <w:kern w:val="0"/>
          <w:szCs w:val="21"/>
        </w:rPr>
      </w:pPr>
    </w:p>
    <w:p>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rPr>
        <w:t>附表一：开标记录表</w:t>
      </w:r>
    </w:p>
    <w:p>
      <w:pPr>
        <w:autoSpaceDE w:val="0"/>
        <w:autoSpaceDN w:val="0"/>
        <w:adjustRightInd w:val="0"/>
        <w:snapToGrid w:val="0"/>
        <w:spacing w:line="360" w:lineRule="auto"/>
        <w:jc w:val="left"/>
        <w:rPr>
          <w:rFonts w:ascii="宋体" w:hAnsi="宋体"/>
          <w:b/>
          <w:snapToGrid w:val="0"/>
          <w:kern w:val="0"/>
        </w:rPr>
      </w:pPr>
    </w:p>
    <w:p>
      <w:pPr>
        <w:tabs>
          <w:tab w:val="left" w:pos="3529"/>
          <w:tab w:val="left" w:pos="5060"/>
        </w:tabs>
        <w:autoSpaceDE w:val="0"/>
        <w:autoSpaceDN w:val="0"/>
        <w:adjustRightInd w:val="0"/>
        <w:snapToGrid w:val="0"/>
        <w:spacing w:line="360" w:lineRule="auto"/>
        <w:ind w:firstLine="3324" w:firstLineChars="600"/>
        <w:jc w:val="left"/>
        <w:rPr>
          <w:rFonts w:ascii="宋体" w:hAnsi="宋体"/>
          <w:b/>
          <w:snapToGrid w:val="0"/>
          <w:kern w:val="0"/>
          <w:sz w:val="28"/>
          <w:szCs w:val="28"/>
        </w:rPr>
      </w:pPr>
      <w:r>
        <w:rPr>
          <w:rFonts w:hint="eastAsia" w:ascii="宋体" w:hAnsi="宋体" w:cs="MingLiU"/>
          <w:snapToGrid w:val="0"/>
          <w:w w:val="198"/>
          <w:kern w:val="0"/>
          <w:sz w:val="28"/>
          <w:szCs w:val="28"/>
          <w:u w:val="single"/>
        </w:rPr>
        <w:t xml:space="preserve">              </w:t>
      </w:r>
      <w:r>
        <w:rPr>
          <w:rFonts w:hint="eastAsia" w:ascii="宋体" w:hAnsi="宋体"/>
          <w:snapToGrid w:val="0"/>
          <w:kern w:val="0"/>
          <w:sz w:val="28"/>
          <w:szCs w:val="28"/>
          <w:u w:val="single"/>
        </w:rPr>
        <w:t xml:space="preserve"> </w:t>
      </w:r>
      <w:r>
        <w:rPr>
          <w:rFonts w:ascii="宋体" w:hAnsi="宋体"/>
          <w:b/>
          <w:snapToGrid w:val="0"/>
          <w:w w:val="99"/>
          <w:kern w:val="0"/>
          <w:sz w:val="28"/>
          <w:szCs w:val="28"/>
          <w:u w:val="single"/>
        </w:rPr>
        <w:t>（项目名称）</w:t>
      </w:r>
      <w:r>
        <w:rPr>
          <w:rFonts w:ascii="宋体" w:hAnsi="宋体"/>
          <w:b/>
          <w:snapToGrid w:val="0"/>
          <w:w w:val="99"/>
          <w:kern w:val="0"/>
          <w:sz w:val="28"/>
          <w:szCs w:val="28"/>
        </w:rPr>
        <w:t>开标记录表</w:t>
      </w:r>
    </w:p>
    <w:p>
      <w:pPr>
        <w:tabs>
          <w:tab w:val="left" w:pos="2260"/>
          <w:tab w:val="left" w:pos="5060"/>
        </w:tabs>
        <w:autoSpaceDE w:val="0"/>
        <w:autoSpaceDN w:val="0"/>
        <w:adjustRightInd w:val="0"/>
        <w:snapToGrid w:val="0"/>
        <w:spacing w:line="360" w:lineRule="auto"/>
        <w:jc w:val="right"/>
        <w:rPr>
          <w:rFonts w:ascii="宋体" w:hAnsi="宋体"/>
          <w:snapToGrid w:val="0"/>
          <w:kern w:val="0"/>
          <w:szCs w:val="21"/>
        </w:rPr>
      </w:pPr>
      <w:r>
        <w:rPr>
          <w:rFonts w:ascii="宋体" w:hAnsi="宋体"/>
          <w:b/>
          <w:snapToGrid w:val="0"/>
          <w:kern w:val="0"/>
          <w:sz w:val="28"/>
          <w:szCs w:val="28"/>
        </w:rPr>
        <w:t xml:space="preserve">                             </w:t>
      </w:r>
      <w:r>
        <w:rPr>
          <w:rFonts w:ascii="宋体" w:hAnsi="宋体"/>
          <w:snapToGrid w:val="0"/>
          <w:kern w:val="0"/>
          <w:szCs w:val="21"/>
        </w:rPr>
        <w:t>开标时间：</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年</w:t>
      </w:r>
      <w:r>
        <w:rPr>
          <w:rFonts w:hint="eastAsia" w:ascii="宋体" w:hAnsi="宋体"/>
          <w:snapToGrid w:val="0"/>
          <w:kern w:val="0"/>
          <w:szCs w:val="21"/>
          <w:u w:val="single"/>
        </w:rPr>
        <w:t xml:space="preserve">     </w:t>
      </w:r>
      <w:r>
        <w:rPr>
          <w:rFonts w:hint="eastAsia" w:ascii="宋体" w:hAnsi="宋体" w:cs="MingLiU"/>
          <w:snapToGrid w:val="0"/>
          <w:kern w:val="0"/>
          <w:szCs w:val="21"/>
        </w:rPr>
        <w:t>月</w:t>
      </w:r>
      <w:r>
        <w:rPr>
          <w:rFonts w:hint="eastAsia" w:ascii="宋体" w:hAnsi="宋体"/>
          <w:snapToGrid w:val="0"/>
          <w:kern w:val="0"/>
          <w:szCs w:val="21"/>
          <w:u w:val="single"/>
        </w:rPr>
        <w:t xml:space="preserve">     </w:t>
      </w:r>
      <w:r>
        <w:rPr>
          <w:rFonts w:hint="eastAsia" w:ascii="宋体" w:hAnsi="宋体" w:cs="MingLiU"/>
          <w:snapToGrid w:val="0"/>
          <w:kern w:val="0"/>
          <w:szCs w:val="21"/>
        </w:rPr>
        <w:t>日</w:t>
      </w:r>
      <w:r>
        <w:rPr>
          <w:rFonts w:hint="eastAsia" w:ascii="宋体" w:hAnsi="宋体"/>
          <w:snapToGrid w:val="0"/>
          <w:kern w:val="0"/>
          <w:szCs w:val="21"/>
          <w:u w:val="single"/>
        </w:rPr>
        <w:t xml:space="preserve">     </w:t>
      </w:r>
      <w:r>
        <w:rPr>
          <w:rFonts w:hint="eastAsia" w:ascii="宋体" w:hAnsi="宋体" w:cs="MingLiU"/>
          <w:snapToGrid w:val="0"/>
          <w:kern w:val="0"/>
          <w:szCs w:val="21"/>
        </w:rPr>
        <w:t>时</w:t>
      </w:r>
      <w:r>
        <w:rPr>
          <w:rFonts w:hint="eastAsia" w:ascii="宋体" w:hAnsi="宋体"/>
          <w:snapToGrid w:val="0"/>
          <w:kern w:val="0"/>
          <w:szCs w:val="21"/>
          <w:u w:val="single"/>
        </w:rPr>
        <w:t xml:space="preserve">     </w:t>
      </w:r>
      <w:r>
        <w:rPr>
          <w:rFonts w:hint="eastAsia" w:ascii="宋体" w:hAnsi="宋体" w:cs="MingLiU"/>
          <w:snapToGrid w:val="0"/>
          <w:kern w:val="0"/>
          <w:szCs w:val="21"/>
        </w:rPr>
        <w:t>分</w:t>
      </w:r>
    </w:p>
    <w:tbl>
      <w:tblPr>
        <w:tblStyle w:val="54"/>
        <w:tblW w:w="13757"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33"/>
        <w:gridCol w:w="3260"/>
        <w:gridCol w:w="1134"/>
        <w:gridCol w:w="1559"/>
        <w:gridCol w:w="1560"/>
        <w:gridCol w:w="1275"/>
        <w:gridCol w:w="993"/>
        <w:gridCol w:w="1285"/>
        <w:gridCol w:w="947"/>
        <w:gridCol w:w="131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jc w:val="center"/>
        </w:trPr>
        <w:tc>
          <w:tcPr>
            <w:tcW w:w="433"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序号</w:t>
            </w:r>
          </w:p>
        </w:tc>
        <w:tc>
          <w:tcPr>
            <w:tcW w:w="3260"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投标人</w:t>
            </w:r>
          </w:p>
        </w:tc>
        <w:tc>
          <w:tcPr>
            <w:tcW w:w="1134" w:type="dxa"/>
            <w:vAlign w:val="center"/>
          </w:tcPr>
          <w:p>
            <w:pPr>
              <w:autoSpaceDE w:val="0"/>
              <w:autoSpaceDN w:val="0"/>
              <w:adjustRightInd w:val="0"/>
              <w:snapToGrid w:val="0"/>
              <w:jc w:val="center"/>
              <w:rPr>
                <w:rFonts w:ascii="宋体" w:hAnsi="宋体"/>
                <w:snapToGrid w:val="0"/>
                <w:kern w:val="0"/>
                <w:szCs w:val="21"/>
              </w:rPr>
            </w:pPr>
            <w:r>
              <w:rPr>
                <w:rFonts w:hint="eastAsia" w:ascii="宋体" w:hAnsi="宋体"/>
                <w:snapToGrid w:val="0"/>
                <w:kern w:val="0"/>
                <w:szCs w:val="21"/>
              </w:rPr>
              <w:t>解密情况</w:t>
            </w:r>
          </w:p>
        </w:tc>
        <w:tc>
          <w:tcPr>
            <w:tcW w:w="1559" w:type="dxa"/>
            <w:tcBorders>
              <w:right w:val="single" w:color="auto" w:sz="4" w:space="0"/>
            </w:tcBorders>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投标总报价</w:t>
            </w:r>
          </w:p>
        </w:tc>
        <w:tc>
          <w:tcPr>
            <w:tcW w:w="1560" w:type="dxa"/>
            <w:tcBorders>
              <w:left w:val="single" w:color="auto" w:sz="4" w:space="0"/>
            </w:tcBorders>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安全文明施工费暂定金额</w:t>
            </w:r>
          </w:p>
        </w:tc>
        <w:tc>
          <w:tcPr>
            <w:tcW w:w="1275"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质量目标</w:t>
            </w:r>
          </w:p>
        </w:tc>
        <w:tc>
          <w:tcPr>
            <w:tcW w:w="993"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工期</w:t>
            </w:r>
          </w:p>
        </w:tc>
        <w:tc>
          <w:tcPr>
            <w:tcW w:w="1285"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项目经理</w:t>
            </w:r>
          </w:p>
        </w:tc>
        <w:tc>
          <w:tcPr>
            <w:tcW w:w="947"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备注</w:t>
            </w:r>
          </w:p>
        </w:tc>
        <w:tc>
          <w:tcPr>
            <w:tcW w:w="1311" w:type="dxa"/>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签名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jc w:val="center"/>
        </w:trPr>
        <w:tc>
          <w:tcPr>
            <w:tcW w:w="433" w:type="dxa"/>
            <w:vAlign w:val="center"/>
          </w:tcPr>
          <w:p>
            <w:pPr>
              <w:autoSpaceDE w:val="0"/>
              <w:autoSpaceDN w:val="0"/>
              <w:adjustRightInd w:val="0"/>
              <w:snapToGrid w:val="0"/>
              <w:jc w:val="left"/>
              <w:rPr>
                <w:rFonts w:ascii="宋体" w:hAnsi="宋体"/>
                <w:snapToGrid w:val="0"/>
                <w:kern w:val="0"/>
                <w:sz w:val="28"/>
                <w:szCs w:val="28"/>
              </w:rPr>
            </w:pPr>
          </w:p>
        </w:tc>
        <w:tc>
          <w:tcPr>
            <w:tcW w:w="3260" w:type="dxa"/>
            <w:vAlign w:val="center"/>
          </w:tcPr>
          <w:p>
            <w:pPr>
              <w:autoSpaceDE w:val="0"/>
              <w:autoSpaceDN w:val="0"/>
              <w:adjustRightInd w:val="0"/>
              <w:snapToGrid w:val="0"/>
              <w:jc w:val="left"/>
              <w:rPr>
                <w:rFonts w:ascii="宋体" w:hAnsi="宋体"/>
                <w:snapToGrid w:val="0"/>
                <w:kern w:val="0"/>
                <w:sz w:val="28"/>
                <w:szCs w:val="28"/>
              </w:rPr>
            </w:pPr>
          </w:p>
        </w:tc>
        <w:tc>
          <w:tcPr>
            <w:tcW w:w="1134" w:type="dxa"/>
            <w:vAlign w:val="center"/>
          </w:tcPr>
          <w:p>
            <w:pPr>
              <w:autoSpaceDE w:val="0"/>
              <w:autoSpaceDN w:val="0"/>
              <w:adjustRightInd w:val="0"/>
              <w:snapToGrid w:val="0"/>
              <w:jc w:val="left"/>
              <w:rPr>
                <w:rFonts w:ascii="宋体" w:hAnsi="宋体"/>
                <w:snapToGrid w:val="0"/>
                <w:kern w:val="0"/>
                <w:sz w:val="28"/>
                <w:szCs w:val="28"/>
              </w:rPr>
            </w:pPr>
          </w:p>
        </w:tc>
        <w:tc>
          <w:tcPr>
            <w:tcW w:w="1559" w:type="dxa"/>
            <w:tcBorders>
              <w:righ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560" w:type="dxa"/>
            <w:tcBorders>
              <w:left w:val="single" w:color="auto" w:sz="4" w:space="0"/>
            </w:tcBorders>
            <w:vAlign w:val="center"/>
          </w:tcPr>
          <w:p>
            <w:pPr>
              <w:autoSpaceDE w:val="0"/>
              <w:autoSpaceDN w:val="0"/>
              <w:adjustRightInd w:val="0"/>
              <w:snapToGrid w:val="0"/>
              <w:jc w:val="left"/>
              <w:rPr>
                <w:rFonts w:ascii="宋体" w:hAnsi="宋体"/>
                <w:snapToGrid w:val="0"/>
                <w:kern w:val="0"/>
                <w:sz w:val="28"/>
                <w:szCs w:val="28"/>
              </w:rPr>
            </w:pPr>
          </w:p>
        </w:tc>
        <w:tc>
          <w:tcPr>
            <w:tcW w:w="1275" w:type="dxa"/>
            <w:vAlign w:val="center"/>
          </w:tcPr>
          <w:p>
            <w:pPr>
              <w:autoSpaceDE w:val="0"/>
              <w:autoSpaceDN w:val="0"/>
              <w:adjustRightInd w:val="0"/>
              <w:snapToGrid w:val="0"/>
              <w:jc w:val="left"/>
              <w:rPr>
                <w:rFonts w:ascii="宋体" w:hAnsi="宋体"/>
                <w:snapToGrid w:val="0"/>
                <w:kern w:val="0"/>
                <w:sz w:val="28"/>
                <w:szCs w:val="28"/>
              </w:rPr>
            </w:pPr>
          </w:p>
        </w:tc>
        <w:tc>
          <w:tcPr>
            <w:tcW w:w="993" w:type="dxa"/>
            <w:vAlign w:val="center"/>
          </w:tcPr>
          <w:p>
            <w:pPr>
              <w:autoSpaceDE w:val="0"/>
              <w:autoSpaceDN w:val="0"/>
              <w:adjustRightInd w:val="0"/>
              <w:snapToGrid w:val="0"/>
              <w:jc w:val="left"/>
              <w:rPr>
                <w:rFonts w:ascii="宋体" w:hAnsi="宋体"/>
                <w:snapToGrid w:val="0"/>
                <w:kern w:val="0"/>
                <w:sz w:val="28"/>
                <w:szCs w:val="28"/>
              </w:rPr>
            </w:pPr>
          </w:p>
        </w:tc>
        <w:tc>
          <w:tcPr>
            <w:tcW w:w="1285" w:type="dxa"/>
            <w:vAlign w:val="center"/>
          </w:tcPr>
          <w:p>
            <w:pPr>
              <w:autoSpaceDE w:val="0"/>
              <w:autoSpaceDN w:val="0"/>
              <w:adjustRightInd w:val="0"/>
              <w:snapToGrid w:val="0"/>
              <w:jc w:val="left"/>
              <w:rPr>
                <w:rFonts w:ascii="宋体" w:hAnsi="宋体"/>
                <w:snapToGrid w:val="0"/>
                <w:kern w:val="0"/>
                <w:sz w:val="28"/>
                <w:szCs w:val="28"/>
              </w:rPr>
            </w:pPr>
          </w:p>
        </w:tc>
        <w:tc>
          <w:tcPr>
            <w:tcW w:w="947" w:type="dxa"/>
            <w:vAlign w:val="center"/>
          </w:tcPr>
          <w:p>
            <w:pPr>
              <w:autoSpaceDE w:val="0"/>
              <w:autoSpaceDN w:val="0"/>
              <w:adjustRightInd w:val="0"/>
              <w:snapToGrid w:val="0"/>
              <w:jc w:val="left"/>
              <w:rPr>
                <w:rFonts w:ascii="宋体" w:hAnsi="宋体"/>
                <w:snapToGrid w:val="0"/>
                <w:kern w:val="0"/>
                <w:sz w:val="28"/>
                <w:szCs w:val="28"/>
              </w:rPr>
            </w:pPr>
          </w:p>
        </w:tc>
        <w:tc>
          <w:tcPr>
            <w:tcW w:w="1311" w:type="dxa"/>
            <w:vAlign w:val="center"/>
          </w:tcPr>
          <w:p>
            <w:pPr>
              <w:autoSpaceDE w:val="0"/>
              <w:autoSpaceDN w:val="0"/>
              <w:adjustRightInd w:val="0"/>
              <w:snapToGrid w:val="0"/>
              <w:jc w:val="left"/>
              <w:rPr>
                <w:rFonts w:ascii="宋体" w:hAnsi="宋体"/>
                <w:snapToGrid w:val="0"/>
                <w:kern w:val="0"/>
                <w:sz w:val="28"/>
                <w:szCs w:val="2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98" w:hRule="exact"/>
          <w:jc w:val="center"/>
        </w:trPr>
        <w:tc>
          <w:tcPr>
            <w:tcW w:w="3693" w:type="dxa"/>
            <w:gridSpan w:val="2"/>
            <w:tcBorders>
              <w:bottom w:val="single" w:color="auto" w:sz="4" w:space="0"/>
            </w:tcBorders>
            <w:vAlign w:val="center"/>
          </w:tcPr>
          <w:p>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最高限价</w:t>
            </w:r>
          </w:p>
        </w:tc>
        <w:tc>
          <w:tcPr>
            <w:tcW w:w="10064" w:type="dxa"/>
            <w:gridSpan w:val="8"/>
            <w:tcBorders>
              <w:bottom w:val="single" w:color="auto" w:sz="4" w:space="0"/>
            </w:tcBorders>
            <w:vAlign w:val="center"/>
          </w:tcPr>
          <w:p>
            <w:pPr>
              <w:autoSpaceDE w:val="0"/>
              <w:autoSpaceDN w:val="0"/>
              <w:adjustRightInd w:val="0"/>
              <w:snapToGrid w:val="0"/>
              <w:jc w:val="left"/>
              <w:rPr>
                <w:rFonts w:ascii="宋体" w:hAnsi="宋体"/>
                <w:snapToGrid w:val="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26" w:hRule="exact"/>
          <w:jc w:val="center"/>
        </w:trPr>
        <w:tc>
          <w:tcPr>
            <w:tcW w:w="3693" w:type="dxa"/>
            <w:gridSpan w:val="2"/>
            <w:tcBorders>
              <w:top w:val="single" w:color="auto" w:sz="4" w:space="0"/>
              <w:bottom w:val="single" w:color="auto" w:sz="4" w:space="0"/>
            </w:tcBorders>
            <w:vAlign w:val="center"/>
          </w:tcPr>
          <w:p>
            <w:pPr>
              <w:autoSpaceDE w:val="0"/>
              <w:autoSpaceDN w:val="0"/>
              <w:adjustRightInd w:val="0"/>
              <w:snapToGrid w:val="0"/>
              <w:jc w:val="center"/>
              <w:rPr>
                <w:rFonts w:ascii="宋体" w:hAnsi="宋体"/>
                <w:snapToGrid w:val="0"/>
                <w:kern w:val="0"/>
                <w:szCs w:val="21"/>
              </w:rPr>
            </w:pPr>
            <w:r>
              <w:rPr>
                <w:rFonts w:hint="eastAsia"/>
                <w:szCs w:val="21"/>
              </w:rPr>
              <w:t>最高限价的8</w:t>
            </w:r>
            <w:r>
              <w:rPr>
                <w:szCs w:val="21"/>
              </w:rPr>
              <w:t>5</w:t>
            </w:r>
            <w:r>
              <w:rPr>
                <w:rFonts w:hint="eastAsia"/>
                <w:szCs w:val="21"/>
              </w:rPr>
              <w:t>%</w:t>
            </w:r>
          </w:p>
        </w:tc>
        <w:tc>
          <w:tcPr>
            <w:tcW w:w="10064" w:type="dxa"/>
            <w:gridSpan w:val="8"/>
            <w:tcBorders>
              <w:top w:val="single" w:color="auto" w:sz="4" w:space="0"/>
              <w:bottom w:val="single" w:color="auto" w:sz="4" w:space="0"/>
            </w:tcBorders>
            <w:vAlign w:val="center"/>
          </w:tcPr>
          <w:p>
            <w:pPr>
              <w:autoSpaceDE w:val="0"/>
              <w:autoSpaceDN w:val="0"/>
              <w:adjustRightInd w:val="0"/>
              <w:snapToGrid w:val="0"/>
              <w:jc w:val="left"/>
              <w:rPr>
                <w:rFonts w:ascii="宋体" w:hAnsi="宋体"/>
                <w:snapToGrid w:val="0"/>
                <w:kern w:val="0"/>
                <w:szCs w:val="21"/>
              </w:rPr>
            </w:pPr>
            <w:r>
              <w:rPr>
                <w:rFonts w:hint="eastAsia" w:ascii="宋体" w:hAnsi="宋体"/>
                <w:i/>
                <w:kern w:val="0"/>
                <w:szCs w:val="21"/>
              </w:rPr>
              <w:t>[提示：经评审的最低投标价法适用]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26" w:hRule="exact"/>
          <w:jc w:val="center"/>
        </w:trPr>
        <w:tc>
          <w:tcPr>
            <w:tcW w:w="3693" w:type="dxa"/>
            <w:gridSpan w:val="2"/>
            <w:tcBorders>
              <w:top w:val="single" w:color="auto" w:sz="4" w:space="0"/>
            </w:tcBorders>
            <w:vAlign w:val="center"/>
          </w:tcPr>
          <w:p>
            <w:pPr>
              <w:autoSpaceDE w:val="0"/>
              <w:autoSpaceDN w:val="0"/>
              <w:adjustRightInd w:val="0"/>
              <w:snapToGrid w:val="0"/>
              <w:jc w:val="center"/>
              <w:rPr>
                <w:szCs w:val="21"/>
              </w:rPr>
            </w:pPr>
            <w:r>
              <w:rPr>
                <w:rFonts w:hint="eastAsia"/>
                <w:szCs w:val="21"/>
              </w:rPr>
              <w:t>异常情况</w:t>
            </w:r>
          </w:p>
        </w:tc>
        <w:tc>
          <w:tcPr>
            <w:tcW w:w="10064" w:type="dxa"/>
            <w:gridSpan w:val="8"/>
            <w:tcBorders>
              <w:top w:val="single" w:color="auto" w:sz="4" w:space="0"/>
            </w:tcBorders>
            <w:vAlign w:val="center"/>
          </w:tcPr>
          <w:p>
            <w:pPr>
              <w:autoSpaceDE w:val="0"/>
              <w:autoSpaceDN w:val="0"/>
              <w:adjustRightInd w:val="0"/>
              <w:snapToGrid w:val="0"/>
              <w:jc w:val="left"/>
              <w:rPr>
                <w:rFonts w:ascii="宋体" w:hAnsi="宋体"/>
                <w:i/>
                <w:kern w:val="0"/>
                <w:szCs w:val="21"/>
              </w:rPr>
            </w:pPr>
          </w:p>
        </w:tc>
      </w:tr>
    </w:tbl>
    <w:p>
      <w:pPr>
        <w:tabs>
          <w:tab w:val="left" w:pos="2740"/>
          <w:tab w:val="left" w:pos="4940"/>
          <w:tab w:val="left" w:pos="7140"/>
        </w:tabs>
        <w:autoSpaceDE w:val="0"/>
        <w:autoSpaceDN w:val="0"/>
        <w:adjustRightInd w:val="0"/>
        <w:snapToGrid w:val="0"/>
        <w:spacing w:line="360" w:lineRule="auto"/>
        <w:jc w:val="left"/>
        <w:rPr>
          <w:rFonts w:ascii="宋体" w:hAnsi="宋体"/>
          <w:snapToGrid w:val="0"/>
          <w:kern w:val="0"/>
          <w:szCs w:val="21"/>
        </w:rPr>
      </w:pPr>
    </w:p>
    <w:p>
      <w:pPr>
        <w:tabs>
          <w:tab w:val="left" w:pos="2740"/>
          <w:tab w:val="left" w:pos="4940"/>
          <w:tab w:val="left" w:pos="6930"/>
        </w:tabs>
        <w:autoSpaceDE w:val="0"/>
        <w:autoSpaceDN w:val="0"/>
        <w:adjustRightInd w:val="0"/>
        <w:snapToGrid w:val="0"/>
        <w:spacing w:line="360" w:lineRule="auto"/>
        <w:ind w:firstLine="420"/>
        <w:jc w:val="left"/>
        <w:rPr>
          <w:rFonts w:ascii="宋体" w:hAnsi="宋体"/>
          <w:snapToGrid w:val="0"/>
          <w:kern w:val="0"/>
          <w:szCs w:val="21"/>
        </w:rPr>
      </w:pPr>
      <w:r>
        <w:rPr>
          <w:rFonts w:ascii="宋体" w:hAnsi="宋体"/>
          <w:snapToGrid w:val="0"/>
          <w:kern w:val="0"/>
          <w:szCs w:val="21"/>
        </w:rPr>
        <w:t>招标人代表：</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监标人：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hint="eastAsia" w:ascii="宋体" w:hAnsi="宋体"/>
          <w:snapToGrid w:val="0"/>
          <w:kern w:val="0"/>
          <w:szCs w:val="21"/>
        </w:rPr>
        <w:t>主持人</w:t>
      </w:r>
      <w:r>
        <w:rPr>
          <w:rFonts w:ascii="宋体" w:hAnsi="宋体"/>
          <w:snapToGrid w:val="0"/>
          <w:kern w:val="0"/>
          <w:szCs w:val="21"/>
        </w:rPr>
        <w:t>：</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记录人：</w:t>
      </w:r>
      <w:r>
        <w:rPr>
          <w:rFonts w:hint="eastAsia" w:ascii="宋体" w:hAnsi="宋体" w:cs="MingLiU"/>
          <w:snapToGrid w:val="0"/>
          <w:w w:val="200"/>
          <w:kern w:val="0"/>
          <w:szCs w:val="21"/>
          <w:u w:val="single"/>
        </w:rPr>
        <w:t xml:space="preserve">      </w:t>
      </w:r>
    </w:p>
    <w:p>
      <w:pPr>
        <w:autoSpaceDE w:val="0"/>
        <w:autoSpaceDN w:val="0"/>
        <w:adjustRightInd w:val="0"/>
        <w:snapToGrid w:val="0"/>
        <w:spacing w:before="62" w:beforeLines="20" w:line="360" w:lineRule="auto"/>
        <w:jc w:val="right"/>
        <w:rPr>
          <w:rFonts w:ascii="宋体" w:hAnsi="宋体"/>
          <w:snapToGrid w:val="0"/>
          <w:kern w:val="0"/>
          <w:sz w:val="24"/>
        </w:rPr>
      </w:pPr>
      <w:r>
        <w:rPr>
          <w:rFonts w:ascii="宋体" w:hAnsi="宋体"/>
          <w:snapToGrid w:val="0"/>
          <w:kern w:val="0"/>
          <w:sz w:val="24"/>
        </w:rPr>
        <w:t xml:space="preserve">                                       </w:t>
      </w:r>
      <w:r>
        <w:rPr>
          <w:rFonts w:ascii="宋体" w:hAnsi="宋体"/>
          <w:snapToGrid w:val="0"/>
          <w:kern w:val="0"/>
          <w:sz w:val="24"/>
          <w:u w:val="single"/>
        </w:rPr>
        <w:t xml:space="preserve">       </w:t>
      </w:r>
      <w:r>
        <w:rPr>
          <w:rFonts w:ascii="宋体" w:hAnsi="宋体"/>
          <w:snapToGrid w:val="0"/>
          <w:kern w:val="0"/>
          <w:sz w:val="24"/>
        </w:rPr>
        <w:t>年</w:t>
      </w:r>
      <w:r>
        <w:rPr>
          <w:rFonts w:ascii="宋体" w:hAnsi="宋体"/>
          <w:snapToGrid w:val="0"/>
          <w:kern w:val="0"/>
          <w:sz w:val="24"/>
          <w:u w:val="single"/>
        </w:rPr>
        <w:t xml:space="preserve">     </w:t>
      </w:r>
      <w:r>
        <w:rPr>
          <w:rFonts w:ascii="宋体" w:hAnsi="宋体"/>
          <w:snapToGrid w:val="0"/>
          <w:kern w:val="0"/>
          <w:sz w:val="24"/>
        </w:rPr>
        <w:t>月</w:t>
      </w:r>
      <w:r>
        <w:rPr>
          <w:rFonts w:ascii="宋体" w:hAnsi="宋体"/>
          <w:snapToGrid w:val="0"/>
          <w:kern w:val="0"/>
          <w:sz w:val="24"/>
          <w:u w:val="single"/>
        </w:rPr>
        <w:t xml:space="preserve">    </w:t>
      </w:r>
      <w:r>
        <w:rPr>
          <w:rFonts w:ascii="宋体" w:hAnsi="宋体"/>
          <w:snapToGrid w:val="0"/>
          <w:kern w:val="0"/>
          <w:sz w:val="24"/>
        </w:rPr>
        <w:t>日</w:t>
      </w:r>
    </w:p>
    <w:p>
      <w:pPr>
        <w:autoSpaceDE w:val="0"/>
        <w:autoSpaceDN w:val="0"/>
        <w:adjustRightInd w:val="0"/>
        <w:snapToGrid w:val="0"/>
        <w:spacing w:before="62" w:beforeLines="20" w:line="360" w:lineRule="auto"/>
        <w:rPr>
          <w:rFonts w:ascii="宋体" w:hAnsi="宋体"/>
          <w:snapToGrid w:val="0"/>
          <w:kern w:val="0"/>
          <w:sz w:val="24"/>
        </w:rPr>
      </w:pPr>
      <w:r>
        <w:rPr>
          <w:rFonts w:ascii="宋体" w:hAnsi="宋体"/>
          <w:snapToGrid w:val="0"/>
          <w:kern w:val="0"/>
          <w:sz w:val="24"/>
        </w:rPr>
        <w:br w:type="page"/>
      </w:r>
      <w:r>
        <w:rPr>
          <w:rFonts w:ascii="宋体" w:hAnsi="宋体"/>
          <w:b/>
          <w:snapToGrid w:val="0"/>
          <w:kern w:val="0"/>
        </w:rPr>
        <w:t>附表</w:t>
      </w:r>
      <w:r>
        <w:rPr>
          <w:rFonts w:hint="eastAsia" w:ascii="宋体" w:hAnsi="宋体"/>
          <w:b/>
          <w:snapToGrid w:val="0"/>
          <w:kern w:val="0"/>
        </w:rPr>
        <w:t>二</w:t>
      </w:r>
      <w:r>
        <w:rPr>
          <w:rFonts w:ascii="宋体" w:hAnsi="宋体"/>
          <w:b/>
          <w:snapToGrid w:val="0"/>
          <w:kern w:val="0"/>
        </w:rPr>
        <w:t>：纸质投标保函递交情况一览表（如有）</w:t>
      </w:r>
    </w:p>
    <w:p>
      <w:pPr>
        <w:autoSpaceDE w:val="0"/>
        <w:autoSpaceDN w:val="0"/>
        <w:adjustRightInd w:val="0"/>
        <w:snapToGrid w:val="0"/>
        <w:spacing w:before="62" w:beforeLines="20" w:line="360" w:lineRule="auto"/>
        <w:jc w:val="center"/>
        <w:rPr>
          <w:rFonts w:ascii="宋体" w:hAnsi="宋体"/>
          <w:szCs w:val="21"/>
        </w:rPr>
      </w:pPr>
      <w:r>
        <w:rPr>
          <w:rFonts w:hint="eastAsia" w:ascii="宋体" w:hAnsi="宋体" w:cs="MingLiU"/>
          <w:snapToGrid w:val="0"/>
          <w:w w:val="198"/>
          <w:kern w:val="0"/>
          <w:sz w:val="28"/>
          <w:szCs w:val="28"/>
          <w:u w:val="single"/>
        </w:rPr>
        <w:t xml:space="preserve">              </w:t>
      </w:r>
      <w:r>
        <w:rPr>
          <w:rFonts w:hint="eastAsia" w:ascii="宋体" w:hAnsi="宋体"/>
          <w:snapToGrid w:val="0"/>
          <w:kern w:val="0"/>
          <w:sz w:val="28"/>
          <w:szCs w:val="28"/>
          <w:u w:val="single"/>
        </w:rPr>
        <w:t xml:space="preserve"> </w:t>
      </w:r>
      <w:r>
        <w:rPr>
          <w:rFonts w:ascii="宋体" w:hAnsi="宋体"/>
          <w:b/>
          <w:snapToGrid w:val="0"/>
          <w:w w:val="99"/>
          <w:kern w:val="0"/>
          <w:sz w:val="28"/>
          <w:szCs w:val="28"/>
          <w:u w:val="single"/>
        </w:rPr>
        <w:t>（项目名称）纸质投标保函</w:t>
      </w:r>
      <w:r>
        <w:rPr>
          <w:rFonts w:hint="eastAsia" w:ascii="宋体" w:hAnsi="宋体"/>
          <w:b/>
          <w:snapToGrid w:val="0"/>
          <w:w w:val="99"/>
          <w:kern w:val="0"/>
          <w:sz w:val="28"/>
          <w:szCs w:val="28"/>
          <w:u w:val="single"/>
        </w:rPr>
        <w:t>递交</w:t>
      </w:r>
      <w:r>
        <w:rPr>
          <w:rFonts w:ascii="宋体" w:hAnsi="宋体"/>
          <w:b/>
          <w:snapToGrid w:val="0"/>
          <w:w w:val="99"/>
          <w:kern w:val="0"/>
          <w:sz w:val="28"/>
          <w:szCs w:val="28"/>
          <w:u w:val="single"/>
        </w:rPr>
        <w:t>情况一览表</w:t>
      </w:r>
    </w:p>
    <w:p>
      <w:pPr>
        <w:autoSpaceDE w:val="0"/>
        <w:autoSpaceDN w:val="0"/>
        <w:adjustRightInd w:val="0"/>
        <w:snapToGrid w:val="0"/>
        <w:spacing w:before="62" w:beforeLines="20" w:line="360" w:lineRule="auto"/>
        <w:ind w:firstLine="8610" w:firstLineChars="4100"/>
        <w:rPr>
          <w:rFonts w:ascii="宋体" w:hAnsi="宋体"/>
          <w:szCs w:val="21"/>
        </w:rPr>
      </w:pPr>
      <w:r>
        <w:rPr>
          <w:rFonts w:hint="eastAsia" w:ascii="宋体" w:hAnsi="宋体"/>
          <w:snapToGrid w:val="0"/>
          <w:kern w:val="0"/>
          <w:szCs w:val="21"/>
        </w:rPr>
        <w:t>投标截止时间</w:t>
      </w:r>
      <w:r>
        <w:rPr>
          <w:rFonts w:ascii="宋体" w:hAnsi="宋体"/>
          <w:snapToGrid w:val="0"/>
          <w:kern w:val="0"/>
          <w:szCs w:val="21"/>
        </w:rPr>
        <w:t>：</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年</w:t>
      </w:r>
      <w:r>
        <w:rPr>
          <w:rFonts w:hint="eastAsia" w:ascii="宋体" w:hAnsi="宋体"/>
          <w:snapToGrid w:val="0"/>
          <w:kern w:val="0"/>
          <w:szCs w:val="21"/>
          <w:u w:val="single"/>
        </w:rPr>
        <w:t xml:space="preserve">     </w:t>
      </w:r>
      <w:r>
        <w:rPr>
          <w:rFonts w:hint="eastAsia" w:ascii="宋体" w:hAnsi="宋体" w:cs="MingLiU"/>
          <w:snapToGrid w:val="0"/>
          <w:kern w:val="0"/>
          <w:szCs w:val="21"/>
        </w:rPr>
        <w:t>月</w:t>
      </w:r>
      <w:r>
        <w:rPr>
          <w:rFonts w:hint="eastAsia" w:ascii="宋体" w:hAnsi="宋体"/>
          <w:snapToGrid w:val="0"/>
          <w:kern w:val="0"/>
          <w:szCs w:val="21"/>
          <w:u w:val="single"/>
        </w:rPr>
        <w:t xml:space="preserve">     </w:t>
      </w:r>
      <w:r>
        <w:rPr>
          <w:rFonts w:hint="eastAsia" w:ascii="宋体" w:hAnsi="宋体" w:cs="MingLiU"/>
          <w:snapToGrid w:val="0"/>
          <w:kern w:val="0"/>
          <w:szCs w:val="21"/>
        </w:rPr>
        <w:t>日</w:t>
      </w:r>
      <w:r>
        <w:rPr>
          <w:rFonts w:hint="eastAsia" w:ascii="宋体" w:hAnsi="宋体"/>
          <w:snapToGrid w:val="0"/>
          <w:kern w:val="0"/>
          <w:szCs w:val="21"/>
          <w:u w:val="single"/>
        </w:rPr>
        <w:t xml:space="preserve">     </w:t>
      </w:r>
      <w:r>
        <w:rPr>
          <w:rFonts w:hint="eastAsia" w:ascii="宋体" w:hAnsi="宋体" w:cs="MingLiU"/>
          <w:snapToGrid w:val="0"/>
          <w:kern w:val="0"/>
          <w:szCs w:val="21"/>
        </w:rPr>
        <w:t>时</w:t>
      </w:r>
      <w:r>
        <w:rPr>
          <w:rFonts w:hint="eastAsia" w:ascii="宋体" w:hAnsi="宋体"/>
          <w:snapToGrid w:val="0"/>
          <w:kern w:val="0"/>
          <w:szCs w:val="21"/>
          <w:u w:val="single"/>
        </w:rPr>
        <w:t xml:space="preserve">     </w:t>
      </w:r>
      <w:r>
        <w:rPr>
          <w:rFonts w:hint="eastAsia" w:ascii="宋体" w:hAnsi="宋体" w:cs="MingLiU"/>
          <w:snapToGrid w:val="0"/>
          <w:kern w:val="0"/>
          <w:szCs w:val="21"/>
        </w:rPr>
        <w:t>分</w:t>
      </w:r>
    </w:p>
    <w:tbl>
      <w:tblPr>
        <w:tblStyle w:val="54"/>
        <w:tblW w:w="14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160"/>
        <w:gridCol w:w="3088"/>
        <w:gridCol w:w="2987"/>
        <w:gridCol w:w="3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jc w:val="center"/>
              <w:rPr>
                <w:rFonts w:ascii="宋体" w:hAnsi="宋体"/>
                <w:szCs w:val="21"/>
              </w:rPr>
            </w:pPr>
            <w:r>
              <w:rPr>
                <w:rFonts w:hint="eastAsia" w:ascii="宋体" w:hAnsi="宋体"/>
                <w:szCs w:val="21"/>
              </w:rPr>
              <w:t>序号</w:t>
            </w:r>
          </w:p>
        </w:tc>
        <w:tc>
          <w:tcPr>
            <w:tcW w:w="4160" w:type="dxa"/>
          </w:tcPr>
          <w:p>
            <w:pPr>
              <w:autoSpaceDE w:val="0"/>
              <w:autoSpaceDN w:val="0"/>
              <w:adjustRightInd w:val="0"/>
              <w:snapToGrid w:val="0"/>
              <w:spacing w:before="62" w:beforeLines="20" w:line="360" w:lineRule="auto"/>
              <w:jc w:val="center"/>
              <w:rPr>
                <w:rFonts w:ascii="宋体" w:hAnsi="宋体"/>
                <w:szCs w:val="21"/>
              </w:rPr>
            </w:pPr>
            <w:r>
              <w:rPr>
                <w:rFonts w:hint="eastAsia" w:ascii="宋体" w:hAnsi="宋体"/>
                <w:szCs w:val="21"/>
              </w:rPr>
              <w:t>投标人</w:t>
            </w:r>
          </w:p>
        </w:tc>
        <w:tc>
          <w:tcPr>
            <w:tcW w:w="3088" w:type="dxa"/>
          </w:tcPr>
          <w:p>
            <w:pPr>
              <w:autoSpaceDE w:val="0"/>
              <w:autoSpaceDN w:val="0"/>
              <w:adjustRightInd w:val="0"/>
              <w:snapToGrid w:val="0"/>
              <w:spacing w:before="62" w:beforeLines="20" w:line="360" w:lineRule="auto"/>
              <w:jc w:val="center"/>
              <w:rPr>
                <w:rFonts w:ascii="宋体" w:hAnsi="宋体"/>
                <w:szCs w:val="21"/>
              </w:rPr>
            </w:pPr>
            <w:r>
              <w:rPr>
                <w:rFonts w:hint="eastAsia" w:ascii="宋体" w:hAnsi="宋体"/>
                <w:szCs w:val="21"/>
              </w:rPr>
              <w:t>金额（元）</w:t>
            </w:r>
          </w:p>
        </w:tc>
        <w:tc>
          <w:tcPr>
            <w:tcW w:w="2987" w:type="dxa"/>
          </w:tcPr>
          <w:p>
            <w:pPr>
              <w:autoSpaceDE w:val="0"/>
              <w:autoSpaceDN w:val="0"/>
              <w:adjustRightInd w:val="0"/>
              <w:snapToGrid w:val="0"/>
              <w:spacing w:before="62" w:beforeLines="20" w:line="360" w:lineRule="auto"/>
              <w:jc w:val="center"/>
              <w:rPr>
                <w:rFonts w:ascii="宋体" w:hAnsi="宋体"/>
                <w:szCs w:val="21"/>
              </w:rPr>
            </w:pPr>
            <w:r>
              <w:rPr>
                <w:rFonts w:hint="eastAsia" w:ascii="宋体" w:hAnsi="宋体"/>
                <w:szCs w:val="21"/>
              </w:rPr>
              <w:t>递交时间</w:t>
            </w:r>
          </w:p>
        </w:tc>
        <w:tc>
          <w:tcPr>
            <w:tcW w:w="3175" w:type="dxa"/>
          </w:tcPr>
          <w:p>
            <w:pPr>
              <w:autoSpaceDE w:val="0"/>
              <w:autoSpaceDN w:val="0"/>
              <w:adjustRightInd w:val="0"/>
              <w:snapToGrid w:val="0"/>
              <w:spacing w:before="62" w:beforeLines="20" w:line="360" w:lineRule="auto"/>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62" w:beforeLines="20" w:line="360" w:lineRule="auto"/>
              <w:rPr>
                <w:rFonts w:ascii="宋体" w:hAnsi="宋体"/>
                <w:szCs w:val="21"/>
              </w:rPr>
            </w:pPr>
          </w:p>
        </w:tc>
        <w:tc>
          <w:tcPr>
            <w:tcW w:w="4160" w:type="dxa"/>
          </w:tcPr>
          <w:p>
            <w:pPr>
              <w:autoSpaceDE w:val="0"/>
              <w:autoSpaceDN w:val="0"/>
              <w:adjustRightInd w:val="0"/>
              <w:snapToGrid w:val="0"/>
              <w:spacing w:before="62" w:beforeLines="20" w:line="360" w:lineRule="auto"/>
              <w:rPr>
                <w:rFonts w:ascii="宋体" w:hAnsi="宋体"/>
                <w:szCs w:val="21"/>
              </w:rPr>
            </w:pPr>
          </w:p>
        </w:tc>
        <w:tc>
          <w:tcPr>
            <w:tcW w:w="3088" w:type="dxa"/>
          </w:tcPr>
          <w:p>
            <w:pPr>
              <w:autoSpaceDE w:val="0"/>
              <w:autoSpaceDN w:val="0"/>
              <w:adjustRightInd w:val="0"/>
              <w:snapToGrid w:val="0"/>
              <w:spacing w:before="62" w:beforeLines="20" w:line="360" w:lineRule="auto"/>
              <w:rPr>
                <w:rFonts w:ascii="宋体" w:hAnsi="宋体"/>
                <w:szCs w:val="21"/>
              </w:rPr>
            </w:pPr>
          </w:p>
        </w:tc>
        <w:tc>
          <w:tcPr>
            <w:tcW w:w="2987" w:type="dxa"/>
          </w:tcPr>
          <w:p>
            <w:pPr>
              <w:autoSpaceDE w:val="0"/>
              <w:autoSpaceDN w:val="0"/>
              <w:adjustRightInd w:val="0"/>
              <w:snapToGrid w:val="0"/>
              <w:spacing w:before="62" w:beforeLines="20" w:line="360" w:lineRule="auto"/>
              <w:rPr>
                <w:rFonts w:ascii="宋体" w:hAnsi="宋体"/>
                <w:szCs w:val="21"/>
              </w:rPr>
            </w:pPr>
          </w:p>
        </w:tc>
        <w:tc>
          <w:tcPr>
            <w:tcW w:w="3175" w:type="dxa"/>
          </w:tcPr>
          <w:p>
            <w:pPr>
              <w:autoSpaceDE w:val="0"/>
              <w:autoSpaceDN w:val="0"/>
              <w:adjustRightInd w:val="0"/>
              <w:snapToGrid w:val="0"/>
              <w:spacing w:before="62" w:beforeLines="20" w:line="360" w:lineRule="auto"/>
              <w:rPr>
                <w:rFonts w:ascii="宋体" w:hAnsi="宋体"/>
                <w:szCs w:val="21"/>
              </w:rPr>
            </w:pPr>
          </w:p>
        </w:tc>
      </w:tr>
    </w:tbl>
    <w:p>
      <w:pPr>
        <w:tabs>
          <w:tab w:val="left" w:pos="2740"/>
          <w:tab w:val="left" w:pos="4940"/>
          <w:tab w:val="left" w:pos="6930"/>
        </w:tabs>
        <w:autoSpaceDE w:val="0"/>
        <w:autoSpaceDN w:val="0"/>
        <w:adjustRightInd w:val="0"/>
        <w:snapToGrid w:val="0"/>
        <w:spacing w:line="360" w:lineRule="auto"/>
        <w:ind w:firstLine="420"/>
        <w:jc w:val="left"/>
        <w:rPr>
          <w:rFonts w:ascii="宋体" w:hAnsi="宋体"/>
          <w:snapToGrid w:val="0"/>
          <w:kern w:val="0"/>
          <w:szCs w:val="21"/>
        </w:rPr>
      </w:pPr>
    </w:p>
    <w:p>
      <w:pPr>
        <w:tabs>
          <w:tab w:val="left" w:pos="2740"/>
          <w:tab w:val="left" w:pos="4940"/>
          <w:tab w:val="left" w:pos="6930"/>
        </w:tabs>
        <w:autoSpaceDE w:val="0"/>
        <w:autoSpaceDN w:val="0"/>
        <w:adjustRightInd w:val="0"/>
        <w:snapToGrid w:val="0"/>
        <w:spacing w:line="360" w:lineRule="auto"/>
        <w:ind w:firstLine="420"/>
        <w:jc w:val="left"/>
        <w:rPr>
          <w:rFonts w:ascii="宋体" w:hAnsi="宋体" w:cs="MingLiU"/>
          <w:snapToGrid w:val="0"/>
          <w:w w:val="200"/>
          <w:kern w:val="0"/>
          <w:szCs w:val="21"/>
          <w:u w:val="single"/>
        </w:rPr>
      </w:pPr>
      <w:r>
        <w:rPr>
          <w:rFonts w:ascii="宋体" w:hAnsi="宋体"/>
          <w:snapToGrid w:val="0"/>
          <w:kern w:val="0"/>
          <w:szCs w:val="21"/>
        </w:rPr>
        <w:t>招标人代表：</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监标人：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记录人：</w:t>
      </w:r>
      <w:r>
        <w:rPr>
          <w:rFonts w:hint="eastAsia" w:ascii="宋体" w:hAnsi="宋体" w:cs="MingLiU"/>
          <w:snapToGrid w:val="0"/>
          <w:w w:val="200"/>
          <w:kern w:val="0"/>
          <w:szCs w:val="21"/>
          <w:u w:val="single"/>
        </w:rPr>
        <w:t xml:space="preserve">      </w:t>
      </w:r>
    </w:p>
    <w:p>
      <w:pPr>
        <w:pStyle w:val="2"/>
        <w:jc w:val="right"/>
      </w:pPr>
      <w:r>
        <w:rPr>
          <w:rFonts w:ascii="宋体" w:hAnsi="宋体"/>
          <w:snapToGrid w:val="0"/>
          <w:kern w:val="0"/>
          <w:sz w:val="24"/>
          <w:u w:val="single"/>
        </w:rPr>
        <w:t xml:space="preserve">       </w:t>
      </w:r>
      <w:r>
        <w:rPr>
          <w:rFonts w:ascii="宋体" w:hAnsi="宋体"/>
          <w:snapToGrid w:val="0"/>
          <w:kern w:val="0"/>
          <w:sz w:val="24"/>
        </w:rPr>
        <w:t>年</w:t>
      </w:r>
      <w:r>
        <w:rPr>
          <w:rFonts w:ascii="宋体" w:hAnsi="宋体"/>
          <w:snapToGrid w:val="0"/>
          <w:kern w:val="0"/>
          <w:sz w:val="24"/>
          <w:u w:val="single"/>
        </w:rPr>
        <w:t xml:space="preserve">     </w:t>
      </w:r>
      <w:r>
        <w:rPr>
          <w:rFonts w:ascii="宋体" w:hAnsi="宋体"/>
          <w:snapToGrid w:val="0"/>
          <w:kern w:val="0"/>
          <w:sz w:val="24"/>
        </w:rPr>
        <w:t>月</w:t>
      </w:r>
      <w:r>
        <w:rPr>
          <w:rFonts w:ascii="宋体" w:hAnsi="宋体"/>
          <w:snapToGrid w:val="0"/>
          <w:kern w:val="0"/>
          <w:sz w:val="24"/>
          <w:u w:val="single"/>
        </w:rPr>
        <w:t xml:space="preserve">    </w:t>
      </w:r>
      <w:r>
        <w:rPr>
          <w:rFonts w:ascii="宋体" w:hAnsi="宋体"/>
          <w:snapToGrid w:val="0"/>
          <w:kern w:val="0"/>
          <w:sz w:val="24"/>
        </w:rPr>
        <w:t>日</w:t>
      </w:r>
    </w:p>
    <w:p>
      <w:pPr>
        <w:autoSpaceDE w:val="0"/>
        <w:autoSpaceDN w:val="0"/>
        <w:adjustRightInd w:val="0"/>
        <w:snapToGrid w:val="0"/>
        <w:spacing w:before="62" w:beforeLines="20" w:line="360" w:lineRule="auto"/>
        <w:rPr>
          <w:rFonts w:ascii="宋体" w:hAnsi="宋体"/>
          <w:snapToGrid w:val="0"/>
          <w:kern w:val="0"/>
          <w:sz w:val="24"/>
        </w:rPr>
        <w:sectPr>
          <w:pgSz w:w="16838" w:h="11906" w:orient="landscape"/>
          <w:pgMar w:top="1304" w:right="1304" w:bottom="1134" w:left="1304" w:header="851" w:footer="992" w:gutter="0"/>
          <w:cols w:space="720" w:num="1"/>
          <w:docGrid w:type="lines" w:linePitch="312" w:charSpace="0"/>
        </w:sectPr>
      </w:pPr>
    </w:p>
    <w:p>
      <w:pPr>
        <w:autoSpaceDE w:val="0"/>
        <w:autoSpaceDN w:val="0"/>
        <w:adjustRightInd w:val="0"/>
        <w:snapToGrid w:val="0"/>
        <w:spacing w:before="115" w:beforeLines="20" w:line="360" w:lineRule="auto"/>
        <w:jc w:val="right"/>
        <w:rPr>
          <w:rFonts w:ascii="宋体" w:hAnsi="宋体"/>
          <w:snapToGrid w:val="0"/>
          <w:kern w:val="0"/>
          <w:sz w:val="24"/>
        </w:rPr>
      </w:pPr>
    </w:p>
    <w:p>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rPr>
        <w:t>附表</w:t>
      </w:r>
      <w:r>
        <w:rPr>
          <w:rFonts w:hint="eastAsia" w:ascii="宋体" w:hAnsi="宋体"/>
          <w:b/>
          <w:snapToGrid w:val="0"/>
          <w:kern w:val="0"/>
        </w:rPr>
        <w:t>三</w:t>
      </w:r>
      <w:r>
        <w:rPr>
          <w:rFonts w:ascii="宋体" w:hAnsi="宋体"/>
          <w:b/>
          <w:snapToGrid w:val="0"/>
          <w:kern w:val="0"/>
        </w:rPr>
        <w:t>：问题澄清通知</w:t>
      </w:r>
    </w:p>
    <w:p>
      <w:pPr>
        <w:autoSpaceDE w:val="0"/>
        <w:autoSpaceDN w:val="0"/>
        <w:adjustRightInd w:val="0"/>
        <w:snapToGrid w:val="0"/>
        <w:spacing w:line="360" w:lineRule="auto"/>
        <w:jc w:val="left"/>
        <w:rPr>
          <w:rFonts w:ascii="宋体" w:hAnsi="宋体"/>
          <w:b/>
          <w:snapToGrid w:val="0"/>
          <w:kern w:val="0"/>
          <w:sz w:val="24"/>
        </w:rPr>
      </w:pPr>
    </w:p>
    <w:p>
      <w:pPr>
        <w:autoSpaceDE w:val="0"/>
        <w:autoSpaceDN w:val="0"/>
        <w:adjustRightInd w:val="0"/>
        <w:snapToGrid w:val="0"/>
        <w:spacing w:line="360" w:lineRule="auto"/>
        <w:jc w:val="center"/>
        <w:rPr>
          <w:rFonts w:ascii="宋体" w:hAnsi="宋体"/>
          <w:b/>
          <w:snapToGrid w:val="0"/>
          <w:w w:val="99"/>
          <w:kern w:val="0"/>
          <w:sz w:val="32"/>
          <w:szCs w:val="32"/>
        </w:rPr>
      </w:pPr>
      <w:r>
        <w:rPr>
          <w:rFonts w:hint="eastAsia" w:ascii="宋体" w:hAnsi="宋体"/>
          <w:b/>
          <w:snapToGrid w:val="0"/>
          <w:w w:val="99"/>
          <w:kern w:val="0"/>
          <w:sz w:val="32"/>
          <w:szCs w:val="32"/>
        </w:rPr>
        <w:t>问题澄清通知</w:t>
      </w:r>
    </w:p>
    <w:p>
      <w:pPr>
        <w:autoSpaceDE w:val="0"/>
        <w:autoSpaceDN w:val="0"/>
        <w:adjustRightInd w:val="0"/>
        <w:snapToGrid w:val="0"/>
        <w:spacing w:line="360" w:lineRule="auto"/>
        <w:jc w:val="left"/>
        <w:rPr>
          <w:rFonts w:ascii="宋体" w:hAnsi="宋体"/>
          <w:b/>
          <w:snapToGrid w:val="0"/>
          <w:kern w:val="0"/>
          <w:sz w:val="24"/>
        </w:rPr>
      </w:pPr>
    </w:p>
    <w:p>
      <w:pPr>
        <w:autoSpaceDE w:val="0"/>
        <w:autoSpaceDN w:val="0"/>
        <w:adjustRightInd w:val="0"/>
        <w:snapToGrid w:val="0"/>
        <w:spacing w:line="360" w:lineRule="auto"/>
        <w:ind w:firstLine="3255" w:firstLineChars="1550"/>
        <w:jc w:val="left"/>
        <w:rPr>
          <w:rFonts w:ascii="宋体" w:hAnsi="宋体"/>
          <w:snapToGrid w:val="0"/>
          <w:kern w:val="0"/>
          <w:szCs w:val="21"/>
          <w:u w:val="single"/>
        </w:rPr>
      </w:pPr>
      <w:r>
        <w:rPr>
          <w:rFonts w:ascii="宋体" w:hAnsi="宋体"/>
          <w:snapToGrid w:val="0"/>
          <w:kern w:val="0"/>
          <w:szCs w:val="21"/>
        </w:rPr>
        <w:t>编号：</w:t>
      </w:r>
      <w:r>
        <w:rPr>
          <w:rFonts w:hint="eastAsia" w:ascii="宋体" w:hAnsi="宋体"/>
          <w:snapToGrid w:val="0"/>
          <w:kern w:val="0"/>
          <w:szCs w:val="21"/>
          <w:u w:val="single"/>
        </w:rPr>
        <w:t xml:space="preserve">                     </w:t>
      </w:r>
    </w:p>
    <w:p>
      <w:pPr>
        <w:autoSpaceDE w:val="0"/>
        <w:autoSpaceDN w:val="0"/>
        <w:adjustRightInd w:val="0"/>
        <w:snapToGrid w:val="0"/>
        <w:spacing w:line="360" w:lineRule="auto"/>
        <w:jc w:val="left"/>
        <w:rPr>
          <w:rFonts w:ascii="宋体" w:hAnsi="宋体"/>
          <w:b/>
          <w:snapToGrid w:val="0"/>
          <w:kern w:val="0"/>
          <w:sz w:val="24"/>
        </w:rPr>
      </w:pPr>
    </w:p>
    <w:p>
      <w:pPr>
        <w:autoSpaceDE w:val="0"/>
        <w:autoSpaceDN w:val="0"/>
        <w:adjustRightInd w:val="0"/>
        <w:snapToGrid w:val="0"/>
        <w:spacing w:line="360" w:lineRule="auto"/>
        <w:rPr>
          <w:rFonts w:ascii="宋体" w:hAnsi="宋体"/>
          <w:snapToGrid w:val="0"/>
          <w:kern w:val="0"/>
          <w:sz w:val="28"/>
          <w:szCs w:val="28"/>
        </w:rPr>
      </w:pPr>
    </w:p>
    <w:p>
      <w:pPr>
        <w:tabs>
          <w:tab w:val="left" w:pos="158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（投标人名称）</w:t>
      </w:r>
      <w:r>
        <w:rPr>
          <w:rFonts w:ascii="宋体" w:hAnsi="宋体"/>
          <w:snapToGrid w:val="0"/>
          <w:kern w:val="0"/>
          <w:szCs w:val="21"/>
        </w:rPr>
        <w:t>：</w:t>
      </w:r>
    </w:p>
    <w:p>
      <w:pPr>
        <w:tabs>
          <w:tab w:val="left" w:pos="2320"/>
          <w:tab w:val="left" w:pos="4460"/>
        </w:tabs>
        <w:autoSpaceDE w:val="0"/>
        <w:autoSpaceDN w:val="0"/>
        <w:adjustRightInd w:val="0"/>
        <w:snapToGrid w:val="0"/>
        <w:spacing w:line="480" w:lineRule="auto"/>
        <w:ind w:firstLine="424" w:firstLineChars="101"/>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（项目名称）</w:t>
      </w:r>
      <w:r>
        <w:rPr>
          <w:rFonts w:ascii="宋体" w:hAnsi="宋体"/>
          <w:snapToGrid w:val="0"/>
          <w:kern w:val="0"/>
          <w:szCs w:val="21"/>
        </w:rPr>
        <w:t>的评标委员会，对你方的投标文件进行了仔细的审查，现需你方对下列问题予以澄清：</w:t>
      </w:r>
    </w:p>
    <w:p>
      <w:pPr>
        <w:autoSpaceDE w:val="0"/>
        <w:autoSpaceDN w:val="0"/>
        <w:adjustRightInd w:val="0"/>
        <w:snapToGrid w:val="0"/>
        <w:spacing w:line="360" w:lineRule="auto"/>
        <w:jc w:val="left"/>
        <w:rPr>
          <w:rFonts w:ascii="宋体" w:hAnsi="宋体"/>
          <w:snapToGrid w:val="0"/>
          <w:kern w:val="0"/>
          <w:sz w:val="24"/>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1. </w:t>
      </w:r>
    </w:p>
    <w:p>
      <w:pPr>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2. </w:t>
      </w:r>
    </w:p>
    <w:p>
      <w:pPr>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w:t>
      </w:r>
    </w:p>
    <w:p>
      <w:pPr>
        <w:autoSpaceDE w:val="0"/>
        <w:autoSpaceDN w:val="0"/>
        <w:adjustRightInd w:val="0"/>
        <w:snapToGrid w:val="0"/>
        <w:spacing w:line="360" w:lineRule="auto"/>
        <w:jc w:val="left"/>
        <w:rPr>
          <w:rFonts w:ascii="宋体" w:hAnsi="宋体"/>
          <w:snapToGrid w:val="0"/>
          <w:kern w:val="0"/>
          <w:sz w:val="14"/>
          <w:szCs w:val="14"/>
        </w:rPr>
      </w:pPr>
    </w:p>
    <w:p>
      <w:pPr>
        <w:autoSpaceDE w:val="0"/>
        <w:autoSpaceDN w:val="0"/>
        <w:adjustRightInd w:val="0"/>
        <w:snapToGrid w:val="0"/>
        <w:spacing w:line="360" w:lineRule="auto"/>
        <w:jc w:val="left"/>
        <w:rPr>
          <w:rFonts w:ascii="宋体" w:hAnsi="宋体"/>
          <w:snapToGrid w:val="0"/>
          <w:kern w:val="0"/>
          <w:sz w:val="14"/>
          <w:szCs w:val="14"/>
        </w:rPr>
      </w:pPr>
    </w:p>
    <w:p>
      <w:pPr>
        <w:autoSpaceDE w:val="0"/>
        <w:autoSpaceDN w:val="0"/>
        <w:adjustRightInd w:val="0"/>
        <w:snapToGrid w:val="0"/>
        <w:spacing w:line="360" w:lineRule="auto"/>
        <w:jc w:val="left"/>
        <w:rPr>
          <w:rFonts w:ascii="宋体" w:hAnsi="宋体"/>
          <w:snapToGrid w:val="0"/>
          <w:kern w:val="0"/>
          <w:sz w:val="14"/>
          <w:szCs w:val="14"/>
        </w:rPr>
      </w:pPr>
    </w:p>
    <w:p>
      <w:pPr>
        <w:autoSpaceDE w:val="0"/>
        <w:autoSpaceDN w:val="0"/>
        <w:adjustRightInd w:val="0"/>
        <w:snapToGrid w:val="0"/>
        <w:spacing w:line="360" w:lineRule="auto"/>
        <w:jc w:val="left"/>
        <w:rPr>
          <w:rFonts w:ascii="宋体" w:hAnsi="宋体"/>
          <w:snapToGrid w:val="0"/>
          <w:kern w:val="0"/>
          <w:sz w:val="20"/>
          <w:szCs w:val="20"/>
        </w:rPr>
      </w:pPr>
    </w:p>
    <w:p>
      <w:pPr>
        <w:tabs>
          <w:tab w:val="left" w:pos="2745"/>
          <w:tab w:val="left" w:pos="3360"/>
          <w:tab w:val="left" w:pos="4060"/>
          <w:tab w:val="left" w:pos="4760"/>
          <w:tab w:val="left" w:pos="5360"/>
          <w:tab w:val="left" w:pos="5800"/>
          <w:tab w:val="left" w:pos="6735"/>
          <w:tab w:val="left" w:pos="7260"/>
          <w:tab w:val="left" w:pos="8000"/>
        </w:tabs>
        <w:autoSpaceDE w:val="0"/>
        <w:autoSpaceDN w:val="0"/>
        <w:adjustRightInd w:val="0"/>
        <w:snapToGrid w:val="0"/>
        <w:spacing w:line="480" w:lineRule="auto"/>
        <w:ind w:firstLine="420"/>
        <w:rPr>
          <w:rFonts w:ascii="宋体" w:hAnsi="宋体"/>
          <w:snapToGrid w:val="0"/>
          <w:kern w:val="0"/>
          <w:szCs w:val="21"/>
        </w:rPr>
      </w:pPr>
      <w:r>
        <w:rPr>
          <w:rFonts w:ascii="宋体" w:hAnsi="宋体"/>
          <w:snapToGrid w:val="0"/>
          <w:kern w:val="0"/>
          <w:szCs w:val="21"/>
        </w:rPr>
        <w:t>请将上述问题的澄清于</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u w:val="single"/>
        </w:rPr>
        <w:t xml:space="preserve">     </w:t>
      </w:r>
      <w:r>
        <w:rPr>
          <w:rFonts w:ascii="宋体" w:hAnsi="宋体"/>
          <w:snapToGrid w:val="0"/>
          <w:kern w:val="0"/>
          <w:szCs w:val="21"/>
        </w:rPr>
        <w:t>时前</w:t>
      </w:r>
      <w:r>
        <w:rPr>
          <w:rFonts w:hint="eastAsia" w:ascii="宋体" w:hAnsi="宋体"/>
          <w:snapToGrid w:val="0"/>
          <w:kern w:val="0"/>
          <w:szCs w:val="21"/>
        </w:rPr>
        <w:t>通过重庆市电子招投标系统提交</w:t>
      </w:r>
      <w:r>
        <w:rPr>
          <w:rFonts w:ascii="宋体" w:hAnsi="宋体"/>
          <w:snapToGrid w:val="0"/>
          <w:kern w:val="0"/>
          <w:szCs w:val="21"/>
        </w:rPr>
        <w:t>。</w:t>
      </w:r>
    </w:p>
    <w:p>
      <w:pPr>
        <w:autoSpaceDE w:val="0"/>
        <w:autoSpaceDN w:val="0"/>
        <w:adjustRightInd w:val="0"/>
        <w:snapToGrid w:val="0"/>
        <w:spacing w:line="360" w:lineRule="auto"/>
        <w:jc w:val="left"/>
        <w:rPr>
          <w:rFonts w:ascii="宋体" w:hAnsi="宋体"/>
          <w:snapToGrid w:val="0"/>
          <w:kern w:val="0"/>
          <w:sz w:val="20"/>
          <w:szCs w:val="20"/>
        </w:rPr>
      </w:pPr>
    </w:p>
    <w:p>
      <w:pPr>
        <w:tabs>
          <w:tab w:val="left" w:pos="6400"/>
        </w:tabs>
        <w:autoSpaceDE w:val="0"/>
        <w:autoSpaceDN w:val="0"/>
        <w:adjustRightInd w:val="0"/>
        <w:snapToGrid w:val="0"/>
        <w:spacing w:line="360" w:lineRule="auto"/>
        <w:jc w:val="right"/>
        <w:rPr>
          <w:rFonts w:ascii="宋体" w:hAnsi="宋体"/>
          <w:snapToGrid w:val="0"/>
          <w:kern w:val="0"/>
          <w:szCs w:val="21"/>
        </w:rPr>
      </w:pPr>
      <w:r>
        <w:rPr>
          <w:rFonts w:ascii="宋体" w:hAnsi="宋体"/>
          <w:snapToGrid w:val="0"/>
          <w:kern w:val="0"/>
          <w:szCs w:val="21"/>
        </w:rPr>
        <w:t xml:space="preserve">                             评标委员会：</w:t>
      </w:r>
      <w:r>
        <w:rPr>
          <w:rFonts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w:t>
      </w:r>
    </w:p>
    <w:p>
      <w:pPr>
        <w:pStyle w:val="2"/>
        <w:jc w:val="right"/>
        <w:rPr>
          <w:i/>
        </w:rPr>
      </w:pPr>
      <w:r>
        <w:rPr>
          <w:rFonts w:hint="eastAsia"/>
          <w:i/>
        </w:rPr>
        <w:t>[提示：重庆市电子招投标系统应实现投标人接收端口签名隐藏显示功能]</w:t>
      </w:r>
    </w:p>
    <w:p>
      <w:pPr>
        <w:tabs>
          <w:tab w:val="left" w:pos="6400"/>
        </w:tabs>
        <w:autoSpaceDE w:val="0"/>
        <w:autoSpaceDN w:val="0"/>
        <w:adjustRightInd w:val="0"/>
        <w:snapToGrid w:val="0"/>
        <w:spacing w:line="360" w:lineRule="auto"/>
        <w:ind w:right="120"/>
        <w:jc w:val="right"/>
        <w:rPr>
          <w:rFonts w:ascii="宋体" w:hAnsi="宋体"/>
          <w:snapToGrid w:val="0"/>
          <w:kern w:val="0"/>
          <w:sz w:val="24"/>
        </w:rPr>
      </w:pPr>
      <w:r>
        <w:rPr>
          <w:rFonts w:ascii="宋体" w:hAnsi="宋体"/>
          <w:snapToGrid w:val="0"/>
          <w:kern w:val="0"/>
          <w:sz w:val="24"/>
        </w:rPr>
        <w:t xml:space="preserve"> </w:t>
      </w:r>
    </w:p>
    <w:p>
      <w:pPr>
        <w:autoSpaceDE w:val="0"/>
        <w:autoSpaceDN w:val="0"/>
        <w:adjustRightInd w:val="0"/>
        <w:snapToGrid w:val="0"/>
        <w:spacing w:line="360" w:lineRule="auto"/>
        <w:ind w:firstLine="315" w:firstLineChars="150"/>
        <w:jc w:val="right"/>
        <w:rPr>
          <w:rFonts w:ascii="宋体" w:hAnsi="宋体"/>
          <w:snapToGrid w:val="0"/>
          <w:kern w:val="0"/>
          <w:szCs w:val="21"/>
        </w:rPr>
      </w:pPr>
      <w:r>
        <w:rPr>
          <w:rFonts w:ascii="宋体" w:hAnsi="宋体"/>
          <w:snapToGrid w:val="0"/>
          <w:kern w:val="0"/>
          <w:szCs w:val="21"/>
        </w:rPr>
        <w:t xml:space="preserve">                            </w:t>
      </w:r>
    </w:p>
    <w:p>
      <w:pPr>
        <w:wordWrap w:val="0"/>
        <w:autoSpaceDE w:val="0"/>
        <w:autoSpaceDN w:val="0"/>
        <w:adjustRightInd w:val="0"/>
        <w:snapToGrid w:val="0"/>
        <w:spacing w:line="360" w:lineRule="auto"/>
        <w:ind w:firstLine="850" w:firstLineChars="405"/>
        <w:jc w:val="righ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rPr>
        <w:t xml:space="preserve">  </w:t>
      </w:r>
    </w:p>
    <w:p>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sz w:val="24"/>
        </w:rPr>
        <w:br w:type="page"/>
      </w:r>
      <w:r>
        <w:rPr>
          <w:rFonts w:ascii="宋体" w:hAnsi="宋体"/>
          <w:b/>
          <w:snapToGrid w:val="0"/>
          <w:kern w:val="0"/>
        </w:rPr>
        <w:t>附表</w:t>
      </w:r>
      <w:r>
        <w:rPr>
          <w:rFonts w:hint="eastAsia" w:ascii="宋体" w:hAnsi="宋体"/>
          <w:b/>
          <w:snapToGrid w:val="0"/>
          <w:kern w:val="0"/>
        </w:rPr>
        <w:t>四</w:t>
      </w:r>
      <w:r>
        <w:rPr>
          <w:rFonts w:ascii="宋体" w:hAnsi="宋体"/>
          <w:b/>
          <w:snapToGrid w:val="0"/>
          <w:kern w:val="0"/>
        </w:rPr>
        <w:t>：问题的澄清</w:t>
      </w:r>
    </w:p>
    <w:p>
      <w:pPr>
        <w:autoSpaceDE w:val="0"/>
        <w:autoSpaceDN w:val="0"/>
        <w:adjustRightInd w:val="0"/>
        <w:snapToGrid w:val="0"/>
        <w:spacing w:line="360" w:lineRule="auto"/>
        <w:jc w:val="left"/>
        <w:rPr>
          <w:rFonts w:ascii="宋体" w:hAnsi="宋体"/>
          <w:b/>
          <w:snapToGrid w:val="0"/>
          <w:kern w:val="0"/>
          <w:sz w:val="10"/>
          <w:szCs w:val="10"/>
        </w:rPr>
      </w:pPr>
    </w:p>
    <w:p>
      <w:pPr>
        <w:autoSpaceDE w:val="0"/>
        <w:autoSpaceDN w:val="0"/>
        <w:adjustRightInd w:val="0"/>
        <w:snapToGrid w:val="0"/>
        <w:spacing w:line="360" w:lineRule="auto"/>
        <w:jc w:val="center"/>
        <w:rPr>
          <w:rFonts w:ascii="宋体" w:hAnsi="宋体"/>
          <w:b/>
          <w:snapToGrid w:val="0"/>
          <w:kern w:val="0"/>
          <w:sz w:val="32"/>
          <w:szCs w:val="32"/>
        </w:rPr>
      </w:pPr>
      <w:r>
        <w:rPr>
          <w:rFonts w:ascii="宋体" w:hAnsi="宋体"/>
          <w:b/>
          <w:snapToGrid w:val="0"/>
          <w:w w:val="99"/>
          <w:kern w:val="0"/>
          <w:sz w:val="32"/>
          <w:szCs w:val="32"/>
        </w:rPr>
        <w:t>问题的澄清</w:t>
      </w:r>
    </w:p>
    <w:p>
      <w:pPr>
        <w:autoSpaceDE w:val="0"/>
        <w:autoSpaceDN w:val="0"/>
        <w:adjustRightInd w:val="0"/>
        <w:snapToGrid w:val="0"/>
        <w:spacing w:line="360" w:lineRule="auto"/>
        <w:ind w:firstLine="3255" w:firstLineChars="1550"/>
        <w:jc w:val="left"/>
        <w:rPr>
          <w:rFonts w:ascii="宋体" w:hAnsi="宋体"/>
          <w:snapToGrid w:val="0"/>
          <w:kern w:val="0"/>
          <w:szCs w:val="21"/>
        </w:rPr>
      </w:pPr>
    </w:p>
    <w:p>
      <w:pPr>
        <w:autoSpaceDE w:val="0"/>
        <w:autoSpaceDN w:val="0"/>
        <w:adjustRightInd w:val="0"/>
        <w:snapToGrid w:val="0"/>
        <w:spacing w:line="360" w:lineRule="auto"/>
        <w:ind w:firstLine="3255" w:firstLineChars="1550"/>
        <w:jc w:val="left"/>
        <w:rPr>
          <w:rFonts w:ascii="宋体" w:hAnsi="宋体"/>
          <w:snapToGrid w:val="0"/>
          <w:kern w:val="0"/>
          <w:szCs w:val="21"/>
          <w:u w:val="single"/>
        </w:rPr>
      </w:pPr>
      <w:r>
        <w:rPr>
          <w:rFonts w:ascii="宋体" w:hAnsi="宋体"/>
          <w:snapToGrid w:val="0"/>
          <w:kern w:val="0"/>
          <w:szCs w:val="21"/>
        </w:rPr>
        <w:t>编号：</w:t>
      </w:r>
      <w:r>
        <w:rPr>
          <w:rFonts w:hint="eastAsia" w:ascii="宋体" w:hAnsi="宋体"/>
          <w:snapToGrid w:val="0"/>
          <w:kern w:val="0"/>
          <w:szCs w:val="21"/>
          <w:u w:val="single"/>
        </w:rPr>
        <w:t xml:space="preserve">                     </w:t>
      </w:r>
    </w:p>
    <w:p>
      <w:pPr>
        <w:autoSpaceDE w:val="0"/>
        <w:autoSpaceDN w:val="0"/>
        <w:adjustRightInd w:val="0"/>
        <w:snapToGrid w:val="0"/>
        <w:spacing w:line="360" w:lineRule="auto"/>
        <w:ind w:firstLine="3150" w:firstLineChars="1500"/>
        <w:rPr>
          <w:rFonts w:ascii="宋体" w:hAnsi="宋体"/>
          <w:snapToGrid w:val="0"/>
          <w:kern w:val="0"/>
          <w:szCs w:val="21"/>
        </w:rPr>
      </w:pPr>
    </w:p>
    <w:p>
      <w:pPr>
        <w:autoSpaceDE w:val="0"/>
        <w:autoSpaceDN w:val="0"/>
        <w:adjustRightInd w:val="0"/>
        <w:snapToGrid w:val="0"/>
        <w:spacing w:line="360" w:lineRule="auto"/>
        <w:ind w:firstLine="3150" w:firstLineChars="1500"/>
        <w:rPr>
          <w:rFonts w:ascii="宋体" w:hAnsi="宋体"/>
          <w:snapToGrid w:val="0"/>
          <w:kern w:val="0"/>
          <w:szCs w:val="21"/>
        </w:rPr>
      </w:pPr>
    </w:p>
    <w:p>
      <w:pPr>
        <w:tabs>
          <w:tab w:val="left" w:pos="735"/>
          <w:tab w:val="left" w:pos="420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（项目名称）</w:t>
      </w:r>
      <w:r>
        <w:rPr>
          <w:rFonts w:hint="eastAsia" w:ascii="宋体" w:hAnsi="宋体"/>
          <w:snapToGrid w:val="0"/>
          <w:kern w:val="0"/>
          <w:szCs w:val="21"/>
          <w:u w:val="single"/>
        </w:rPr>
        <w:t xml:space="preserve">    </w:t>
      </w:r>
      <w:r>
        <w:rPr>
          <w:rFonts w:ascii="宋体" w:hAnsi="宋体"/>
          <w:snapToGrid w:val="0"/>
          <w:kern w:val="0"/>
          <w:szCs w:val="21"/>
        </w:rPr>
        <w:t>招标评标委员会：</w:t>
      </w:r>
    </w:p>
    <w:p>
      <w:pPr>
        <w:tabs>
          <w:tab w:val="left" w:pos="2000"/>
          <w:tab w:val="left" w:pos="3480"/>
          <w:tab w:val="left" w:pos="420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kern w:val="0"/>
          <w:szCs w:val="21"/>
        </w:rPr>
        <w:t>问题澄清通知（编号：</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rPr>
        <w:t>）已收悉，现澄清如下：</w:t>
      </w:r>
    </w:p>
    <w:p>
      <w:pPr>
        <w:tabs>
          <w:tab w:val="left" w:pos="2000"/>
          <w:tab w:val="left" w:pos="3480"/>
          <w:tab w:val="left" w:pos="4200"/>
        </w:tabs>
        <w:autoSpaceDE w:val="0"/>
        <w:autoSpaceDN w:val="0"/>
        <w:adjustRightInd w:val="0"/>
        <w:snapToGrid w:val="0"/>
        <w:spacing w:line="360" w:lineRule="auto"/>
        <w:jc w:val="left"/>
        <w:rPr>
          <w:rFonts w:ascii="宋体" w:hAnsi="宋体"/>
          <w:snapToGrid w:val="0"/>
          <w:kern w:val="0"/>
          <w:szCs w:val="21"/>
        </w:rPr>
      </w:pPr>
    </w:p>
    <w:p>
      <w:pPr>
        <w:tabs>
          <w:tab w:val="left" w:pos="2000"/>
          <w:tab w:val="left" w:pos="3480"/>
          <w:tab w:val="left" w:pos="4200"/>
        </w:tabs>
        <w:autoSpaceDE w:val="0"/>
        <w:autoSpaceDN w:val="0"/>
        <w:adjustRightInd w:val="0"/>
        <w:snapToGrid w:val="0"/>
        <w:spacing w:line="360" w:lineRule="auto"/>
        <w:jc w:val="left"/>
        <w:rPr>
          <w:rFonts w:ascii="宋体" w:hAnsi="宋体"/>
          <w:snapToGrid w:val="0"/>
          <w:kern w:val="0"/>
          <w:szCs w:val="21"/>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1. </w:t>
      </w: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2. </w:t>
      </w: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2"/>
          <w:szCs w:val="22"/>
        </w:rPr>
      </w:pPr>
    </w:p>
    <w:p>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w:t>
      </w:r>
    </w:p>
    <w:p>
      <w:pPr>
        <w:autoSpaceDE w:val="0"/>
        <w:autoSpaceDN w:val="0"/>
        <w:adjustRightInd w:val="0"/>
        <w:snapToGrid w:val="0"/>
        <w:spacing w:line="360" w:lineRule="auto"/>
        <w:jc w:val="left"/>
        <w:rPr>
          <w:rFonts w:ascii="宋体" w:hAnsi="宋体"/>
          <w:snapToGrid w:val="0"/>
          <w:kern w:val="0"/>
          <w:sz w:val="18"/>
          <w:szCs w:val="18"/>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left"/>
        <w:rPr>
          <w:rFonts w:ascii="宋体" w:hAnsi="宋体"/>
          <w:snapToGrid w:val="0"/>
          <w:kern w:val="0"/>
          <w:sz w:val="20"/>
          <w:szCs w:val="20"/>
        </w:rPr>
      </w:pPr>
    </w:p>
    <w:p>
      <w:pPr>
        <w:tabs>
          <w:tab w:val="left" w:pos="7035"/>
        </w:tabs>
        <w:autoSpaceDE w:val="0"/>
        <w:autoSpaceDN w:val="0"/>
        <w:adjustRightInd w:val="0"/>
        <w:snapToGrid w:val="0"/>
        <w:spacing w:line="480" w:lineRule="auto"/>
        <w:ind w:firstLine="2551" w:firstLineChars="1215"/>
        <w:jc w:val="right"/>
        <w:rPr>
          <w:rFonts w:ascii="宋体" w:hAnsi="宋体"/>
          <w:snapToGrid w:val="0"/>
          <w:kern w:val="0"/>
          <w:szCs w:val="21"/>
        </w:rPr>
      </w:pPr>
      <w:r>
        <w:rPr>
          <w:rFonts w:ascii="宋体" w:hAnsi="宋体"/>
          <w:snapToGrid w:val="0"/>
          <w:kern w:val="0"/>
          <w:szCs w:val="21"/>
        </w:rPr>
        <w:t>投标人：</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rPr>
        <w:t xml:space="preserve">（盖单位法人章） </w:t>
      </w:r>
    </w:p>
    <w:p>
      <w:pPr>
        <w:tabs>
          <w:tab w:val="left" w:pos="6620"/>
          <w:tab w:val="left" w:pos="7040"/>
        </w:tabs>
        <w:autoSpaceDE w:val="0"/>
        <w:autoSpaceDN w:val="0"/>
        <w:adjustRightInd w:val="0"/>
        <w:snapToGrid w:val="0"/>
        <w:spacing w:line="480" w:lineRule="auto"/>
        <w:ind w:firstLine="2551" w:firstLineChars="1215"/>
        <w:jc w:val="right"/>
        <w:rPr>
          <w:rFonts w:ascii="宋体" w:hAnsi="宋体"/>
          <w:snapToGrid w:val="0"/>
          <w:kern w:val="0"/>
          <w:szCs w:val="21"/>
        </w:rPr>
      </w:pPr>
      <w:r>
        <w:rPr>
          <w:rFonts w:ascii="宋体" w:hAnsi="宋体"/>
          <w:snapToGrid w:val="0"/>
          <w:kern w:val="0"/>
          <w:szCs w:val="21"/>
        </w:rPr>
        <w:t>法定代表人或其委托代理人：</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ab/>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或盖章）</w:t>
      </w:r>
    </w:p>
    <w:p>
      <w:pPr>
        <w:autoSpaceDE w:val="0"/>
        <w:autoSpaceDN w:val="0"/>
        <w:adjustRightInd w:val="0"/>
        <w:snapToGrid w:val="0"/>
        <w:spacing w:line="360" w:lineRule="auto"/>
        <w:jc w:val="right"/>
        <w:rPr>
          <w:rFonts w:ascii="宋体" w:hAnsi="宋体"/>
          <w:snapToGrid w:val="0"/>
          <w:kern w:val="0"/>
          <w:sz w:val="20"/>
          <w:szCs w:val="20"/>
        </w:rPr>
      </w:pPr>
    </w:p>
    <w:p>
      <w:pPr>
        <w:wordWrap w:val="0"/>
        <w:autoSpaceDE w:val="0"/>
        <w:autoSpaceDN w:val="0"/>
        <w:adjustRightInd w:val="0"/>
        <w:snapToGrid w:val="0"/>
        <w:spacing w:line="360" w:lineRule="auto"/>
        <w:ind w:firstLine="315" w:firstLineChars="150"/>
        <w:jc w:val="righ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rPr>
        <w:t xml:space="preserve"> </w:t>
      </w:r>
    </w:p>
    <w:p>
      <w:pPr>
        <w:autoSpaceDE w:val="0"/>
        <w:autoSpaceDN w:val="0"/>
        <w:adjustRightInd w:val="0"/>
        <w:snapToGrid w:val="0"/>
        <w:spacing w:line="360" w:lineRule="auto"/>
        <w:jc w:val="left"/>
        <w:rPr>
          <w:rFonts w:ascii="宋体" w:hAnsi="宋体"/>
          <w:b/>
          <w:snapToGrid w:val="0"/>
          <w:kern w:val="0"/>
          <w:sz w:val="24"/>
        </w:rPr>
      </w:pPr>
    </w:p>
    <w:p>
      <w:pPr>
        <w:autoSpaceDE w:val="0"/>
        <w:autoSpaceDN w:val="0"/>
        <w:adjustRightInd w:val="0"/>
        <w:snapToGrid w:val="0"/>
        <w:spacing w:line="360" w:lineRule="auto"/>
        <w:jc w:val="left"/>
        <w:rPr>
          <w:rFonts w:ascii="宋体" w:hAnsi="宋体"/>
          <w:snapToGrid w:val="0"/>
          <w:kern w:val="0"/>
          <w:sz w:val="20"/>
          <w:szCs w:val="20"/>
        </w:rPr>
      </w:pPr>
      <w:r>
        <w:rPr>
          <w:rFonts w:ascii="宋体" w:hAnsi="宋体"/>
          <w:b/>
          <w:snapToGrid w:val="0"/>
          <w:kern w:val="0"/>
        </w:rPr>
        <w:t>附表</w:t>
      </w:r>
      <w:r>
        <w:rPr>
          <w:rFonts w:hint="eastAsia" w:ascii="宋体" w:hAnsi="宋体"/>
          <w:b/>
          <w:snapToGrid w:val="0"/>
          <w:kern w:val="0"/>
        </w:rPr>
        <w:t>五</w:t>
      </w:r>
      <w:r>
        <w:rPr>
          <w:rFonts w:ascii="宋体" w:hAnsi="宋体"/>
          <w:b/>
          <w:snapToGrid w:val="0"/>
          <w:kern w:val="0"/>
        </w:rPr>
        <w:t>：中标通知书</w:t>
      </w:r>
    </w:p>
    <w:p>
      <w:pPr>
        <w:autoSpaceDE w:val="0"/>
        <w:autoSpaceDN w:val="0"/>
        <w:adjustRightInd w:val="0"/>
        <w:spacing w:line="360" w:lineRule="auto"/>
        <w:jc w:val="left"/>
        <w:rPr>
          <w:rFonts w:ascii="宋体" w:hAnsi="宋体"/>
          <w:snapToGrid w:val="0"/>
          <w:kern w:val="0"/>
          <w:sz w:val="20"/>
          <w:szCs w:val="20"/>
        </w:rPr>
      </w:pPr>
    </w:p>
    <w:p>
      <w:pPr>
        <w:autoSpaceDE w:val="0"/>
        <w:autoSpaceDN w:val="0"/>
        <w:adjustRightInd w:val="0"/>
        <w:spacing w:line="360" w:lineRule="auto"/>
        <w:jc w:val="left"/>
        <w:rPr>
          <w:rFonts w:ascii="宋体" w:hAnsi="宋体"/>
          <w:snapToGrid w:val="0"/>
          <w:kern w:val="0"/>
          <w:sz w:val="20"/>
          <w:szCs w:val="20"/>
        </w:rPr>
      </w:pPr>
    </w:p>
    <w:p>
      <w:pPr>
        <w:autoSpaceDE w:val="0"/>
        <w:autoSpaceDN w:val="0"/>
        <w:adjustRightInd w:val="0"/>
        <w:spacing w:line="360" w:lineRule="auto"/>
        <w:jc w:val="left"/>
        <w:rPr>
          <w:rFonts w:ascii="宋体" w:hAnsi="宋体"/>
          <w:snapToGrid w:val="0"/>
          <w:kern w:val="0"/>
          <w:sz w:val="20"/>
          <w:szCs w:val="20"/>
        </w:rPr>
      </w:pPr>
    </w:p>
    <w:p>
      <w:pPr>
        <w:autoSpaceDE w:val="0"/>
        <w:autoSpaceDN w:val="0"/>
        <w:adjustRightInd w:val="0"/>
        <w:snapToGrid w:val="0"/>
        <w:spacing w:line="360" w:lineRule="auto"/>
        <w:jc w:val="center"/>
        <w:rPr>
          <w:rFonts w:ascii="宋体" w:hAnsi="宋体"/>
          <w:b/>
          <w:snapToGrid w:val="0"/>
          <w:w w:val="99"/>
          <w:kern w:val="0"/>
          <w:sz w:val="32"/>
          <w:szCs w:val="32"/>
        </w:rPr>
      </w:pPr>
      <w:r>
        <w:rPr>
          <w:rFonts w:hint="eastAsia" w:ascii="宋体" w:hAnsi="宋体"/>
          <w:b/>
          <w:snapToGrid w:val="0"/>
          <w:w w:val="99"/>
          <w:kern w:val="0"/>
          <w:sz w:val="32"/>
          <w:szCs w:val="32"/>
        </w:rPr>
        <w:t>重庆市建设工程中标通知书</w:t>
      </w:r>
    </w:p>
    <w:p>
      <w:pPr>
        <w:spacing w:line="360" w:lineRule="auto"/>
        <w:rPr>
          <w:rFonts w:ascii="宋体" w:hAnsi="宋体"/>
          <w:bCs/>
          <w:kern w:val="0"/>
          <w:szCs w:val="21"/>
          <w:u w:val="single"/>
        </w:rPr>
      </w:pPr>
      <w:r>
        <w:rPr>
          <w:rFonts w:ascii="宋体" w:hAnsi="宋体"/>
          <w:bCs/>
          <w:kern w:val="0"/>
          <w:szCs w:val="21"/>
          <w:u w:val="single"/>
        </w:rPr>
        <w:t xml:space="preserve">       </w:t>
      </w:r>
      <w:r>
        <w:rPr>
          <w:rFonts w:ascii="宋体" w:hAnsi="宋体"/>
          <w:kern w:val="0"/>
          <w:szCs w:val="21"/>
          <w:u w:val="single"/>
        </w:rPr>
        <w:t>中标单位</w:t>
      </w:r>
      <w:r>
        <w:rPr>
          <w:rFonts w:ascii="宋体" w:hAnsi="宋体"/>
          <w:bCs/>
          <w:kern w:val="0"/>
          <w:szCs w:val="21"/>
          <w:u w:val="single"/>
        </w:rPr>
        <w:t xml:space="preserve">               </w:t>
      </w:r>
      <w:r>
        <w:rPr>
          <w:rFonts w:ascii="宋体" w:hAnsi="宋体"/>
          <w:bCs/>
          <w:kern w:val="0"/>
          <w:szCs w:val="21"/>
        </w:rPr>
        <w:t>：</w:t>
      </w:r>
    </w:p>
    <w:p>
      <w:pPr>
        <w:spacing w:line="360" w:lineRule="auto"/>
        <w:ind w:firstLine="420" w:firstLineChars="200"/>
        <w:rPr>
          <w:rFonts w:ascii="宋体" w:hAnsi="宋体"/>
          <w:kern w:val="0"/>
          <w:szCs w:val="21"/>
        </w:rPr>
      </w:pPr>
      <w:r>
        <w:rPr>
          <w:rFonts w:ascii="宋体" w:hAnsi="宋体"/>
          <w:kern w:val="0"/>
          <w:szCs w:val="21"/>
        </w:rPr>
        <w:t xml:space="preserve">我单位拟建的 </w:t>
      </w:r>
      <w:r>
        <w:rPr>
          <w:rFonts w:ascii="宋体" w:hAnsi="宋体"/>
          <w:bCs/>
          <w:kern w:val="0"/>
          <w:szCs w:val="21"/>
          <w:u w:val="single"/>
        </w:rPr>
        <w:t xml:space="preserve">   </w:t>
      </w:r>
      <w:r>
        <w:rPr>
          <w:rFonts w:hint="eastAsia" w:ascii="宋体" w:hAnsi="宋体"/>
          <w:bCs/>
          <w:kern w:val="0"/>
          <w:szCs w:val="21"/>
          <w:u w:val="single"/>
        </w:rPr>
        <w:t>（项目名称）</w:t>
      </w:r>
      <w:r>
        <w:rPr>
          <w:rFonts w:ascii="宋体" w:hAnsi="宋体"/>
          <w:bCs/>
          <w:kern w:val="0"/>
          <w:szCs w:val="21"/>
          <w:u w:val="single"/>
        </w:rPr>
        <w:t xml:space="preserve">    </w:t>
      </w:r>
      <w:r>
        <w:rPr>
          <w:rFonts w:ascii="宋体" w:hAnsi="宋体"/>
          <w:kern w:val="0"/>
          <w:szCs w:val="21"/>
        </w:rPr>
        <w:t>于</w:t>
      </w:r>
      <w:r>
        <w:rPr>
          <w:rFonts w:ascii="宋体" w:hAnsi="宋体"/>
          <w:bCs/>
          <w:kern w:val="0"/>
          <w:szCs w:val="21"/>
          <w:u w:val="single"/>
        </w:rPr>
        <w:t xml:space="preserve">    </w:t>
      </w:r>
      <w:r>
        <w:rPr>
          <w:rFonts w:ascii="宋体" w:hAnsi="宋体"/>
          <w:kern w:val="0"/>
          <w:szCs w:val="21"/>
        </w:rPr>
        <w:t>年</w:t>
      </w:r>
      <w:r>
        <w:rPr>
          <w:rFonts w:hint="eastAsia" w:ascii="宋体" w:hAnsi="宋体"/>
          <w:bCs/>
          <w:kern w:val="0"/>
          <w:szCs w:val="21"/>
          <w:u w:val="single"/>
        </w:rPr>
        <w:t xml:space="preserve">    </w:t>
      </w:r>
      <w:r>
        <w:rPr>
          <w:rFonts w:ascii="宋体" w:hAnsi="宋体"/>
          <w:kern w:val="0"/>
          <w:szCs w:val="21"/>
        </w:rPr>
        <w:t>月</w:t>
      </w:r>
      <w:r>
        <w:rPr>
          <w:rFonts w:hint="eastAsia" w:ascii="宋体" w:hAnsi="宋体"/>
          <w:bCs/>
          <w:kern w:val="0"/>
          <w:szCs w:val="21"/>
          <w:u w:val="single"/>
        </w:rPr>
        <w:t xml:space="preserve">    </w:t>
      </w:r>
      <w:r>
        <w:rPr>
          <w:rFonts w:ascii="宋体" w:hAnsi="宋体"/>
          <w:kern w:val="0"/>
          <w:szCs w:val="21"/>
        </w:rPr>
        <w:t>日开标，经评标委员会评定，确定你单位为中标人，中标额为</w:t>
      </w:r>
      <w:r>
        <w:rPr>
          <w:rFonts w:hint="eastAsia" w:ascii="宋体" w:hAnsi="宋体"/>
          <w:kern w:val="0"/>
          <w:szCs w:val="21"/>
        </w:rPr>
        <w:t>（大写）</w:t>
      </w:r>
      <w:r>
        <w:rPr>
          <w:rFonts w:hint="eastAsia" w:ascii="宋体" w:hAnsi="宋体"/>
          <w:kern w:val="0"/>
          <w:szCs w:val="21"/>
          <w:u w:val="single"/>
        </w:rPr>
        <w:t xml:space="preserve">        </w:t>
      </w:r>
      <w:r>
        <w:rPr>
          <w:rFonts w:hint="eastAsia" w:ascii="宋体" w:hAnsi="宋体"/>
          <w:kern w:val="0"/>
          <w:szCs w:val="21"/>
        </w:rPr>
        <w:t>，</w:t>
      </w:r>
      <w:r>
        <w:rPr>
          <w:rFonts w:ascii="宋体" w:hAnsi="宋体"/>
          <w:bCs/>
          <w:kern w:val="0"/>
          <w:szCs w:val="21"/>
          <w:u w:val="single"/>
        </w:rPr>
        <w:t xml:space="preserve">￥ </w:t>
      </w:r>
      <w:r>
        <w:rPr>
          <w:rFonts w:hint="eastAsia" w:ascii="宋体" w:hAnsi="宋体"/>
          <w:bCs/>
          <w:kern w:val="0"/>
          <w:szCs w:val="21"/>
          <w:u w:val="single"/>
        </w:rPr>
        <w:t xml:space="preserve">  </w:t>
      </w:r>
      <w:r>
        <w:rPr>
          <w:rFonts w:ascii="宋体" w:hAnsi="宋体"/>
          <w:bCs/>
          <w:kern w:val="0"/>
          <w:szCs w:val="21"/>
          <w:u w:val="single"/>
        </w:rPr>
        <w:t xml:space="preserve">  </w:t>
      </w:r>
      <w:r>
        <w:rPr>
          <w:rFonts w:ascii="宋体" w:hAnsi="宋体"/>
          <w:kern w:val="0"/>
          <w:szCs w:val="21"/>
        </w:rPr>
        <w:t xml:space="preserve">（其中含安全文明施工费 </w:t>
      </w:r>
      <w:r>
        <w:rPr>
          <w:rFonts w:ascii="宋体" w:hAnsi="宋体"/>
          <w:bCs/>
          <w:kern w:val="0"/>
          <w:szCs w:val="21"/>
          <w:u w:val="single"/>
        </w:rPr>
        <w:t xml:space="preserve">￥    </w:t>
      </w:r>
      <w:r>
        <w:rPr>
          <w:rFonts w:ascii="宋体" w:hAnsi="宋体"/>
          <w:kern w:val="0"/>
          <w:szCs w:val="21"/>
        </w:rPr>
        <w:t>）。中标工程范围：</w:t>
      </w:r>
      <w:r>
        <w:rPr>
          <w:rFonts w:ascii="宋体" w:hAnsi="宋体"/>
          <w:bCs/>
          <w:kern w:val="0"/>
          <w:szCs w:val="21"/>
          <w:u w:val="single"/>
        </w:rPr>
        <w:t xml:space="preserve">     </w:t>
      </w:r>
      <w:r>
        <w:rPr>
          <w:rFonts w:ascii="宋体" w:hAnsi="宋体"/>
          <w:kern w:val="0"/>
          <w:szCs w:val="21"/>
        </w:rPr>
        <w:t xml:space="preserve">，工程规模为 </w:t>
      </w:r>
      <w:r>
        <w:rPr>
          <w:rFonts w:ascii="宋体" w:hAnsi="宋体"/>
          <w:bCs/>
          <w:kern w:val="0"/>
          <w:szCs w:val="21"/>
          <w:u w:val="single"/>
        </w:rPr>
        <w:t xml:space="preserve">      </w:t>
      </w:r>
      <w:r>
        <w:rPr>
          <w:rFonts w:ascii="宋体" w:hAnsi="宋体"/>
          <w:kern w:val="0"/>
          <w:szCs w:val="21"/>
        </w:rPr>
        <w:t xml:space="preserve">，中标工期 </w:t>
      </w:r>
      <w:r>
        <w:rPr>
          <w:rFonts w:ascii="宋体" w:hAnsi="宋体"/>
          <w:bCs/>
          <w:kern w:val="0"/>
          <w:szCs w:val="21"/>
          <w:u w:val="single"/>
        </w:rPr>
        <w:t xml:space="preserve">   </w:t>
      </w:r>
      <w:r>
        <w:rPr>
          <w:rFonts w:ascii="宋体" w:hAnsi="宋体"/>
          <w:kern w:val="0"/>
          <w:szCs w:val="21"/>
          <w:u w:val="single"/>
        </w:rPr>
        <w:t>日历天</w:t>
      </w:r>
      <w:r>
        <w:rPr>
          <w:rFonts w:ascii="宋体" w:hAnsi="宋体"/>
          <w:kern w:val="0"/>
          <w:szCs w:val="21"/>
        </w:rPr>
        <w:t>，工程质量达到国家施工验收规范标准。 项目经理由</w:t>
      </w:r>
      <w:r>
        <w:rPr>
          <w:rFonts w:ascii="宋体" w:hAnsi="宋体"/>
          <w:bCs/>
          <w:kern w:val="0"/>
          <w:szCs w:val="21"/>
          <w:u w:val="single"/>
        </w:rPr>
        <w:t xml:space="preserve">  </w:t>
      </w:r>
      <w:r>
        <w:rPr>
          <w:rFonts w:hint="eastAsia" w:ascii="宋体" w:hAnsi="宋体"/>
          <w:bCs/>
          <w:kern w:val="0"/>
          <w:szCs w:val="21"/>
          <w:u w:val="single"/>
        </w:rPr>
        <w:t xml:space="preserve">      </w:t>
      </w:r>
      <w:r>
        <w:rPr>
          <w:rFonts w:ascii="宋体" w:hAnsi="宋体"/>
          <w:bCs/>
          <w:kern w:val="0"/>
          <w:szCs w:val="21"/>
          <w:u w:val="single"/>
        </w:rPr>
        <w:t xml:space="preserve">  </w:t>
      </w:r>
      <w:r>
        <w:rPr>
          <w:rFonts w:ascii="宋体" w:hAnsi="宋体"/>
          <w:kern w:val="0"/>
          <w:szCs w:val="21"/>
        </w:rPr>
        <w:t>担任。</w:t>
      </w:r>
    </w:p>
    <w:p>
      <w:pPr>
        <w:spacing w:line="360" w:lineRule="auto"/>
        <w:ind w:firstLine="420" w:firstLineChars="200"/>
        <w:rPr>
          <w:rFonts w:ascii="宋体" w:hAnsi="宋体"/>
          <w:kern w:val="0"/>
          <w:szCs w:val="21"/>
        </w:rPr>
      </w:pPr>
      <w:r>
        <w:rPr>
          <w:rFonts w:ascii="宋体" w:hAnsi="宋体"/>
          <w:kern w:val="0"/>
          <w:szCs w:val="21"/>
        </w:rPr>
        <w:t xml:space="preserve">你单位收到中标通知书后，在 </w:t>
      </w:r>
      <w:r>
        <w:rPr>
          <w:rFonts w:ascii="宋体" w:hAnsi="宋体"/>
          <w:bCs/>
          <w:kern w:val="0"/>
          <w:szCs w:val="21"/>
          <w:u w:val="single"/>
        </w:rPr>
        <w:t xml:space="preserve"> </w:t>
      </w:r>
      <w:r>
        <w:rPr>
          <w:rFonts w:hint="eastAsia" w:ascii="宋体" w:hAnsi="宋体"/>
          <w:bCs/>
          <w:kern w:val="0"/>
          <w:szCs w:val="21"/>
          <w:u w:val="single"/>
        </w:rPr>
        <w:t xml:space="preserve">      </w:t>
      </w:r>
      <w:r>
        <w:rPr>
          <w:rFonts w:ascii="宋体" w:hAnsi="宋体"/>
          <w:bCs/>
          <w:kern w:val="0"/>
          <w:szCs w:val="21"/>
          <w:u w:val="single"/>
        </w:rPr>
        <w:t xml:space="preserve">   </w:t>
      </w:r>
      <w:r>
        <w:rPr>
          <w:rFonts w:ascii="宋体" w:hAnsi="宋体"/>
          <w:kern w:val="0"/>
          <w:szCs w:val="21"/>
        </w:rPr>
        <w:t>日内到我单位签订承发包合同。</w:t>
      </w:r>
      <w:r>
        <w:rPr>
          <w:szCs w:val="21"/>
        </w:rPr>
        <w:t>在此之前按招标文件第二章</w:t>
      </w:r>
      <w:r>
        <w:rPr>
          <w:rFonts w:hint="eastAsia"/>
          <w:szCs w:val="21"/>
        </w:rPr>
        <w:t>“</w:t>
      </w:r>
      <w:r>
        <w:rPr>
          <w:szCs w:val="21"/>
        </w:rPr>
        <w:t>投标人须知</w:t>
      </w:r>
      <w:r>
        <w:rPr>
          <w:rFonts w:hint="eastAsia"/>
          <w:szCs w:val="21"/>
        </w:rPr>
        <w:t>”</w:t>
      </w:r>
      <w:r>
        <w:rPr>
          <w:szCs w:val="21"/>
        </w:rPr>
        <w:t>第7.</w:t>
      </w:r>
      <w:r>
        <w:rPr>
          <w:rFonts w:hint="eastAsia"/>
          <w:szCs w:val="21"/>
        </w:rPr>
        <w:t>3</w:t>
      </w:r>
      <w:r>
        <w:rPr>
          <w:szCs w:val="21"/>
        </w:rPr>
        <w:t>款规定向我方提交履约担保。</w:t>
      </w:r>
    </w:p>
    <w:p>
      <w:pPr>
        <w:spacing w:line="360" w:lineRule="auto"/>
        <w:ind w:firstLine="420" w:firstLineChars="200"/>
        <w:rPr>
          <w:rFonts w:ascii="宋体" w:hAnsi="宋体"/>
          <w:kern w:val="0"/>
          <w:szCs w:val="21"/>
        </w:rPr>
      </w:pPr>
      <w:r>
        <w:rPr>
          <w:rFonts w:ascii="宋体" w:hAnsi="宋体"/>
          <w:kern w:val="0"/>
          <w:szCs w:val="21"/>
        </w:rPr>
        <w:t>特此通知。</w:t>
      </w:r>
    </w:p>
    <w:p>
      <w:pPr>
        <w:spacing w:line="480" w:lineRule="auto"/>
        <w:rPr>
          <w:rFonts w:ascii="宋体" w:hAnsi="宋体"/>
          <w:kern w:val="0"/>
          <w:sz w:val="24"/>
        </w:rPr>
      </w:pPr>
    </w:p>
    <w:p>
      <w:pPr>
        <w:spacing w:line="480" w:lineRule="auto"/>
        <w:rPr>
          <w:rFonts w:ascii="宋体" w:hAnsi="宋体"/>
          <w:kern w:val="0"/>
          <w:sz w:val="24"/>
        </w:rPr>
      </w:pPr>
    </w:p>
    <w:p>
      <w:pPr>
        <w:spacing w:line="480" w:lineRule="auto"/>
        <w:rPr>
          <w:rFonts w:ascii="宋体" w:hAnsi="宋体"/>
          <w:kern w:val="0"/>
          <w:sz w:val="24"/>
        </w:rPr>
      </w:pPr>
    </w:p>
    <w:p>
      <w:pPr>
        <w:spacing w:line="480" w:lineRule="auto"/>
        <w:jc w:val="left"/>
        <w:rPr>
          <w:rFonts w:ascii="宋体" w:hAnsi="宋体"/>
          <w:kern w:val="0"/>
          <w:szCs w:val="21"/>
        </w:rPr>
      </w:pPr>
      <w:r>
        <w:rPr>
          <w:rFonts w:ascii="宋体" w:hAnsi="宋体"/>
          <w:kern w:val="0"/>
          <w:sz w:val="24"/>
        </w:rPr>
        <w:t xml:space="preserve">                                </w:t>
      </w:r>
      <w:r>
        <w:rPr>
          <w:rFonts w:ascii="宋体" w:hAnsi="宋体"/>
          <w:kern w:val="0"/>
          <w:szCs w:val="21"/>
        </w:rPr>
        <w:t>招标人</w:t>
      </w:r>
      <w:r>
        <w:rPr>
          <w:rFonts w:ascii="宋体" w:hAnsi="宋体"/>
          <w:snapToGrid w:val="0"/>
          <w:kern w:val="0"/>
          <w:szCs w:val="21"/>
        </w:rPr>
        <w:t>：</w:t>
      </w:r>
      <w:r>
        <w:rPr>
          <w:rFonts w:ascii="宋体" w:hAnsi="宋体"/>
          <w:kern w:val="0"/>
          <w:szCs w:val="21"/>
          <w:u w:val="single"/>
        </w:rPr>
        <w:t xml:space="preserve">                          </w:t>
      </w:r>
      <w:r>
        <w:rPr>
          <w:rFonts w:ascii="宋体" w:hAnsi="宋体"/>
          <w:kern w:val="0"/>
          <w:szCs w:val="21"/>
        </w:rPr>
        <w:t>（</w:t>
      </w:r>
      <w:r>
        <w:rPr>
          <w:rFonts w:ascii="宋体" w:hAnsi="宋体"/>
          <w:snapToGrid w:val="0"/>
          <w:kern w:val="0"/>
          <w:szCs w:val="21"/>
        </w:rPr>
        <w:t>盖单位法人章</w:t>
      </w:r>
      <w:r>
        <w:rPr>
          <w:rFonts w:ascii="宋体" w:hAnsi="宋体"/>
          <w:kern w:val="0"/>
          <w:szCs w:val="21"/>
        </w:rPr>
        <w:t>）</w:t>
      </w:r>
    </w:p>
    <w:p>
      <w:pPr>
        <w:spacing w:line="480" w:lineRule="auto"/>
        <w:jc w:val="left"/>
        <w:rPr>
          <w:rFonts w:ascii="宋体" w:hAnsi="宋体"/>
          <w:kern w:val="0"/>
          <w:szCs w:val="21"/>
        </w:rPr>
      </w:pP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法定代表人</w:t>
      </w:r>
      <w:r>
        <w:rPr>
          <w:rFonts w:ascii="宋体" w:hAnsi="宋体"/>
          <w:snapToGrid w:val="0"/>
          <w:kern w:val="0"/>
          <w:szCs w:val="21"/>
        </w:rPr>
        <w:t>：</w:t>
      </w:r>
      <w:r>
        <w:rPr>
          <w:rFonts w:ascii="宋体" w:hAnsi="宋体"/>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pPr>
        <w:spacing w:line="480" w:lineRule="auto"/>
        <w:jc w:val="left"/>
        <w:rPr>
          <w:rFonts w:ascii="宋体" w:hAnsi="宋体"/>
          <w:kern w:val="0"/>
          <w:szCs w:val="21"/>
          <w:u w:val="single"/>
        </w:rPr>
      </w:pP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联系人</w:t>
      </w:r>
      <w:r>
        <w:rPr>
          <w:rFonts w:ascii="宋体" w:hAnsi="宋体"/>
          <w:snapToGrid w:val="0"/>
          <w:kern w:val="0"/>
          <w:szCs w:val="21"/>
        </w:rPr>
        <w:t>：</w:t>
      </w:r>
      <w:r>
        <w:rPr>
          <w:rFonts w:ascii="宋体" w:hAnsi="宋体"/>
          <w:kern w:val="0"/>
          <w:szCs w:val="21"/>
          <w:u w:val="single"/>
        </w:rPr>
        <w:t xml:space="preserve">                          </w:t>
      </w:r>
    </w:p>
    <w:p>
      <w:pPr>
        <w:spacing w:line="480" w:lineRule="auto"/>
        <w:jc w:val="left"/>
        <w:rPr>
          <w:rFonts w:ascii="宋体" w:hAnsi="宋体"/>
          <w:kern w:val="0"/>
          <w:szCs w:val="21"/>
        </w:rPr>
      </w:pP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联系电话</w:t>
      </w:r>
      <w:r>
        <w:rPr>
          <w:rFonts w:ascii="宋体" w:hAnsi="宋体"/>
          <w:snapToGrid w:val="0"/>
          <w:kern w:val="0"/>
          <w:szCs w:val="21"/>
        </w:rPr>
        <w:t>：</w:t>
      </w:r>
      <w:r>
        <w:rPr>
          <w:rFonts w:ascii="宋体" w:hAnsi="宋体"/>
          <w:kern w:val="0"/>
          <w:szCs w:val="21"/>
          <w:u w:val="single"/>
        </w:rPr>
        <w:t xml:space="preserve">                        </w:t>
      </w:r>
    </w:p>
    <w:p>
      <w:pPr>
        <w:spacing w:line="480" w:lineRule="auto"/>
        <w:jc w:val="right"/>
        <w:rPr>
          <w:rFonts w:ascii="宋体" w:hAnsi="宋体"/>
          <w:kern w:val="0"/>
          <w:szCs w:val="21"/>
        </w:rPr>
      </w:pPr>
    </w:p>
    <w:p>
      <w:pPr>
        <w:spacing w:line="480" w:lineRule="auto"/>
        <w:jc w:val="right"/>
        <w:rPr>
          <w:rFonts w:ascii="宋体" w:hAnsi="宋体"/>
          <w:kern w:val="0"/>
          <w:szCs w:val="21"/>
        </w:rPr>
      </w:pPr>
    </w:p>
    <w:p>
      <w:pPr>
        <w:spacing w:line="480" w:lineRule="auto"/>
        <w:jc w:val="right"/>
        <w:rPr>
          <w:rFonts w:ascii="宋体" w:hAnsi="宋体"/>
          <w:kern w:val="0"/>
          <w:sz w:val="24"/>
        </w:rPr>
      </w:pPr>
      <w:r>
        <w:rPr>
          <w:rFonts w:ascii="宋体" w:hAnsi="宋体"/>
          <w:kern w:val="0"/>
          <w:szCs w:val="21"/>
        </w:rPr>
        <w:t xml:space="preserve">                   签发日期</w:t>
      </w:r>
      <w:r>
        <w:rPr>
          <w:rFonts w:ascii="宋体" w:hAnsi="宋体"/>
          <w:snapToGrid w:val="0"/>
          <w:kern w:val="0"/>
          <w:szCs w:val="21"/>
        </w:rPr>
        <w:t>：</w:t>
      </w:r>
      <w:r>
        <w:rPr>
          <w:rFonts w:ascii="宋体" w:hAnsi="宋体"/>
          <w:kern w:val="0"/>
          <w:szCs w:val="21"/>
          <w:u w:val="single"/>
        </w:rPr>
        <w:t xml:space="preserve">        </w:t>
      </w:r>
      <w:r>
        <w:rPr>
          <w:rFonts w:ascii="宋体" w:hAnsi="宋体"/>
          <w:kern w:val="0"/>
          <w:szCs w:val="21"/>
        </w:rPr>
        <w:t>年</w:t>
      </w:r>
      <w:r>
        <w:rPr>
          <w:rFonts w:ascii="宋体" w:hAnsi="宋体"/>
          <w:kern w:val="0"/>
          <w:szCs w:val="21"/>
          <w:u w:val="single"/>
        </w:rPr>
        <w:t xml:space="preserve">     </w:t>
      </w:r>
      <w:r>
        <w:rPr>
          <w:rFonts w:ascii="宋体" w:hAnsi="宋体"/>
          <w:kern w:val="0"/>
          <w:szCs w:val="21"/>
        </w:rPr>
        <w:t>月</w:t>
      </w:r>
      <w:r>
        <w:rPr>
          <w:rFonts w:ascii="宋体" w:hAnsi="宋体"/>
          <w:kern w:val="0"/>
          <w:szCs w:val="21"/>
          <w:u w:val="single"/>
        </w:rPr>
        <w:t xml:space="preserve">     </w:t>
      </w:r>
      <w:r>
        <w:rPr>
          <w:rFonts w:ascii="宋体" w:hAnsi="宋体"/>
          <w:kern w:val="0"/>
          <w:szCs w:val="21"/>
        </w:rPr>
        <w:t>日</w:t>
      </w:r>
    </w:p>
    <w:p>
      <w:pPr>
        <w:spacing w:line="200" w:lineRule="exact"/>
        <w:rPr>
          <w:rFonts w:ascii="宋体" w:hAnsi="宋体"/>
          <w:kern w:val="0"/>
        </w:rPr>
      </w:pPr>
      <w:r>
        <w:rPr>
          <w:rFonts w:ascii="宋体" w:hAnsi="宋体"/>
          <w:kern w:val="0"/>
          <w:sz w:val="24"/>
        </w:rPr>
        <w:br w:type="page"/>
      </w:r>
      <w:bookmarkStart w:id="621" w:name="招标文件03章02评标办法综合评估法"/>
      <w:bookmarkEnd w:id="621"/>
      <w:bookmarkStart w:id="622" w:name="招标文件03章02评标办法综合评估法00"/>
      <w:bookmarkEnd w:id="622"/>
      <w:bookmarkStart w:id="623" w:name="_Toc277082618"/>
      <w:bookmarkStart w:id="624" w:name="_Toc224103384"/>
      <w:bookmarkStart w:id="625" w:name="_Toc430530500"/>
      <w:bookmarkStart w:id="626" w:name="_Toc287607812"/>
      <w:bookmarkStart w:id="627" w:name="_Toc200513198"/>
      <w:bookmarkStart w:id="628" w:name="_Toc287620751"/>
    </w:p>
    <w:p>
      <w:pPr>
        <w:pStyle w:val="3"/>
        <w:spacing w:line="360" w:lineRule="auto"/>
        <w:ind w:firstLine="883" w:firstLineChars="200"/>
        <w:jc w:val="center"/>
        <w:rPr>
          <w:rFonts w:ascii="宋体" w:hAnsi="宋体"/>
        </w:rPr>
      </w:pPr>
      <w:bookmarkStart w:id="629" w:name="_Toc21851"/>
      <w:bookmarkStart w:id="630" w:name="_Toc509218774"/>
      <w:bookmarkStart w:id="631" w:name="_Toc19997"/>
      <w:bookmarkStart w:id="632" w:name="_Toc29305"/>
      <w:r>
        <w:rPr>
          <w:rFonts w:ascii="宋体" w:hAnsi="宋体"/>
        </w:rPr>
        <w:t xml:space="preserve">第三章 </w:t>
      </w:r>
      <w:r>
        <w:rPr>
          <w:rFonts w:hint="eastAsia" w:ascii="宋体" w:hAnsi="宋体"/>
        </w:rPr>
        <w:t xml:space="preserve"> </w:t>
      </w:r>
      <w:r>
        <w:rPr>
          <w:rFonts w:ascii="宋体" w:hAnsi="宋体"/>
        </w:rPr>
        <w:t>评标办法（综合评估法）</w:t>
      </w:r>
      <w:bookmarkEnd w:id="629"/>
      <w:bookmarkEnd w:id="630"/>
      <w:bookmarkEnd w:id="631"/>
      <w:bookmarkEnd w:id="632"/>
      <w:bookmarkStart w:id="633" w:name="_Toc277082617"/>
      <w:bookmarkStart w:id="634" w:name="_Toc224103383"/>
      <w:bookmarkStart w:id="635" w:name="_Toc287607811"/>
      <w:bookmarkStart w:id="636" w:name="_Toc287620750"/>
      <w:bookmarkStart w:id="637" w:name="_Toc430530499"/>
    </w:p>
    <w:p>
      <w:pPr>
        <w:pStyle w:val="4"/>
        <w:spacing w:before="100" w:after="100" w:line="360" w:lineRule="auto"/>
        <w:rPr>
          <w:rFonts w:ascii="宋体" w:hAnsi="宋体"/>
        </w:rPr>
      </w:pPr>
      <w:bookmarkStart w:id="638" w:name="_Toc509218775"/>
      <w:bookmarkStart w:id="639" w:name="_Toc26029"/>
      <w:bookmarkStart w:id="640" w:name="_Toc28440"/>
      <w:bookmarkStart w:id="641" w:name="_Toc18347"/>
      <w:r>
        <w:rPr>
          <w:rFonts w:hint="eastAsia" w:ascii="宋体" w:hAnsi="宋体"/>
        </w:rPr>
        <w:t>评标办法前附表</w:t>
      </w:r>
      <w:bookmarkEnd w:id="638"/>
      <w:bookmarkEnd w:id="639"/>
      <w:bookmarkEnd w:id="640"/>
      <w:bookmarkEnd w:id="641"/>
    </w:p>
    <w:p>
      <w:pPr>
        <w:spacing w:line="360" w:lineRule="auto"/>
        <w:ind w:firstLine="420" w:firstLineChars="200"/>
        <w:rPr>
          <w:szCs w:val="21"/>
        </w:rPr>
      </w:pPr>
      <w:r>
        <w:rPr>
          <w:szCs w:val="21"/>
        </w:rPr>
        <w:t>评标办法中的评审内容必须和投标人须知中的对应内容一致，若投标人须知中未作要求的内容，不得列入评标办法作为评定依据。</w:t>
      </w:r>
    </w:p>
    <w:tbl>
      <w:tblPr>
        <w:tblStyle w:val="54"/>
        <w:tblW w:w="9475"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37"/>
        <w:gridCol w:w="567"/>
        <w:gridCol w:w="692"/>
        <w:gridCol w:w="854"/>
        <w:gridCol w:w="1318"/>
        <w:gridCol w:w="5189"/>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422" w:type="dxa"/>
            <w:gridSpan w:val="3"/>
            <w:vAlign w:val="center"/>
          </w:tcPr>
          <w:p>
            <w:pPr>
              <w:spacing w:line="400" w:lineRule="exact"/>
              <w:jc w:val="center"/>
              <w:rPr>
                <w:rFonts w:ascii="宋体" w:hAnsi="宋体"/>
                <w:b/>
                <w:kern w:val="0"/>
              </w:rPr>
            </w:pPr>
            <w:r>
              <w:rPr>
                <w:rFonts w:ascii="宋体" w:hAnsi="宋体"/>
                <w:b/>
                <w:kern w:val="0"/>
              </w:rPr>
              <w:t>条款号</w:t>
            </w:r>
          </w:p>
        </w:tc>
        <w:tc>
          <w:tcPr>
            <w:tcW w:w="2864" w:type="dxa"/>
            <w:gridSpan w:val="3"/>
            <w:vAlign w:val="center"/>
          </w:tcPr>
          <w:p>
            <w:pPr>
              <w:spacing w:line="400" w:lineRule="exact"/>
              <w:jc w:val="center"/>
              <w:rPr>
                <w:rFonts w:ascii="宋体" w:hAnsi="宋体"/>
                <w:b/>
                <w:kern w:val="0"/>
              </w:rPr>
            </w:pPr>
            <w:r>
              <w:rPr>
                <w:rFonts w:ascii="宋体" w:hAnsi="宋体"/>
                <w:b/>
                <w:kern w:val="0"/>
              </w:rPr>
              <w:t>评审因素</w:t>
            </w:r>
          </w:p>
        </w:tc>
        <w:tc>
          <w:tcPr>
            <w:tcW w:w="5189" w:type="dxa"/>
            <w:vAlign w:val="center"/>
          </w:tcPr>
          <w:p>
            <w:pPr>
              <w:spacing w:line="400" w:lineRule="exact"/>
              <w:jc w:val="center"/>
              <w:rPr>
                <w:rFonts w:ascii="宋体" w:hAnsi="宋体"/>
                <w:b/>
                <w:kern w:val="0"/>
              </w:rPr>
            </w:pPr>
            <w:r>
              <w:rPr>
                <w:rFonts w:ascii="宋体" w:hAnsi="宋体"/>
                <w:b/>
                <w:kern w:val="0"/>
              </w:rPr>
              <w:t>评审标准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422" w:type="dxa"/>
            <w:gridSpan w:val="3"/>
            <w:vAlign w:val="center"/>
          </w:tcPr>
          <w:p>
            <w:pPr>
              <w:spacing w:line="400" w:lineRule="exact"/>
              <w:jc w:val="center"/>
              <w:rPr>
                <w:rFonts w:ascii="宋体" w:hAnsi="宋体"/>
                <w:kern w:val="0"/>
              </w:rPr>
            </w:pPr>
            <w:r>
              <w:rPr>
                <w:rFonts w:hint="eastAsia" w:ascii="宋体" w:hAnsi="宋体"/>
                <w:kern w:val="0"/>
              </w:rPr>
              <w:t>1</w:t>
            </w:r>
          </w:p>
        </w:tc>
        <w:tc>
          <w:tcPr>
            <w:tcW w:w="2864" w:type="dxa"/>
            <w:gridSpan w:val="3"/>
            <w:vAlign w:val="center"/>
          </w:tcPr>
          <w:p>
            <w:pPr>
              <w:spacing w:line="400" w:lineRule="exact"/>
              <w:jc w:val="center"/>
              <w:rPr>
                <w:rFonts w:ascii="宋体" w:hAnsi="宋体"/>
                <w:kern w:val="0"/>
              </w:rPr>
            </w:pPr>
            <w:r>
              <w:rPr>
                <w:rFonts w:hint="eastAsia" w:ascii="宋体" w:hAnsi="宋体"/>
                <w:kern w:val="0"/>
              </w:rPr>
              <w:t>评标办法</w:t>
            </w:r>
          </w:p>
        </w:tc>
        <w:tc>
          <w:tcPr>
            <w:tcW w:w="5189" w:type="dxa"/>
            <w:vAlign w:val="center"/>
          </w:tcPr>
          <w:p>
            <w:pPr>
              <w:spacing w:line="400" w:lineRule="exact"/>
              <w:ind w:firstLine="420" w:firstLineChars="200"/>
              <w:jc w:val="left"/>
              <w:rPr>
                <w:rFonts w:ascii="宋体" w:hAnsi="宋体"/>
                <w:kern w:val="0"/>
              </w:rPr>
            </w:pPr>
            <w:r>
              <w:rPr>
                <w:rFonts w:hint="eastAsia" w:ascii="宋体" w:hAnsi="宋体"/>
                <w:kern w:val="0"/>
              </w:rPr>
              <w:t>本次评标采用综合评估法。评标委员会按照本章第 2.2 款规定的评分标准进行评分，按得分由高到低顺序推荐中标候选人，或根据招标人授权直接确定中标人。综合评分相等时，以投标报价低的优先；投标报价相等的，以“投标人在红名单中优先”的原则排序</w:t>
            </w:r>
            <w:r>
              <w:rPr>
                <w:rFonts w:hint="eastAsia" w:ascii="宋体" w:hAnsi="宋体"/>
                <w:spacing w:val="4"/>
                <w:kern w:val="0"/>
                <w:szCs w:val="21"/>
              </w:rPr>
              <w:t>（联合体投标的，须联合体牵头人在红名单中），投标人是否属于红名单，以开标环节信用状况查询结果为准</w:t>
            </w:r>
            <w:r>
              <w:rPr>
                <w:rFonts w:hint="eastAsia" w:ascii="宋体" w:hAnsi="宋体"/>
                <w:kern w:val="0"/>
              </w:rPr>
              <w:t>；投标人均在红名单中或均不在红名单中的，由评标委员会按照</w:t>
            </w:r>
            <w:r>
              <w:rPr>
                <w:rFonts w:hint="eastAsia" w:ascii="宋体" w:hAnsi="宋体"/>
                <w:kern w:val="0"/>
                <w:u w:val="single"/>
              </w:rPr>
              <w:t xml:space="preserve">         </w:t>
            </w:r>
            <w:r>
              <w:rPr>
                <w:rFonts w:hint="eastAsia" w:ascii="宋体" w:hAnsi="宋体"/>
                <w:kern w:val="0"/>
              </w:rPr>
              <w:t>原则排序。</w:t>
            </w:r>
            <w:r>
              <w:rPr>
                <w:rFonts w:hint="eastAsia" w:ascii="宋体" w:hAnsi="宋体"/>
                <w:i/>
                <w:kern w:val="0"/>
              </w:rPr>
              <w:t>[提示：由招标人事先在招标文件中按照有利于合同履行的原则确定</w:t>
            </w:r>
            <w:r>
              <w:rPr>
                <w:rFonts w:hint="eastAsia" w:asciiTheme="minorEastAsia" w:hAnsiTheme="minorEastAsia" w:eastAsiaTheme="minorEastAsia" w:cstheme="minorEastAsia"/>
                <w:i/>
                <w:spacing w:val="4"/>
                <w:kern w:val="0"/>
                <w:szCs w:val="21"/>
              </w:rPr>
              <w:t>，但不得采用抽签、摇号方式直接确定中标候选人</w:t>
            </w:r>
            <w:r>
              <w:rPr>
                <w:rFonts w:hint="eastAsia" w:ascii="宋体" w:hAnsi="宋体"/>
                <w:i/>
                <w:kern w:val="0"/>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restart"/>
            <w:tcBorders>
              <w:right w:val="single" w:color="auto" w:sz="4" w:space="0"/>
            </w:tcBorders>
            <w:vAlign w:val="center"/>
          </w:tcPr>
          <w:p>
            <w:pPr>
              <w:spacing w:line="400" w:lineRule="exact"/>
              <w:jc w:val="center"/>
              <w:rPr>
                <w:rFonts w:ascii="宋体" w:hAnsi="宋体"/>
                <w:kern w:val="0"/>
              </w:rPr>
            </w:pPr>
            <w:r>
              <w:rPr>
                <w:rFonts w:ascii="宋体" w:hAnsi="宋体"/>
                <w:kern w:val="0"/>
              </w:rPr>
              <w:t>2.1.</w:t>
            </w:r>
            <w:r>
              <w:rPr>
                <w:rFonts w:hint="eastAsia" w:ascii="宋体" w:hAnsi="宋体"/>
                <w:kern w:val="0"/>
              </w:rPr>
              <w:t>1</w:t>
            </w:r>
          </w:p>
        </w:tc>
        <w:tc>
          <w:tcPr>
            <w:tcW w:w="567" w:type="dxa"/>
            <w:vMerge w:val="restart"/>
            <w:tcBorders>
              <w:right w:val="single" w:color="auto" w:sz="4" w:space="0"/>
            </w:tcBorders>
            <w:vAlign w:val="center"/>
          </w:tcPr>
          <w:p>
            <w:pPr>
              <w:spacing w:line="400" w:lineRule="exact"/>
              <w:jc w:val="center"/>
              <w:rPr>
                <w:rFonts w:ascii="宋体" w:hAnsi="宋体"/>
                <w:kern w:val="0"/>
              </w:rPr>
            </w:pPr>
            <w:r>
              <w:rPr>
                <w:rFonts w:ascii="宋体" w:hAnsi="宋体"/>
                <w:kern w:val="0"/>
              </w:rPr>
              <w:t>资格评审标准</w:t>
            </w:r>
          </w:p>
        </w:tc>
        <w:tc>
          <w:tcPr>
            <w:tcW w:w="2864" w:type="dxa"/>
            <w:gridSpan w:val="3"/>
            <w:tcBorders>
              <w:left w:val="single" w:color="auto" w:sz="4" w:space="0"/>
            </w:tcBorders>
            <w:vAlign w:val="center"/>
          </w:tcPr>
          <w:p>
            <w:pPr>
              <w:spacing w:line="400" w:lineRule="exact"/>
              <w:jc w:val="left"/>
              <w:rPr>
                <w:rFonts w:ascii="宋体" w:hAnsi="宋体"/>
                <w:kern w:val="0"/>
              </w:rPr>
            </w:pPr>
            <w:r>
              <w:rPr>
                <w:rFonts w:hint="eastAsia" w:ascii="宋体" w:hAnsi="宋体"/>
                <w:kern w:val="0"/>
              </w:rPr>
              <w:t>资质条件</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hint="eastAsia" w:ascii="宋体" w:hAnsi="宋体"/>
                <w:kern w:val="0"/>
              </w:rPr>
              <w:t>营业执照</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hint="eastAsia" w:ascii="宋体" w:hAnsi="宋体"/>
                <w:kern w:val="0"/>
              </w:rPr>
              <w:t>安全生产条件</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vAlign w:val="center"/>
          </w:tcPr>
          <w:p>
            <w:pPr>
              <w:spacing w:line="400" w:lineRule="exact"/>
              <w:jc w:val="left"/>
              <w:rPr>
                <w:rFonts w:ascii="宋体" w:hAnsi="宋体"/>
                <w:kern w:val="0"/>
              </w:rPr>
            </w:pPr>
            <w:r>
              <w:rPr>
                <w:rFonts w:hint="eastAsia" w:ascii="宋体" w:hAnsi="宋体" w:cs="宋体"/>
                <w:kern w:val="0"/>
              </w:rPr>
              <w:t>□</w:t>
            </w:r>
            <w:r>
              <w:rPr>
                <w:rFonts w:ascii="宋体" w:hAnsi="宋体"/>
                <w:kern w:val="0"/>
              </w:rPr>
              <w:t>财务</w:t>
            </w:r>
            <w:r>
              <w:rPr>
                <w:rFonts w:hint="eastAsia" w:ascii="宋体" w:hAnsi="宋体"/>
                <w:kern w:val="0"/>
              </w:rPr>
              <w:t>要求</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hint="eastAsia" w:ascii="宋体" w:hAnsi="宋体" w:cs="宋体"/>
                <w:kern w:val="0"/>
              </w:rPr>
              <w:t>□</w:t>
            </w:r>
            <w:r>
              <w:rPr>
                <w:rFonts w:hint="eastAsia" w:ascii="宋体" w:hAnsi="宋体"/>
                <w:kern w:val="0"/>
              </w:rPr>
              <w:t>业绩要求</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ascii="宋体" w:hAnsi="宋体"/>
                <w:szCs w:val="21"/>
              </w:rPr>
              <w:t>投标截止日投标资格情况</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ascii="宋体" w:hAnsi="宋体"/>
                <w:kern w:val="0"/>
              </w:rPr>
              <w:t>项目经理资格</w:t>
            </w:r>
            <w:r>
              <w:rPr>
                <w:rFonts w:hint="eastAsia" w:ascii="宋体" w:hAnsi="宋体"/>
                <w:kern w:val="0"/>
              </w:rPr>
              <w:t>要求</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ascii="宋体" w:hAnsi="宋体"/>
                <w:kern w:val="0"/>
              </w:rPr>
              <w:t>其他要求</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tcPr>
          <w:p>
            <w:pPr>
              <w:spacing w:line="400" w:lineRule="exact"/>
              <w:jc w:val="left"/>
              <w:rPr>
                <w:rFonts w:ascii="宋体" w:hAnsi="宋体"/>
                <w:kern w:val="0"/>
              </w:rPr>
            </w:pPr>
            <w:r>
              <w:rPr>
                <w:rFonts w:hint="eastAsia" w:ascii="宋体" w:hAnsi="宋体" w:cs="宋体"/>
                <w:kern w:val="0"/>
              </w:rPr>
              <w:t>□</w:t>
            </w:r>
            <w:r>
              <w:rPr>
                <w:rFonts w:ascii="宋体" w:hAnsi="宋体"/>
                <w:kern w:val="0"/>
              </w:rPr>
              <w:t>联合体投标人</w:t>
            </w:r>
            <w:r>
              <w:rPr>
                <w:rFonts w:hint="eastAsia" w:ascii="宋体" w:hAnsi="宋体"/>
                <w:kern w:val="0"/>
              </w:rPr>
              <w:t>+</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符合第二章“投标人须知”第1.4.2项规定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restart"/>
            <w:tcBorders>
              <w:right w:val="single" w:color="auto" w:sz="4" w:space="0"/>
            </w:tcBorders>
            <w:vAlign w:val="center"/>
          </w:tcPr>
          <w:p>
            <w:pPr>
              <w:spacing w:line="400" w:lineRule="exact"/>
              <w:jc w:val="center"/>
              <w:rPr>
                <w:rFonts w:ascii="宋体" w:hAnsi="宋体"/>
                <w:kern w:val="0"/>
              </w:rPr>
            </w:pPr>
            <w:r>
              <w:rPr>
                <w:rFonts w:ascii="宋体" w:hAnsi="宋体"/>
                <w:kern w:val="0"/>
              </w:rPr>
              <w:t>2.1.</w:t>
            </w:r>
            <w:r>
              <w:rPr>
                <w:rFonts w:hint="eastAsia" w:ascii="宋体" w:hAnsi="宋体"/>
                <w:kern w:val="0"/>
              </w:rPr>
              <w:t>2</w:t>
            </w:r>
          </w:p>
        </w:tc>
        <w:tc>
          <w:tcPr>
            <w:tcW w:w="567" w:type="dxa"/>
            <w:vMerge w:val="restart"/>
            <w:tcBorders>
              <w:right w:val="single" w:color="auto" w:sz="4" w:space="0"/>
            </w:tcBorders>
            <w:vAlign w:val="center"/>
          </w:tcPr>
          <w:p>
            <w:pPr>
              <w:spacing w:line="400" w:lineRule="exact"/>
              <w:jc w:val="center"/>
              <w:rPr>
                <w:rFonts w:ascii="宋体" w:hAnsi="宋体"/>
                <w:kern w:val="0"/>
              </w:rPr>
            </w:pPr>
            <w:r>
              <w:rPr>
                <w:rFonts w:ascii="宋体" w:hAnsi="宋体"/>
                <w:kern w:val="0"/>
              </w:rPr>
              <w:t>形式评审标准</w:t>
            </w:r>
          </w:p>
        </w:tc>
        <w:tc>
          <w:tcPr>
            <w:tcW w:w="2864" w:type="dxa"/>
            <w:gridSpan w:val="3"/>
            <w:tcBorders>
              <w:left w:val="single" w:color="auto" w:sz="4" w:space="0"/>
            </w:tcBorders>
            <w:vAlign w:val="center"/>
          </w:tcPr>
          <w:p>
            <w:pPr>
              <w:spacing w:line="400" w:lineRule="exact"/>
              <w:jc w:val="left"/>
              <w:rPr>
                <w:rFonts w:ascii="宋体" w:hAnsi="宋体"/>
                <w:kern w:val="0"/>
              </w:rPr>
            </w:pPr>
            <w:r>
              <w:rPr>
                <w:rFonts w:ascii="宋体" w:hAnsi="宋体"/>
                <w:kern w:val="0"/>
              </w:rPr>
              <w:t>投标人名称</w:t>
            </w:r>
          </w:p>
        </w:tc>
        <w:tc>
          <w:tcPr>
            <w:tcW w:w="5189" w:type="dxa"/>
            <w:vAlign w:val="center"/>
          </w:tcPr>
          <w:p>
            <w:pPr>
              <w:spacing w:line="400" w:lineRule="exact"/>
              <w:ind w:firstLine="420" w:firstLineChars="200"/>
              <w:rPr>
                <w:rFonts w:ascii="宋体" w:hAnsi="宋体"/>
                <w:kern w:val="0"/>
              </w:rPr>
            </w:pPr>
            <w:r>
              <w:rPr>
                <w:rFonts w:ascii="宋体" w:hAnsi="宋体"/>
                <w:kern w:val="0"/>
              </w:rPr>
              <w:t>与营业执照、资质证书、安全生产许可证一致</w:t>
            </w:r>
            <w:r>
              <w:rPr>
                <w:rFonts w:hint="eastAsia" w:ascii="宋体" w:hAnsi="宋体"/>
                <w:kern w:val="0"/>
              </w:rPr>
              <w:t>，依法变更名称的应提交相应证明材料</w:t>
            </w:r>
            <w:r>
              <w:rPr>
                <w:rFonts w:ascii="宋体" w:hAnsi="宋体"/>
                <w:kern w:val="0"/>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vAlign w:val="center"/>
          </w:tcPr>
          <w:p>
            <w:pPr>
              <w:spacing w:line="400" w:lineRule="exact"/>
              <w:jc w:val="left"/>
              <w:rPr>
                <w:rFonts w:ascii="宋体" w:hAnsi="宋体"/>
                <w:kern w:val="0"/>
              </w:rPr>
            </w:pPr>
            <w:r>
              <w:rPr>
                <w:rFonts w:ascii="宋体" w:hAnsi="宋体"/>
                <w:kern w:val="0"/>
              </w:rPr>
              <w:t>投标文件格式</w:t>
            </w:r>
          </w:p>
        </w:tc>
        <w:tc>
          <w:tcPr>
            <w:tcW w:w="5189" w:type="dxa"/>
            <w:vAlign w:val="center"/>
          </w:tcPr>
          <w:p>
            <w:pPr>
              <w:spacing w:line="400" w:lineRule="exact"/>
              <w:ind w:firstLine="420" w:firstLineChars="200"/>
              <w:rPr>
                <w:rFonts w:ascii="宋体" w:hAnsi="宋体"/>
                <w:kern w:val="0"/>
              </w:rPr>
            </w:pPr>
            <w:r>
              <w:rPr>
                <w:rFonts w:ascii="宋体" w:hAnsi="宋体"/>
                <w:kern w:val="0"/>
              </w:rPr>
              <w:t>符合第</w:t>
            </w:r>
            <w:r>
              <w:rPr>
                <w:rFonts w:hint="eastAsia" w:ascii="宋体" w:hAnsi="宋体"/>
                <w:kern w:val="0"/>
              </w:rPr>
              <w:t>二</w:t>
            </w:r>
            <w:r>
              <w:rPr>
                <w:rFonts w:ascii="宋体" w:hAnsi="宋体"/>
                <w:kern w:val="0"/>
              </w:rPr>
              <w:t>章“投标</w:t>
            </w:r>
            <w:r>
              <w:rPr>
                <w:rFonts w:hint="eastAsia" w:ascii="宋体" w:hAnsi="宋体"/>
                <w:kern w:val="0"/>
              </w:rPr>
              <w:t>人须知</w:t>
            </w:r>
            <w:r>
              <w:rPr>
                <w:rFonts w:ascii="宋体" w:hAnsi="宋体"/>
                <w:kern w:val="0"/>
              </w:rPr>
              <w:t>”</w:t>
            </w:r>
            <w:r>
              <w:rPr>
                <w:rFonts w:hint="eastAsia" w:ascii="宋体" w:hAnsi="宋体"/>
                <w:kern w:val="0"/>
              </w:rPr>
              <w:t>第3.7款</w:t>
            </w:r>
            <w:r>
              <w:rPr>
                <w:rFonts w:ascii="宋体" w:hAnsi="宋体"/>
                <w:kern w:val="0"/>
              </w:rPr>
              <w:t>的要求</w:t>
            </w:r>
            <w:r>
              <w:rPr>
                <w:rFonts w:hint="eastAsia" w:ascii="宋体" w:hAnsi="宋体"/>
                <w:kern w:val="0"/>
              </w:rPr>
              <w:t>（不含投标函部分）</w:t>
            </w:r>
            <w:r>
              <w:rPr>
                <w:rFonts w:ascii="宋体" w:hAnsi="宋体"/>
                <w:kern w:val="0"/>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vAlign w:val="center"/>
          </w:tcPr>
          <w:p>
            <w:pPr>
              <w:spacing w:line="400" w:lineRule="exact"/>
              <w:jc w:val="left"/>
              <w:rPr>
                <w:rFonts w:ascii="宋体" w:hAnsi="宋体"/>
                <w:kern w:val="0"/>
              </w:rPr>
            </w:pPr>
            <w:r>
              <w:rPr>
                <w:rFonts w:hint="eastAsia" w:ascii="宋体" w:hAnsi="宋体" w:cs="宋体"/>
                <w:kern w:val="0"/>
              </w:rPr>
              <w:t>□</w:t>
            </w:r>
            <w:r>
              <w:rPr>
                <w:rFonts w:ascii="宋体" w:hAnsi="宋体"/>
                <w:kern w:val="0"/>
              </w:rPr>
              <w:t>联合体投标人</w:t>
            </w:r>
          </w:p>
        </w:tc>
        <w:tc>
          <w:tcPr>
            <w:tcW w:w="5189" w:type="dxa"/>
            <w:vAlign w:val="center"/>
          </w:tcPr>
          <w:p>
            <w:pPr>
              <w:spacing w:line="400" w:lineRule="exact"/>
              <w:ind w:firstLine="420" w:firstLineChars="200"/>
              <w:rPr>
                <w:rFonts w:ascii="宋体" w:hAnsi="宋体"/>
                <w:kern w:val="0"/>
              </w:rPr>
            </w:pPr>
            <w:r>
              <w:rPr>
                <w:rFonts w:ascii="宋体" w:hAnsi="宋体"/>
                <w:kern w:val="0"/>
              </w:rPr>
              <w:t>提交联合体协议书，并明确联合体牵头人</w:t>
            </w:r>
            <w:r>
              <w:rPr>
                <w:rFonts w:hint="eastAsia" w:ascii="宋体" w:hAnsi="宋体"/>
                <w:kern w:val="0"/>
              </w:rPr>
              <w:t>。在联合体协议书第5条联合体各成员单位内部的职责分工中填写的联合体所有成员单位名称应与其营业执照、资质证书、安全生产许可证一致，依法变更名称的应提交相应证明材料。</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vAlign w:val="center"/>
          </w:tcPr>
          <w:p>
            <w:pPr>
              <w:spacing w:line="400" w:lineRule="exact"/>
              <w:jc w:val="left"/>
              <w:rPr>
                <w:rFonts w:ascii="宋体" w:hAnsi="宋体"/>
                <w:kern w:val="0"/>
              </w:rPr>
            </w:pPr>
            <w:r>
              <w:rPr>
                <w:rFonts w:ascii="宋体" w:hAnsi="宋体"/>
                <w:kern w:val="0"/>
              </w:rPr>
              <w:t>投标文件的签署</w:t>
            </w:r>
          </w:p>
        </w:tc>
        <w:tc>
          <w:tcPr>
            <w:tcW w:w="5189" w:type="dxa"/>
            <w:vAlign w:val="center"/>
          </w:tcPr>
          <w:p>
            <w:pPr>
              <w:spacing w:line="400" w:lineRule="exact"/>
              <w:ind w:firstLine="420" w:firstLineChars="200"/>
              <w:rPr>
                <w:rFonts w:ascii="宋体" w:hAnsi="宋体"/>
                <w:kern w:val="0"/>
              </w:rPr>
            </w:pPr>
            <w:r>
              <w:rPr>
                <w:rFonts w:hint="eastAsia" w:ascii="宋体" w:hAnsi="宋体"/>
                <w:kern w:val="0"/>
              </w:rPr>
              <w:t xml:space="preserve">第八章 </w:t>
            </w:r>
            <w:r>
              <w:rPr>
                <w:rFonts w:ascii="宋体" w:hAnsi="宋体"/>
                <w:kern w:val="0"/>
              </w:rPr>
              <w:t>投标文件</w:t>
            </w:r>
            <w:r>
              <w:rPr>
                <w:rFonts w:hint="eastAsia" w:ascii="宋体" w:hAnsi="宋体"/>
                <w:kern w:val="0"/>
              </w:rPr>
              <w:t>格式（不含投标函部分）要求</w:t>
            </w:r>
            <w:r>
              <w:rPr>
                <w:rFonts w:ascii="宋体" w:hAnsi="宋体"/>
                <w:kern w:val="0"/>
              </w:rPr>
              <w:t>法定代表人或其委托代理人</w:t>
            </w:r>
            <w:r>
              <w:rPr>
                <w:rFonts w:hint="eastAsia" w:ascii="宋体" w:hAnsi="宋体"/>
                <w:kern w:val="0"/>
              </w:rPr>
              <w:t>签名</w:t>
            </w:r>
            <w:r>
              <w:rPr>
                <w:rFonts w:ascii="宋体" w:hAnsi="宋体"/>
                <w:kern w:val="0"/>
              </w:rPr>
              <w:t>（或盖章）</w:t>
            </w:r>
            <w:r>
              <w:rPr>
                <w:rFonts w:hint="eastAsia" w:ascii="宋体" w:hAnsi="宋体"/>
                <w:kern w:val="0"/>
              </w:rPr>
              <w:t>的须</w:t>
            </w:r>
            <w:r>
              <w:rPr>
                <w:rFonts w:ascii="宋体" w:hAnsi="宋体"/>
                <w:kern w:val="0"/>
              </w:rPr>
              <w:t>齐全</w:t>
            </w:r>
            <w:r>
              <w:rPr>
                <w:rFonts w:hint="eastAsia" w:asciiTheme="minorEastAsia" w:hAnsiTheme="minorEastAsia" w:eastAsiaTheme="minorEastAsia" w:cstheme="minorEastAsia"/>
                <w:kern w:val="0"/>
              </w:rPr>
              <w:t>，</w:t>
            </w:r>
            <w:r>
              <w:rPr>
                <w:rFonts w:hint="eastAsia" w:asciiTheme="minorEastAsia" w:hAnsiTheme="minorEastAsia" w:eastAsiaTheme="minorEastAsia" w:cstheme="minorEastAsia"/>
                <w:szCs w:val="21"/>
              </w:rPr>
              <w:t>要求签名的，</w:t>
            </w:r>
            <w:r>
              <w:rPr>
                <w:rFonts w:hint="eastAsia" w:asciiTheme="minorEastAsia" w:hAnsiTheme="minorEastAsia" w:eastAsiaTheme="minorEastAsia" w:cstheme="minorEastAsia"/>
                <w:kern w:val="0"/>
              </w:rPr>
              <w:t>签名采用手写签名或签章或加盖CA数字证书均可</w:t>
            </w:r>
            <w:r>
              <w:rPr>
                <w:rFonts w:ascii="宋体" w:hAnsi="宋体"/>
                <w:kern w:val="0"/>
              </w:rPr>
              <w:t>。</w:t>
            </w:r>
          </w:p>
          <w:p>
            <w:pPr>
              <w:autoSpaceDE w:val="0"/>
              <w:autoSpaceDN w:val="0"/>
              <w:adjustRightInd w:val="0"/>
              <w:snapToGrid w:val="0"/>
              <w:spacing w:line="400" w:lineRule="exact"/>
              <w:ind w:firstLine="420" w:firstLineChars="200"/>
              <w:rPr>
                <w:rFonts w:ascii="宋体" w:hAnsi="宋体"/>
                <w:kern w:val="0"/>
              </w:rPr>
            </w:pPr>
            <w:r>
              <w:rPr>
                <w:rFonts w:hint="eastAsia" w:ascii="宋体" w:hAnsi="宋体"/>
                <w:snapToGrid w:val="0"/>
                <w:kern w:val="0"/>
                <w:szCs w:val="21"/>
              </w:rPr>
              <w:t>若投标单位为联合体，则联合体协议书各联合体成员单位签名（或盖章）须齐全，联合体协议书以外的</w:t>
            </w:r>
            <w:r>
              <w:rPr>
                <w:rFonts w:ascii="宋体" w:hAnsi="宋体"/>
                <w:kern w:val="0"/>
              </w:rPr>
              <w:t>投标文件</w:t>
            </w:r>
            <w:r>
              <w:rPr>
                <w:rFonts w:hint="eastAsia" w:ascii="宋体" w:hAnsi="宋体"/>
                <w:kern w:val="0"/>
              </w:rPr>
              <w:t>格式中，要求法定代表人或其委托代理人签名（或盖章）的均由联合体牵头人法定代表人或其委托代理人签名（或盖章）</w:t>
            </w:r>
            <w:r>
              <w:rPr>
                <w:rFonts w:ascii="宋体" w:hAnsi="宋体"/>
                <w:kern w:val="0"/>
              </w:rPr>
              <w:t>。</w:t>
            </w:r>
          </w:p>
          <w:p>
            <w:pPr>
              <w:autoSpaceDE w:val="0"/>
              <w:autoSpaceDN w:val="0"/>
              <w:adjustRightInd w:val="0"/>
              <w:snapToGrid w:val="0"/>
              <w:spacing w:line="400" w:lineRule="exact"/>
              <w:ind w:firstLine="420" w:firstLineChars="200"/>
              <w:rPr>
                <w:rFonts w:ascii="宋体" w:hAnsi="宋体"/>
                <w:kern w:val="0"/>
              </w:rPr>
            </w:pPr>
            <w:r>
              <w:rPr>
                <w:rFonts w:hint="eastAsia" w:ascii="宋体" w:hAnsi="宋体"/>
                <w:kern w:val="0"/>
              </w:rPr>
              <w:t>第八章 投标文件格式（不含投标函部分）要求加盖单位法人章的，应使用 CA 数字证书加盖投标人的单位电子印章。</w:t>
            </w:r>
          </w:p>
          <w:p>
            <w:pPr>
              <w:autoSpaceDE w:val="0"/>
              <w:autoSpaceDN w:val="0"/>
              <w:adjustRightInd w:val="0"/>
              <w:snapToGrid w:val="0"/>
              <w:spacing w:line="400" w:lineRule="exact"/>
              <w:ind w:firstLine="420" w:firstLineChars="200"/>
              <w:rPr>
                <w:rFonts w:ascii="宋体" w:hAnsi="宋体"/>
                <w:kern w:val="0"/>
              </w:rPr>
            </w:pPr>
            <w:r>
              <w:rPr>
                <w:rFonts w:hint="eastAsia" w:ascii="宋体" w:hAnsi="宋体"/>
                <w:kern w:val="0"/>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5" w:type="dxa"/>
            <w:gridSpan w:val="2"/>
            <w:vMerge w:val="continue"/>
            <w:tcBorders>
              <w:right w:val="single" w:color="auto" w:sz="4" w:space="0"/>
            </w:tcBorders>
          </w:tcPr>
          <w:p>
            <w:pPr>
              <w:spacing w:line="400" w:lineRule="exact"/>
              <w:jc w:val="center"/>
              <w:rPr>
                <w:rFonts w:ascii="宋体" w:hAnsi="宋体"/>
                <w:kern w:val="0"/>
              </w:rPr>
            </w:pPr>
          </w:p>
        </w:tc>
        <w:tc>
          <w:tcPr>
            <w:tcW w:w="567" w:type="dxa"/>
            <w:vMerge w:val="continue"/>
            <w:tcBorders>
              <w:right w:val="single" w:color="auto" w:sz="4" w:space="0"/>
            </w:tcBorders>
          </w:tcPr>
          <w:p>
            <w:pPr>
              <w:spacing w:line="400" w:lineRule="exact"/>
              <w:jc w:val="center"/>
              <w:rPr>
                <w:rFonts w:ascii="宋体" w:hAnsi="宋体"/>
                <w:kern w:val="0"/>
              </w:rPr>
            </w:pPr>
          </w:p>
        </w:tc>
        <w:tc>
          <w:tcPr>
            <w:tcW w:w="2864" w:type="dxa"/>
            <w:gridSpan w:val="3"/>
            <w:tcBorders>
              <w:left w:val="single" w:color="auto" w:sz="4" w:space="0"/>
            </w:tcBorders>
            <w:vAlign w:val="center"/>
          </w:tcPr>
          <w:p>
            <w:pPr>
              <w:spacing w:line="400" w:lineRule="exact"/>
              <w:jc w:val="left"/>
              <w:rPr>
                <w:rFonts w:ascii="宋体" w:hAnsi="宋体"/>
                <w:kern w:val="0"/>
              </w:rPr>
            </w:pPr>
            <w:r>
              <w:rPr>
                <w:rFonts w:ascii="宋体" w:hAnsi="宋体"/>
                <w:kern w:val="0"/>
              </w:rPr>
              <w:t>委托代理人</w:t>
            </w:r>
          </w:p>
        </w:tc>
        <w:tc>
          <w:tcPr>
            <w:tcW w:w="5189" w:type="dxa"/>
            <w:vAlign w:val="center"/>
          </w:tcPr>
          <w:p>
            <w:pPr>
              <w:spacing w:line="400" w:lineRule="exact"/>
              <w:ind w:firstLine="420" w:firstLineChars="200"/>
              <w:rPr>
                <w:rFonts w:ascii="宋体" w:hAnsi="宋体"/>
                <w:kern w:val="0"/>
              </w:rPr>
            </w:pPr>
            <w:r>
              <w:rPr>
                <w:rFonts w:ascii="宋体" w:hAnsi="宋体"/>
                <w:kern w:val="0"/>
              </w:rPr>
              <w:t>投标人法定代表人的委托代理人有法定代表人签署的授权委托书</w:t>
            </w:r>
            <w:r>
              <w:rPr>
                <w:rFonts w:hint="eastAsia" w:ascii="宋体" w:hAnsi="宋体"/>
                <w:kern w:val="0"/>
              </w:rPr>
              <w:t>和投标人为其缴纳的养老保险。</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55" w:type="dxa"/>
            <w:gridSpan w:val="2"/>
            <w:vMerge w:val="restart"/>
            <w:vAlign w:val="center"/>
          </w:tcPr>
          <w:p>
            <w:pPr>
              <w:spacing w:line="400" w:lineRule="exact"/>
              <w:jc w:val="center"/>
              <w:rPr>
                <w:rFonts w:ascii="宋体" w:hAnsi="宋体"/>
                <w:kern w:val="0"/>
              </w:rPr>
            </w:pPr>
            <w:r>
              <w:rPr>
                <w:rFonts w:ascii="宋体" w:hAnsi="宋体"/>
                <w:kern w:val="0"/>
              </w:rPr>
              <w:t>2.1.</w:t>
            </w:r>
            <w:r>
              <w:rPr>
                <w:rFonts w:hint="eastAsia" w:ascii="宋体" w:hAnsi="宋体"/>
                <w:kern w:val="0"/>
              </w:rPr>
              <w:t>3</w:t>
            </w:r>
          </w:p>
        </w:tc>
        <w:tc>
          <w:tcPr>
            <w:tcW w:w="567" w:type="dxa"/>
            <w:vMerge w:val="restart"/>
            <w:vAlign w:val="center"/>
          </w:tcPr>
          <w:p>
            <w:pPr>
              <w:spacing w:line="400" w:lineRule="exact"/>
              <w:jc w:val="center"/>
              <w:rPr>
                <w:rFonts w:ascii="宋体" w:hAnsi="宋体"/>
                <w:kern w:val="0"/>
              </w:rPr>
            </w:pPr>
            <w:r>
              <w:rPr>
                <w:rFonts w:hint="eastAsia" w:ascii="宋体" w:hAnsi="宋体"/>
                <w:kern w:val="0"/>
              </w:rPr>
              <w:t>响应性</w:t>
            </w:r>
            <w:r>
              <w:rPr>
                <w:rFonts w:ascii="宋体" w:hAnsi="宋体"/>
                <w:kern w:val="0"/>
              </w:rPr>
              <w:t>评审标准</w:t>
            </w:r>
          </w:p>
        </w:tc>
        <w:tc>
          <w:tcPr>
            <w:tcW w:w="2864" w:type="dxa"/>
            <w:gridSpan w:val="3"/>
            <w:vAlign w:val="center"/>
          </w:tcPr>
          <w:p>
            <w:pPr>
              <w:spacing w:line="400" w:lineRule="exact"/>
              <w:jc w:val="left"/>
              <w:rPr>
                <w:rFonts w:ascii="宋体" w:hAnsi="宋体"/>
                <w:kern w:val="0"/>
              </w:rPr>
            </w:pPr>
            <w:r>
              <w:rPr>
                <w:rFonts w:ascii="宋体" w:hAnsi="宋体"/>
                <w:kern w:val="0"/>
              </w:rPr>
              <w:t>投标内容</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符合第二章“投标人须知”第1.3.1项规定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55" w:type="dxa"/>
            <w:gridSpan w:val="2"/>
            <w:vMerge w:val="continue"/>
            <w:vAlign w:val="center"/>
          </w:tcPr>
          <w:p>
            <w:pPr>
              <w:spacing w:line="400" w:lineRule="exact"/>
              <w:jc w:val="center"/>
              <w:rPr>
                <w:rFonts w:ascii="宋体" w:hAnsi="宋体"/>
                <w:kern w:val="0"/>
              </w:rPr>
            </w:pPr>
          </w:p>
        </w:tc>
        <w:tc>
          <w:tcPr>
            <w:tcW w:w="567" w:type="dxa"/>
            <w:vMerge w:val="continue"/>
            <w:textDirection w:val="tbRlV"/>
            <w:vAlign w:val="center"/>
          </w:tcPr>
          <w:p>
            <w:pPr>
              <w:spacing w:line="400" w:lineRule="exact"/>
              <w:jc w:val="center"/>
              <w:rPr>
                <w:rFonts w:ascii="宋体" w:hAnsi="宋体"/>
                <w:kern w:val="0"/>
              </w:rPr>
            </w:pPr>
          </w:p>
        </w:tc>
        <w:tc>
          <w:tcPr>
            <w:tcW w:w="2864" w:type="dxa"/>
            <w:gridSpan w:val="3"/>
            <w:tcBorders>
              <w:top w:val="single" w:color="auto" w:sz="4" w:space="0"/>
            </w:tcBorders>
            <w:vAlign w:val="center"/>
          </w:tcPr>
          <w:p>
            <w:pPr>
              <w:spacing w:line="400" w:lineRule="exact"/>
              <w:jc w:val="left"/>
              <w:rPr>
                <w:rFonts w:ascii="宋体" w:hAnsi="宋体"/>
                <w:kern w:val="0"/>
              </w:rPr>
            </w:pPr>
            <w:r>
              <w:rPr>
                <w:rFonts w:ascii="宋体" w:hAnsi="宋体"/>
                <w:kern w:val="0"/>
              </w:rPr>
              <w:t>投标保证金</w:t>
            </w:r>
          </w:p>
        </w:tc>
        <w:tc>
          <w:tcPr>
            <w:tcW w:w="5189" w:type="dxa"/>
            <w:vAlign w:val="center"/>
          </w:tcPr>
          <w:p>
            <w:pPr>
              <w:tabs>
                <w:tab w:val="left" w:pos="601"/>
                <w:tab w:val="left" w:pos="669"/>
              </w:tabs>
              <w:snapToGrid w:val="0"/>
              <w:spacing w:line="400" w:lineRule="exact"/>
              <w:ind w:firstLine="420" w:firstLineChars="200"/>
              <w:rPr>
                <w:rFonts w:ascii="宋体" w:hAnsi="宋体"/>
                <w:kern w:val="0"/>
              </w:rPr>
            </w:pPr>
            <w:r>
              <w:rPr>
                <w:rFonts w:ascii="宋体" w:hAnsi="宋体"/>
                <w:kern w:val="0"/>
                <w:szCs w:val="21"/>
              </w:rPr>
              <w:t>符合第二章投标人须知前附表第3.4</w:t>
            </w:r>
            <w:r>
              <w:rPr>
                <w:rFonts w:hint="eastAsia" w:ascii="宋体" w:hAnsi="宋体"/>
                <w:kern w:val="0"/>
                <w:szCs w:val="21"/>
              </w:rPr>
              <w:t>款</w:t>
            </w:r>
            <w:r>
              <w:rPr>
                <w:rFonts w:ascii="宋体" w:hAnsi="宋体"/>
                <w:kern w:val="0"/>
              </w:rPr>
              <w:t>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55" w:type="dxa"/>
            <w:gridSpan w:val="2"/>
            <w:vMerge w:val="continue"/>
          </w:tcPr>
          <w:p>
            <w:pPr>
              <w:spacing w:line="400" w:lineRule="exact"/>
              <w:jc w:val="center"/>
              <w:rPr>
                <w:rFonts w:ascii="宋体" w:hAnsi="宋体"/>
              </w:rPr>
            </w:pPr>
          </w:p>
        </w:tc>
        <w:tc>
          <w:tcPr>
            <w:tcW w:w="567" w:type="dxa"/>
            <w:vMerge w:val="continue"/>
          </w:tcPr>
          <w:p>
            <w:pPr>
              <w:spacing w:line="400" w:lineRule="exact"/>
              <w:jc w:val="center"/>
              <w:rPr>
                <w:rFonts w:ascii="宋体" w:hAnsi="宋体"/>
              </w:rPr>
            </w:pPr>
          </w:p>
        </w:tc>
        <w:tc>
          <w:tcPr>
            <w:tcW w:w="2864" w:type="dxa"/>
            <w:gridSpan w:val="3"/>
            <w:vAlign w:val="center"/>
          </w:tcPr>
          <w:p>
            <w:pPr>
              <w:spacing w:line="400" w:lineRule="exact"/>
              <w:jc w:val="left"/>
              <w:rPr>
                <w:rFonts w:ascii="宋体" w:hAnsi="宋体"/>
                <w:kern w:val="0"/>
              </w:rPr>
            </w:pPr>
            <w:r>
              <w:rPr>
                <w:rFonts w:ascii="宋体" w:hAnsi="宋体"/>
                <w:kern w:val="0"/>
              </w:rPr>
              <w:t>权利义务</w:t>
            </w:r>
          </w:p>
        </w:tc>
        <w:tc>
          <w:tcPr>
            <w:tcW w:w="5189" w:type="dxa"/>
            <w:vAlign w:val="center"/>
          </w:tcPr>
          <w:p>
            <w:pPr>
              <w:spacing w:after="115" w:afterLines="20" w:line="400" w:lineRule="exact"/>
              <w:ind w:firstLine="420" w:firstLineChars="200"/>
              <w:rPr>
                <w:rFonts w:ascii="宋体" w:hAnsi="宋体"/>
                <w:kern w:val="0"/>
              </w:rPr>
            </w:pPr>
            <w:r>
              <w:rPr>
                <w:rFonts w:ascii="宋体" w:hAnsi="宋体"/>
                <w:kern w:val="0"/>
              </w:rPr>
              <w:t>符合第四章“合同条款及格式”规定，投标文件不应附有招标人不能接受的条件。</w:t>
            </w:r>
            <w:r>
              <w:rPr>
                <w:rFonts w:hint="eastAsia" w:ascii="宋体" w:hAnsi="宋体"/>
                <w:kern w:val="0"/>
              </w:rPr>
              <w:t>（由投标人承诺，承诺书格式详见第八章投标文件格式。）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55" w:type="dxa"/>
            <w:gridSpan w:val="2"/>
            <w:vMerge w:val="continue"/>
          </w:tcPr>
          <w:p>
            <w:pPr>
              <w:spacing w:line="400" w:lineRule="exact"/>
              <w:jc w:val="center"/>
              <w:rPr>
                <w:rFonts w:ascii="宋体" w:hAnsi="宋体"/>
              </w:rPr>
            </w:pPr>
          </w:p>
        </w:tc>
        <w:tc>
          <w:tcPr>
            <w:tcW w:w="567" w:type="dxa"/>
            <w:vMerge w:val="continue"/>
          </w:tcPr>
          <w:p>
            <w:pPr>
              <w:spacing w:line="400" w:lineRule="exact"/>
              <w:jc w:val="center"/>
              <w:rPr>
                <w:rFonts w:ascii="宋体" w:hAnsi="宋体"/>
              </w:rPr>
            </w:pPr>
          </w:p>
        </w:tc>
        <w:tc>
          <w:tcPr>
            <w:tcW w:w="2864" w:type="dxa"/>
            <w:gridSpan w:val="3"/>
            <w:vAlign w:val="center"/>
          </w:tcPr>
          <w:p>
            <w:pPr>
              <w:spacing w:line="400" w:lineRule="exact"/>
              <w:jc w:val="left"/>
              <w:rPr>
                <w:rFonts w:ascii="宋体" w:hAnsi="宋体"/>
                <w:kern w:val="0"/>
              </w:rPr>
            </w:pPr>
            <w:r>
              <w:rPr>
                <w:rFonts w:hint="eastAsia" w:ascii="宋体" w:hAnsi="宋体"/>
                <w:kern w:val="0"/>
              </w:rPr>
              <w:t>□</w:t>
            </w:r>
            <w:r>
              <w:rPr>
                <w:rFonts w:ascii="宋体" w:hAnsi="宋体"/>
                <w:kern w:val="0"/>
              </w:rPr>
              <w:t>技术标准和要求</w:t>
            </w:r>
          </w:p>
        </w:tc>
        <w:tc>
          <w:tcPr>
            <w:tcW w:w="5189" w:type="dxa"/>
            <w:vAlign w:val="center"/>
          </w:tcPr>
          <w:p>
            <w:pPr>
              <w:spacing w:line="400" w:lineRule="exact"/>
              <w:ind w:firstLine="420" w:firstLineChars="200"/>
              <w:rPr>
                <w:rFonts w:ascii="宋体" w:hAnsi="宋体"/>
                <w:kern w:val="0"/>
              </w:rPr>
            </w:pPr>
            <w:r>
              <w:rPr>
                <w:rFonts w:ascii="宋体" w:hAnsi="宋体"/>
                <w:kern w:val="0"/>
              </w:rPr>
              <w:t>符合第七章“技术标准和要求”规定</w:t>
            </w:r>
            <w:r>
              <w:rPr>
                <w:rFonts w:hint="eastAsia" w:ascii="宋体" w:hAnsi="宋体"/>
                <w:kern w:val="0"/>
              </w:rPr>
              <w:t>。（由投标人承诺，承诺书格式详见第八章投标文件格式。）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855" w:type="dxa"/>
            <w:gridSpan w:val="2"/>
            <w:vMerge w:val="continue"/>
          </w:tcPr>
          <w:p>
            <w:pPr>
              <w:spacing w:line="400" w:lineRule="exact"/>
              <w:rPr>
                <w:rFonts w:ascii="宋体" w:hAnsi="宋体"/>
              </w:rPr>
            </w:pPr>
          </w:p>
        </w:tc>
        <w:tc>
          <w:tcPr>
            <w:tcW w:w="567" w:type="dxa"/>
            <w:vMerge w:val="continue"/>
          </w:tcPr>
          <w:p>
            <w:pPr>
              <w:spacing w:line="400" w:lineRule="exact"/>
              <w:rPr>
                <w:rFonts w:ascii="宋体" w:hAnsi="宋体"/>
              </w:rPr>
            </w:pPr>
          </w:p>
        </w:tc>
        <w:tc>
          <w:tcPr>
            <w:tcW w:w="2864" w:type="dxa"/>
            <w:gridSpan w:val="3"/>
            <w:vAlign w:val="center"/>
          </w:tcPr>
          <w:p>
            <w:pPr>
              <w:spacing w:line="400" w:lineRule="exact"/>
              <w:jc w:val="left"/>
              <w:rPr>
                <w:rFonts w:ascii="宋体" w:hAnsi="宋体"/>
                <w:kern w:val="0"/>
              </w:rPr>
            </w:pPr>
            <w:r>
              <w:rPr>
                <w:rFonts w:ascii="宋体" w:hAnsi="宋体"/>
                <w:kern w:val="0"/>
              </w:rPr>
              <w:t>实质性要求</w:t>
            </w:r>
          </w:p>
        </w:tc>
        <w:tc>
          <w:tcPr>
            <w:tcW w:w="5189" w:type="dxa"/>
            <w:vAlign w:val="center"/>
          </w:tcPr>
          <w:p>
            <w:pPr>
              <w:spacing w:after="115" w:afterLines="20" w:line="400" w:lineRule="exact"/>
              <w:ind w:firstLine="420" w:firstLineChars="200"/>
              <w:rPr>
                <w:rFonts w:ascii="宋体" w:hAnsi="宋体"/>
                <w:kern w:val="0"/>
              </w:rPr>
            </w:pPr>
            <w:r>
              <w:rPr>
                <w:rFonts w:hint="eastAsia" w:ascii="宋体" w:hAnsi="宋体"/>
                <w:kern w:val="0"/>
              </w:rPr>
              <w:t>符合第二章“投标人须知”第1.4.3项规定。</w:t>
            </w:r>
          </w:p>
          <w:p>
            <w:pPr>
              <w:spacing w:after="115" w:afterLines="20" w:line="400" w:lineRule="exact"/>
              <w:ind w:firstLine="420" w:firstLineChars="200"/>
              <w:rPr>
                <w:rFonts w:ascii="宋体" w:hAnsi="宋体"/>
                <w:kern w:val="0"/>
              </w:rPr>
            </w:pPr>
            <w:r>
              <w:rPr>
                <w:rFonts w:hint="eastAsia" w:ascii="宋体" w:hAnsi="宋体"/>
                <w:kern w:val="0"/>
              </w:rPr>
              <w:t>本次投标不得有串通投标</w:t>
            </w:r>
            <w:r>
              <w:rPr>
                <w:rFonts w:ascii="宋体" w:hAnsi="宋体"/>
                <w:kern w:val="0"/>
              </w:rPr>
              <w:t>、弄虚作假等其他违反招投标相关法律、法规行为。</w:t>
            </w:r>
          </w:p>
          <w:p>
            <w:pPr>
              <w:spacing w:after="115" w:afterLines="20" w:line="400" w:lineRule="exact"/>
              <w:ind w:firstLine="420" w:firstLineChars="200"/>
              <w:rPr>
                <w:rFonts w:ascii="宋体" w:hAnsi="宋体"/>
                <w:kern w:val="0"/>
              </w:rPr>
            </w:pPr>
            <w:r>
              <w:rPr>
                <w:rFonts w:hint="eastAsia" w:ascii="宋体" w:hAnsi="宋体"/>
                <w:kern w:val="0"/>
              </w:rPr>
              <w:t>按评标委员会要求澄清、说明或补正。</w:t>
            </w:r>
          </w:p>
        </w:tc>
      </w:tr>
      <w:bookmarkEnd w:id="633"/>
      <w:bookmarkEnd w:id="634"/>
      <w:bookmarkEnd w:id="635"/>
      <w:bookmarkEnd w:id="636"/>
      <w:bookmarkEnd w:id="637"/>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422" w:type="dxa"/>
            <w:gridSpan w:val="3"/>
            <w:vAlign w:val="center"/>
          </w:tcPr>
          <w:p>
            <w:pPr>
              <w:spacing w:line="400" w:lineRule="exact"/>
              <w:ind w:firstLine="210" w:firstLineChars="100"/>
              <w:jc w:val="center"/>
              <w:rPr>
                <w:rFonts w:ascii="宋体" w:hAnsi="宋体"/>
                <w:kern w:val="0"/>
              </w:rPr>
            </w:pPr>
            <w:r>
              <w:rPr>
                <w:rFonts w:ascii="宋体" w:hAnsi="宋体"/>
                <w:kern w:val="0"/>
              </w:rPr>
              <w:t>2.2.1</w:t>
            </w:r>
          </w:p>
        </w:tc>
        <w:tc>
          <w:tcPr>
            <w:tcW w:w="2864" w:type="dxa"/>
            <w:gridSpan w:val="3"/>
            <w:vAlign w:val="center"/>
          </w:tcPr>
          <w:p>
            <w:pPr>
              <w:tabs>
                <w:tab w:val="left" w:pos="1875"/>
              </w:tabs>
              <w:spacing w:line="400" w:lineRule="exact"/>
              <w:jc w:val="center"/>
              <w:rPr>
                <w:rFonts w:ascii="宋体" w:hAnsi="宋体"/>
                <w:kern w:val="0"/>
              </w:rPr>
            </w:pPr>
            <w:r>
              <w:rPr>
                <w:rFonts w:ascii="宋体" w:hAnsi="宋体"/>
                <w:kern w:val="0"/>
              </w:rPr>
              <w:t>分值构成 （总分1</w:t>
            </w:r>
            <w:r>
              <w:rPr>
                <w:rFonts w:hint="eastAsia" w:ascii="宋体" w:hAnsi="宋体"/>
                <w:kern w:val="0"/>
              </w:rPr>
              <w:t>00</w:t>
            </w:r>
            <w:r>
              <w:rPr>
                <w:rFonts w:ascii="宋体" w:hAnsi="宋体"/>
                <w:kern w:val="0"/>
              </w:rPr>
              <w:t>分）</w:t>
            </w:r>
          </w:p>
        </w:tc>
        <w:tc>
          <w:tcPr>
            <w:tcW w:w="5189" w:type="dxa"/>
            <w:vAlign w:val="center"/>
          </w:tcPr>
          <w:p>
            <w:pPr>
              <w:numPr>
                <w:ilvl w:val="0"/>
                <w:numId w:val="2"/>
              </w:numPr>
              <w:snapToGrid w:val="0"/>
              <w:spacing w:line="360" w:lineRule="auto"/>
              <w:ind w:firstLine="420" w:firstLineChars="200"/>
              <w:rPr>
                <w:rFonts w:ascii="宋体" w:hAnsi="宋体" w:cs="宋体"/>
                <w:kern w:val="0"/>
              </w:rPr>
            </w:pPr>
            <w:r>
              <w:rPr>
                <w:rFonts w:hint="eastAsia" w:ascii="宋体" w:hAnsi="宋体" w:cs="宋体"/>
                <w:kern w:val="0"/>
              </w:rPr>
              <w:t xml:space="preserve">技术部分 </w:t>
            </w:r>
            <w:r>
              <w:rPr>
                <w:rFonts w:hint="eastAsia" w:ascii="宋体" w:hAnsi="宋体" w:cs="宋体"/>
                <w:kern w:val="0"/>
                <w:u w:val="single"/>
              </w:rPr>
              <w:t>　  　</w:t>
            </w:r>
            <w:r>
              <w:rPr>
                <w:rFonts w:hint="eastAsia" w:ascii="宋体" w:hAnsi="宋体" w:cs="宋体"/>
                <w:kern w:val="0"/>
              </w:rPr>
              <w:t>分；</w:t>
            </w:r>
            <w:r>
              <w:rPr>
                <w:rFonts w:hint="eastAsia" w:ascii="宋体" w:hAnsi="宋体" w:cs="宋体"/>
                <w:i/>
                <w:kern w:val="0"/>
              </w:rPr>
              <w:t>[提示：不高于30分]</w:t>
            </w:r>
          </w:p>
          <w:p>
            <w:pPr>
              <w:snapToGrid w:val="0"/>
              <w:spacing w:line="360" w:lineRule="auto"/>
              <w:ind w:firstLine="420" w:firstLineChars="200"/>
              <w:rPr>
                <w:rFonts w:ascii="宋体" w:hAnsi="宋体" w:cs="宋体"/>
                <w:kern w:val="0"/>
              </w:rPr>
            </w:pPr>
            <w:r>
              <w:rPr>
                <w:rFonts w:hint="eastAsia" w:ascii="宋体" w:hAnsi="宋体" w:cs="宋体"/>
                <w:i/>
                <w:kern w:val="0"/>
              </w:rPr>
              <w:t>[提示，如需进行项目经理答辩，项目经理答辩得分不高于10分]</w:t>
            </w:r>
          </w:p>
          <w:p>
            <w:pPr>
              <w:snapToGrid w:val="0"/>
              <w:spacing w:line="360" w:lineRule="auto"/>
              <w:ind w:firstLine="420" w:firstLineChars="200"/>
              <w:rPr>
                <w:rFonts w:ascii="宋体" w:hAnsi="宋体" w:cs="宋体"/>
                <w:kern w:val="0"/>
                <w:highlight w:val="none"/>
              </w:rPr>
            </w:pPr>
            <w:r>
              <w:rPr>
                <w:rFonts w:hint="eastAsia" w:ascii="宋体" w:hAnsi="宋体" w:cs="宋体"/>
                <w:kern w:val="0"/>
                <w:highlight w:val="none"/>
              </w:rPr>
              <w:t>2.商务部分</w:t>
            </w:r>
            <w:r>
              <w:rPr>
                <w:rFonts w:hint="eastAsia" w:ascii="宋体" w:hAnsi="宋体" w:cs="宋体"/>
                <w:kern w:val="0"/>
                <w:highlight w:val="none"/>
                <w:u w:val="single"/>
              </w:rPr>
              <w:t xml:space="preserve">      </w:t>
            </w:r>
            <w:r>
              <w:rPr>
                <w:rFonts w:hint="eastAsia" w:ascii="宋体" w:hAnsi="宋体" w:cs="宋体"/>
                <w:kern w:val="0"/>
                <w:highlight w:val="none"/>
              </w:rPr>
              <w:t>分；</w:t>
            </w:r>
            <w:r>
              <w:rPr>
                <w:rFonts w:hint="eastAsia" w:ascii="宋体" w:hAnsi="宋体" w:cs="宋体"/>
                <w:i/>
                <w:kern w:val="0"/>
                <w:highlight w:val="none"/>
              </w:rPr>
              <w:t>[提示：不高于10分]</w:t>
            </w:r>
          </w:p>
          <w:p>
            <w:pPr>
              <w:snapToGrid w:val="0"/>
              <w:spacing w:line="400" w:lineRule="exact"/>
              <w:ind w:firstLine="420" w:firstLineChars="200"/>
              <w:rPr>
                <w:rFonts w:ascii="宋体" w:hAnsi="宋体"/>
                <w:i/>
                <w:kern w:val="0"/>
              </w:rPr>
            </w:pPr>
            <w:r>
              <w:rPr>
                <w:rFonts w:hint="eastAsia" w:ascii="宋体" w:hAnsi="宋体" w:cs="宋体"/>
                <w:kern w:val="0"/>
                <w:highlight w:val="none"/>
              </w:rPr>
              <w:t>3.经济部分</w:t>
            </w:r>
            <w:r>
              <w:rPr>
                <w:rFonts w:hint="eastAsia" w:ascii="宋体" w:hAnsi="宋体" w:cs="宋体"/>
                <w:kern w:val="0"/>
                <w:highlight w:val="none"/>
                <w:u w:val="single"/>
              </w:rPr>
              <w:t xml:space="preserve">      </w:t>
            </w:r>
            <w:r>
              <w:rPr>
                <w:rFonts w:hint="eastAsia" w:ascii="宋体" w:hAnsi="宋体" w:cs="宋体"/>
                <w:kern w:val="0"/>
                <w:highlight w:val="none"/>
              </w:rPr>
              <w:t>分。</w:t>
            </w:r>
            <w:r>
              <w:rPr>
                <w:rFonts w:hint="eastAsia" w:ascii="宋体" w:hAnsi="宋体" w:cs="宋体"/>
                <w:i/>
                <w:kern w:val="0"/>
                <w:highlight w:val="none"/>
              </w:rPr>
              <w:t>[提示：不低于60分]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restart"/>
            <w:tcBorders>
              <w:right w:val="single" w:color="auto" w:sz="4" w:space="0"/>
            </w:tcBorders>
            <w:vAlign w:val="center"/>
          </w:tcPr>
          <w:p>
            <w:pPr>
              <w:spacing w:line="400" w:lineRule="exact"/>
              <w:jc w:val="center"/>
              <w:rPr>
                <w:rFonts w:ascii="宋体" w:hAnsi="宋体"/>
                <w:kern w:val="0"/>
              </w:rPr>
            </w:pPr>
            <w:r>
              <w:rPr>
                <w:rFonts w:hint="eastAsia" w:ascii="宋体" w:hAnsi="宋体"/>
                <w:kern w:val="0"/>
              </w:rPr>
              <w:t>2.2.2（1）</w:t>
            </w:r>
          </w:p>
        </w:tc>
        <w:tc>
          <w:tcPr>
            <w:tcW w:w="604" w:type="dxa"/>
            <w:gridSpan w:val="2"/>
            <w:vMerge w:val="restart"/>
            <w:tcBorders>
              <w:left w:val="single" w:color="auto" w:sz="4" w:space="0"/>
            </w:tcBorders>
            <w:vAlign w:val="center"/>
          </w:tcPr>
          <w:p>
            <w:pPr>
              <w:spacing w:line="400" w:lineRule="exact"/>
              <w:jc w:val="center"/>
              <w:rPr>
                <w:rFonts w:ascii="宋体" w:hAnsi="宋体"/>
                <w:kern w:val="0"/>
              </w:rPr>
            </w:pPr>
            <w:r>
              <w:rPr>
                <w:rFonts w:hint="eastAsia" w:ascii="宋体" w:hAnsi="宋体"/>
                <w:kern w:val="0"/>
              </w:rPr>
              <w:t>技术部分评分标准</w:t>
            </w:r>
          </w:p>
        </w:tc>
        <w:tc>
          <w:tcPr>
            <w:tcW w:w="692" w:type="dxa"/>
            <w:vMerge w:val="restart"/>
            <w:tcBorders>
              <w:right w:val="single" w:color="auto" w:sz="4" w:space="0"/>
            </w:tcBorders>
            <w:vAlign w:val="center"/>
          </w:tcPr>
          <w:p>
            <w:pPr>
              <w:tabs>
                <w:tab w:val="left" w:pos="1875"/>
              </w:tabs>
              <w:spacing w:line="400" w:lineRule="exact"/>
              <w:jc w:val="center"/>
              <w:rPr>
                <w:rFonts w:ascii="宋体" w:hAnsi="宋体"/>
                <w:kern w:val="0"/>
              </w:rPr>
            </w:pPr>
            <w:r>
              <w:rPr>
                <w:rFonts w:ascii="宋体" w:hAnsi="宋体"/>
                <w:kern w:val="0"/>
              </w:rPr>
              <w:t>技</w:t>
            </w:r>
          </w:p>
          <w:p>
            <w:pPr>
              <w:tabs>
                <w:tab w:val="left" w:pos="1875"/>
              </w:tabs>
              <w:spacing w:line="400" w:lineRule="exact"/>
              <w:jc w:val="center"/>
              <w:rPr>
                <w:rFonts w:ascii="宋体" w:hAnsi="宋体"/>
                <w:kern w:val="0"/>
              </w:rPr>
            </w:pPr>
            <w:r>
              <w:rPr>
                <w:rFonts w:ascii="宋体" w:hAnsi="宋体"/>
                <w:kern w:val="0"/>
              </w:rPr>
              <w:t>术</w:t>
            </w:r>
          </w:p>
          <w:p>
            <w:pPr>
              <w:tabs>
                <w:tab w:val="left" w:pos="1875"/>
              </w:tabs>
              <w:spacing w:line="400" w:lineRule="exact"/>
              <w:jc w:val="center"/>
              <w:rPr>
                <w:rFonts w:ascii="宋体" w:hAnsi="宋体"/>
                <w:kern w:val="0"/>
              </w:rPr>
            </w:pPr>
            <w:r>
              <w:rPr>
                <w:rFonts w:ascii="宋体" w:hAnsi="宋体"/>
                <w:kern w:val="0"/>
              </w:rPr>
              <w:t>方</w:t>
            </w:r>
          </w:p>
          <w:p>
            <w:pPr>
              <w:tabs>
                <w:tab w:val="left" w:pos="1875"/>
              </w:tabs>
              <w:spacing w:line="400" w:lineRule="exact"/>
              <w:jc w:val="center"/>
              <w:rPr>
                <w:rFonts w:ascii="宋体" w:hAnsi="宋体"/>
                <w:kern w:val="0"/>
              </w:rPr>
            </w:pPr>
            <w:r>
              <w:rPr>
                <w:rFonts w:ascii="宋体" w:hAnsi="宋体"/>
                <w:kern w:val="0"/>
              </w:rPr>
              <w:t>案</w:t>
            </w:r>
          </w:p>
          <w:p>
            <w:pPr>
              <w:tabs>
                <w:tab w:val="left" w:pos="1875"/>
              </w:tabs>
              <w:spacing w:line="400" w:lineRule="exact"/>
              <w:jc w:val="center"/>
              <w:rPr>
                <w:rFonts w:ascii="宋体" w:hAnsi="宋体"/>
                <w:kern w:val="0"/>
              </w:rPr>
            </w:pPr>
            <w:r>
              <w:rPr>
                <w:rFonts w:ascii="宋体" w:hAnsi="宋体"/>
                <w:kern w:val="0"/>
              </w:rPr>
              <w:t>评</w:t>
            </w:r>
          </w:p>
          <w:p>
            <w:pPr>
              <w:tabs>
                <w:tab w:val="left" w:pos="1875"/>
              </w:tabs>
              <w:spacing w:line="400" w:lineRule="exact"/>
              <w:jc w:val="center"/>
              <w:rPr>
                <w:rFonts w:ascii="宋体" w:hAnsi="宋体"/>
                <w:kern w:val="0"/>
              </w:rPr>
            </w:pPr>
            <w:r>
              <w:rPr>
                <w:rFonts w:ascii="宋体" w:hAnsi="宋体"/>
                <w:kern w:val="0"/>
              </w:rPr>
              <w:t>审</w:t>
            </w: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rPr>
              <w:t>□</w:t>
            </w:r>
            <w:r>
              <w:rPr>
                <w:rFonts w:hint="eastAsia" w:ascii="宋体" w:hAnsi="宋体" w:cs="宋体"/>
                <w:kern w:val="0"/>
              </w:rPr>
              <w:t>技术方案部分形式要求</w:t>
            </w:r>
            <w:r>
              <w:rPr>
                <w:rFonts w:hint="eastAsia"/>
                <w:i/>
                <w:iCs/>
              </w:rPr>
              <w:t>[提示：技术部分采用暗标评审时适用]</w:t>
            </w:r>
          </w:p>
        </w:tc>
        <w:tc>
          <w:tcPr>
            <w:tcW w:w="5189" w:type="dxa"/>
            <w:vAlign w:val="center"/>
          </w:tcPr>
          <w:p>
            <w:pPr>
              <w:snapToGrid w:val="0"/>
              <w:spacing w:line="400" w:lineRule="exact"/>
              <w:ind w:firstLine="420" w:firstLineChars="200"/>
              <w:rPr>
                <w:rFonts w:ascii="宋体" w:hAnsi="宋体"/>
                <w:u w:val="single"/>
              </w:rPr>
            </w:pPr>
            <w:r>
              <w:rPr>
                <w:rFonts w:hint="eastAsia" w:ascii="宋体" w:hAnsi="宋体" w:cs="宋体"/>
                <w:kern w:val="0"/>
              </w:rPr>
              <w:t>须符合第二章投标人须知前附表第3.7.5项（</w:t>
            </w:r>
            <w:r>
              <w:rPr>
                <w:rFonts w:hint="eastAsia" w:ascii="宋体" w:hAnsi="宋体" w:cs="宋体"/>
                <w:kern w:val="0"/>
                <w:lang w:val="en-US" w:eastAsia="zh-CN"/>
              </w:rPr>
              <w:t>4</w:t>
            </w:r>
            <w:r>
              <w:rPr>
                <w:rFonts w:hint="eastAsia" w:ascii="宋体" w:hAnsi="宋体" w:cs="宋体"/>
                <w:kern w:val="0"/>
              </w:rPr>
              <w:t>）技术部分的要求，否则其技术方案为0分，不再对技术方案的其他评分标准进行评审。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center"/>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施工组织管理</w:t>
            </w:r>
          </w:p>
        </w:tc>
        <w:tc>
          <w:tcPr>
            <w:tcW w:w="5189" w:type="dxa"/>
            <w:vAlign w:val="center"/>
          </w:tcPr>
          <w:p>
            <w:pPr>
              <w:snapToGrid w:val="0"/>
              <w:spacing w:line="400" w:lineRule="exact"/>
              <w:ind w:firstLine="420" w:firstLineChars="200"/>
              <w:rPr>
                <w:rFonts w:ascii="宋体" w:hAnsi="宋体"/>
                <w:u w:val="single"/>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 xml:space="preserve">分 </w:t>
            </w:r>
            <w:r>
              <w:rPr>
                <w:rFonts w:hint="eastAsia" w:ascii="宋体" w:hAnsi="宋体"/>
              </w:rPr>
              <w:t xml:space="preserve"> </w:t>
            </w:r>
            <w:r>
              <w:rPr>
                <w:rFonts w:ascii="宋体" w:hAnsi="宋体"/>
              </w:rPr>
              <w:t xml:space="preserve">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施工总平面布置</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 xml:space="preserve">分 </w:t>
            </w:r>
            <w:r>
              <w:rPr>
                <w:rFonts w:hint="eastAsia" w:ascii="宋体" w:hAnsi="宋体"/>
              </w:rPr>
              <w:t xml:space="preserve"> </w:t>
            </w:r>
            <w:r>
              <w:rPr>
                <w:rFonts w:ascii="宋体" w:hAnsi="宋体"/>
              </w:rPr>
              <w:t xml:space="preserve">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施工方法和技术措施</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监测预警及应急抢险措施方案</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质量保证体系和质量保证措施</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施工网络进度计划及保证工期的措施</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vAlign w:val="center"/>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施工机械设备配置</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安全文明施工保证措施</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hint="eastAsia" w:ascii="宋体" w:hAnsi="宋体" w:cs="宋体"/>
                <w:szCs w:val="21"/>
                <w:u w:val="single"/>
              </w:rPr>
              <w:t>变更应对措施</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编制要点</w:t>
            </w:r>
            <w:r>
              <w:rPr>
                <w:rFonts w:hint="eastAsia" w:ascii="宋体" w:hAnsi="宋体"/>
              </w:rPr>
              <w:t>：</w:t>
            </w:r>
            <w:r>
              <w:rPr>
                <w:rFonts w:hint="eastAsia" w:ascii="宋体" w:hAnsi="宋体"/>
                <w:u w:val="single"/>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692" w:type="dxa"/>
            <w:vMerge w:val="continue"/>
            <w:tcBorders>
              <w:right w:val="single" w:color="auto" w:sz="4" w:space="0"/>
            </w:tcBorders>
          </w:tcPr>
          <w:p>
            <w:pPr>
              <w:tabs>
                <w:tab w:val="left" w:pos="1875"/>
              </w:tabs>
              <w:spacing w:line="400" w:lineRule="exact"/>
              <w:jc w:val="left"/>
              <w:rPr>
                <w:rFonts w:ascii="宋体" w:hAnsi="宋体"/>
                <w:kern w:val="0"/>
              </w:rPr>
            </w:pPr>
          </w:p>
        </w:tc>
        <w:tc>
          <w:tcPr>
            <w:tcW w:w="2172" w:type="dxa"/>
            <w:gridSpan w:val="2"/>
            <w:tcBorders>
              <w:left w:val="single" w:color="auto" w:sz="4" w:space="0"/>
            </w:tcBorders>
            <w:vAlign w:val="center"/>
          </w:tcPr>
          <w:p>
            <w:pPr>
              <w:tabs>
                <w:tab w:val="left" w:pos="1875"/>
              </w:tabs>
              <w:spacing w:line="400" w:lineRule="exact"/>
              <w:rPr>
                <w:rFonts w:ascii="宋体" w:hAnsi="宋体"/>
                <w:kern w:val="0"/>
              </w:rPr>
            </w:pPr>
            <w:r>
              <w:rPr>
                <w:rFonts w:hint="eastAsia" w:ascii="宋体" w:hAnsi="宋体" w:cs="宋体"/>
                <w:kern w:val="0"/>
              </w:rPr>
              <w:t>□</w:t>
            </w:r>
            <w:r>
              <w:rPr>
                <w:rFonts w:ascii="宋体" w:hAnsi="宋体" w:cs="宋体"/>
                <w:kern w:val="0"/>
              </w:rPr>
              <w:t>……</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分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rPr>
                <w:rFonts w:ascii="宋体" w:hAnsi="宋体"/>
                <w:kern w:val="0"/>
              </w:rPr>
            </w:pPr>
            <w:r>
              <w:rPr>
                <w:rFonts w:hint="eastAsia" w:ascii="宋体" w:hAnsi="宋体" w:cs="宋体"/>
                <w:kern w:val="0"/>
              </w:rPr>
              <w:t>□项目经理答辩</w:t>
            </w:r>
          </w:p>
        </w:tc>
        <w:tc>
          <w:tcPr>
            <w:tcW w:w="5189" w:type="dxa"/>
            <w:vAlign w:val="center"/>
          </w:tcPr>
          <w:p>
            <w:pPr>
              <w:snapToGrid w:val="0"/>
              <w:spacing w:line="400" w:lineRule="exact"/>
              <w:ind w:firstLine="420" w:firstLineChars="200"/>
              <w:rPr>
                <w:rFonts w:ascii="宋体" w:hAnsi="宋体"/>
                <w:kern w:val="0"/>
              </w:rPr>
            </w:pP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 xml:space="preserve">分   </w:t>
            </w:r>
            <w:r>
              <w:rPr>
                <w:rFonts w:hint="eastAsia" w:ascii="宋体" w:hAnsi="宋体"/>
              </w:rPr>
              <w:t>答辩</w:t>
            </w:r>
            <w:r>
              <w:rPr>
                <w:rFonts w:ascii="宋体" w:hAnsi="宋体"/>
              </w:rPr>
              <w:t>要点</w:t>
            </w:r>
            <w:r>
              <w:rPr>
                <w:rFonts w:hint="eastAsia" w:ascii="宋体" w:hAnsi="宋体"/>
              </w:rPr>
              <w:t>：</w:t>
            </w:r>
            <w:r>
              <w:rPr>
                <w:rFonts w:hint="eastAsia" w:ascii="宋体" w:hAnsi="宋体"/>
                <w:u w:val="single"/>
              </w:rPr>
              <w:t xml:space="preserve">    </w:t>
            </w:r>
            <w:r>
              <w:rPr>
                <w:rFonts w:hint="eastAsia" w:ascii="宋体" w:hAnsi="宋体"/>
              </w:rPr>
              <w:t>。暗标评审的，答辩过程中不得透露与投标人企业有关的任何信息。</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194" w:hRule="atLeast"/>
          <w:jc w:val="center"/>
        </w:trPr>
        <w:tc>
          <w:tcPr>
            <w:tcW w:w="818" w:type="dxa"/>
            <w:vMerge w:val="restart"/>
            <w:tcBorders>
              <w:right w:val="single" w:color="auto" w:sz="4" w:space="0"/>
            </w:tcBorders>
            <w:vAlign w:val="center"/>
          </w:tcPr>
          <w:p>
            <w:pPr>
              <w:snapToGrid w:val="0"/>
              <w:spacing w:line="360" w:lineRule="auto"/>
              <w:jc w:val="center"/>
              <w:rPr>
                <w:rFonts w:ascii="宋体" w:hAnsi="宋体"/>
                <w:kern w:val="0"/>
                <w:highlight w:val="none"/>
              </w:rPr>
            </w:pPr>
            <w:r>
              <w:rPr>
                <w:rFonts w:hint="eastAsia" w:ascii="宋体" w:hAnsi="宋体" w:cs="宋体"/>
                <w:kern w:val="0"/>
                <w:szCs w:val="21"/>
                <w:highlight w:val="none"/>
              </w:rPr>
              <w:t>2.2.2（2）</w:t>
            </w:r>
          </w:p>
        </w:tc>
        <w:tc>
          <w:tcPr>
            <w:tcW w:w="604" w:type="dxa"/>
            <w:gridSpan w:val="2"/>
            <w:vMerge w:val="restart"/>
            <w:tcBorders>
              <w:left w:val="single" w:color="auto" w:sz="4" w:space="0"/>
            </w:tcBorders>
            <w:vAlign w:val="center"/>
          </w:tcPr>
          <w:p>
            <w:pPr>
              <w:snapToGrid w:val="0"/>
              <w:spacing w:line="360" w:lineRule="auto"/>
              <w:jc w:val="center"/>
              <w:rPr>
                <w:rFonts w:ascii="宋体" w:hAnsi="宋体"/>
                <w:kern w:val="0"/>
                <w:highlight w:val="none"/>
              </w:rPr>
            </w:pPr>
            <w:r>
              <w:rPr>
                <w:rFonts w:hint="eastAsia" w:ascii="宋体" w:hAnsi="宋体" w:cs="宋体"/>
                <w:kern w:val="0"/>
                <w:szCs w:val="21"/>
                <w:highlight w:val="none"/>
              </w:rPr>
              <w:t>商务部分评分标准</w:t>
            </w:r>
          </w:p>
        </w:tc>
        <w:tc>
          <w:tcPr>
            <w:tcW w:w="2864" w:type="dxa"/>
            <w:gridSpan w:val="3"/>
            <w:tcBorders>
              <w:bottom w:val="single" w:color="auto" w:sz="4" w:space="0"/>
            </w:tcBorders>
            <w:vAlign w:val="center"/>
          </w:tcPr>
          <w:p>
            <w:pPr>
              <w:spacing w:line="360" w:lineRule="auto"/>
              <w:jc w:val="left"/>
              <w:rPr>
                <w:rFonts w:ascii="宋体" w:hAnsi="宋体" w:cs="宋体"/>
                <w:kern w:val="0"/>
                <w:highlight w:val="none"/>
              </w:rPr>
            </w:pPr>
            <w:r>
              <w:rPr>
                <w:rFonts w:hint="eastAsia" w:ascii="宋体" w:hAnsi="宋体" w:cs="宋体"/>
                <w:kern w:val="0"/>
                <w:highlight w:val="none"/>
              </w:rPr>
              <w:sym w:font="Wingdings 2" w:char="00A3"/>
            </w:r>
            <w:r>
              <w:rPr>
                <w:rFonts w:hint="eastAsia" w:ascii="宋体" w:hAnsi="宋体" w:cs="宋体"/>
                <w:kern w:val="0"/>
                <w:szCs w:val="21"/>
                <w:highlight w:val="none"/>
              </w:rPr>
              <w:t>单位业绩加分项</w:t>
            </w:r>
          </w:p>
        </w:tc>
        <w:tc>
          <w:tcPr>
            <w:tcW w:w="5189" w:type="dxa"/>
            <w:tcBorders>
              <w:bottom w:val="single" w:color="auto" w:sz="4" w:space="0"/>
            </w:tcBorders>
            <w:vAlign w:val="center"/>
          </w:tcPr>
          <w:p>
            <w:pPr>
              <w:autoSpaceDE w:val="0"/>
              <w:autoSpaceDN w:val="0"/>
              <w:adjustRightInd w:val="0"/>
              <w:snapToGrid w:val="0"/>
              <w:spacing w:line="360" w:lineRule="auto"/>
              <w:ind w:firstLine="420" w:firstLineChars="200"/>
              <w:rPr>
                <w:rFonts w:ascii="宋体" w:hAnsi="宋体" w:cs="Times New Roman"/>
                <w:kern w:val="0"/>
                <w:szCs w:val="21"/>
                <w:highlight w:val="none"/>
              </w:rPr>
            </w:pPr>
            <w:r>
              <w:rPr>
                <w:rFonts w:ascii="宋体" w:hAnsi="宋体" w:cs="Times New Roman"/>
                <w:kern w:val="0"/>
                <w:szCs w:val="21"/>
                <w:highlight w:val="none"/>
                <w:u w:val="single"/>
              </w:rPr>
              <w:t xml:space="preserve">       　</w:t>
            </w:r>
            <w:r>
              <w:rPr>
                <w:rFonts w:ascii="宋体" w:hAnsi="宋体" w:cs="Times New Roman"/>
                <w:kern w:val="0"/>
                <w:szCs w:val="21"/>
                <w:highlight w:val="none"/>
                <w:u w:val="none"/>
              </w:rPr>
              <w:t>分</w:t>
            </w:r>
          </w:p>
          <w:p>
            <w:pPr>
              <w:autoSpaceDE w:val="0"/>
              <w:autoSpaceDN w:val="0"/>
              <w:adjustRightInd w:val="0"/>
              <w:snapToGrid w:val="0"/>
              <w:spacing w:line="360" w:lineRule="auto"/>
              <w:ind w:firstLine="420" w:firstLineChars="200"/>
              <w:rPr>
                <w:rFonts w:ascii="宋体" w:hAnsi="宋体" w:cs="Times New Roman"/>
                <w:kern w:val="0"/>
                <w:szCs w:val="21"/>
                <w:highlight w:val="none"/>
              </w:rPr>
            </w:pPr>
            <w:r>
              <w:rPr>
                <w:rFonts w:ascii="宋体" w:hAnsi="宋体" w:cs="Times New Roman"/>
                <w:kern w:val="0"/>
                <w:szCs w:val="21"/>
                <w:highlight w:val="none"/>
                <w:u w:val="none"/>
              </w:rPr>
              <w:t xml:space="preserve">    </w:t>
            </w:r>
            <w:r>
              <w:rPr>
                <w:rFonts w:hint="eastAsia" w:ascii="宋体" w:hAnsi="宋体" w:cs="Times New Roman"/>
                <w:kern w:val="0"/>
                <w:szCs w:val="21"/>
                <w:highlight w:val="none"/>
                <w:u w:val="single"/>
              </w:rPr>
              <w:t>参考资格审查业绩要求设置</w:t>
            </w:r>
            <w:r>
              <w:rPr>
                <w:rFonts w:ascii="宋体" w:hAnsi="宋体" w:cs="Times New Roman"/>
                <w:kern w:val="0"/>
                <w:szCs w:val="21"/>
                <w:highlight w:val="none"/>
                <w:u w:val="single"/>
              </w:rPr>
              <w:t xml:space="preserve">         </w:t>
            </w:r>
            <w:r>
              <w:rPr>
                <w:rFonts w:hint="eastAsia" w:ascii="宋体" w:hAnsi="宋体" w:cs="Times New Roman"/>
                <w:kern w:val="0"/>
                <w:szCs w:val="21"/>
                <w:highlight w:val="none"/>
              </w:rPr>
              <w:t>。</w:t>
            </w:r>
          </w:p>
          <w:p>
            <w:pPr>
              <w:autoSpaceDE w:val="0"/>
              <w:autoSpaceDN w:val="0"/>
              <w:adjustRightInd w:val="0"/>
              <w:snapToGrid w:val="0"/>
              <w:spacing w:line="360" w:lineRule="auto"/>
              <w:ind w:firstLine="420" w:firstLineChars="200"/>
              <w:rPr>
                <w:rFonts w:ascii="宋体" w:hAnsi="宋体"/>
                <w:kern w:val="0"/>
                <w:szCs w:val="21"/>
                <w:highlight w:val="none"/>
                <w:u w:val="none"/>
              </w:rPr>
            </w:pPr>
            <w:r>
              <w:rPr>
                <w:rFonts w:ascii="宋体" w:hAnsi="宋体" w:cs="Times New Roman"/>
                <w:kern w:val="0"/>
                <w:szCs w:val="21"/>
                <w:highlight w:val="none"/>
              </w:rPr>
              <w:t xml:space="preserve"> [提示</w:t>
            </w:r>
            <w:r>
              <w:rPr>
                <w:rFonts w:hint="eastAsia" w:ascii="宋体" w:hAnsi="宋体" w:cs="Times New Roman"/>
                <w:kern w:val="0"/>
                <w:szCs w:val="21"/>
                <w:highlight w:val="none"/>
              </w:rPr>
              <w:t>：在资格审查条件基础上，业绩加分项的项目规模及类别设置不应超出本项目实际规模与类别。</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654" w:hRule="atLeast"/>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highlight w:val="none"/>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highlight w:val="none"/>
              </w:rPr>
            </w:pPr>
          </w:p>
        </w:tc>
        <w:tc>
          <w:tcPr>
            <w:tcW w:w="2864" w:type="dxa"/>
            <w:gridSpan w:val="3"/>
            <w:tcBorders>
              <w:top w:val="single" w:color="auto" w:sz="4" w:space="0"/>
              <w:bottom w:val="single" w:color="auto" w:sz="4" w:space="0"/>
            </w:tcBorders>
            <w:vAlign w:val="center"/>
          </w:tcPr>
          <w:p>
            <w:pPr>
              <w:spacing w:line="360" w:lineRule="auto"/>
              <w:jc w:val="left"/>
              <w:rPr>
                <w:rFonts w:ascii="宋体" w:hAnsi="宋体" w:cs="宋体"/>
                <w:kern w:val="0"/>
                <w:highlight w:val="none"/>
              </w:rPr>
            </w:pPr>
            <w:r>
              <w:rPr>
                <w:rFonts w:hint="eastAsia" w:ascii="宋体" w:hAnsi="宋体" w:cs="宋体"/>
                <w:kern w:val="0"/>
                <w:highlight w:val="none"/>
              </w:rPr>
              <w:t>□</w:t>
            </w:r>
            <w:r>
              <w:rPr>
                <w:rFonts w:hint="eastAsia" w:ascii="宋体" w:hAnsi="宋体" w:cs="宋体"/>
                <w:kern w:val="0"/>
                <w:szCs w:val="21"/>
                <w:highlight w:val="none"/>
              </w:rPr>
              <w:t>个人业绩加分项</w:t>
            </w:r>
          </w:p>
        </w:tc>
        <w:tc>
          <w:tcPr>
            <w:tcW w:w="5189" w:type="dxa"/>
            <w:tcBorders>
              <w:top w:val="single" w:color="auto" w:sz="4" w:space="0"/>
              <w:bottom w:val="single" w:color="auto" w:sz="4" w:space="0"/>
            </w:tcBorders>
            <w:vAlign w:val="center"/>
          </w:tcPr>
          <w:p>
            <w:pPr>
              <w:autoSpaceDE w:val="0"/>
              <w:autoSpaceDN w:val="0"/>
              <w:adjustRightInd w:val="0"/>
              <w:snapToGrid w:val="0"/>
              <w:spacing w:line="360" w:lineRule="auto"/>
              <w:ind w:firstLine="420" w:firstLineChars="200"/>
              <w:rPr>
                <w:rFonts w:ascii="宋体" w:hAnsi="宋体" w:cs="Times New Roman"/>
                <w:kern w:val="0"/>
                <w:szCs w:val="21"/>
                <w:highlight w:val="none"/>
              </w:rPr>
            </w:pPr>
            <w:r>
              <w:rPr>
                <w:rFonts w:ascii="宋体" w:hAnsi="宋体" w:cs="Times New Roman"/>
                <w:kern w:val="0"/>
                <w:szCs w:val="21"/>
                <w:highlight w:val="none"/>
                <w:u w:val="single"/>
              </w:rPr>
              <w:t xml:space="preserve">       　</w:t>
            </w:r>
            <w:r>
              <w:rPr>
                <w:rFonts w:ascii="宋体" w:hAnsi="宋体" w:cs="Times New Roman"/>
                <w:kern w:val="0"/>
                <w:szCs w:val="21"/>
                <w:highlight w:val="none"/>
                <w:u w:val="none"/>
              </w:rPr>
              <w:t>分</w:t>
            </w:r>
          </w:p>
          <w:p>
            <w:pPr>
              <w:autoSpaceDE w:val="0"/>
              <w:autoSpaceDN w:val="0"/>
              <w:adjustRightInd w:val="0"/>
              <w:snapToGrid w:val="0"/>
              <w:spacing w:line="360" w:lineRule="auto"/>
              <w:ind w:firstLine="420" w:firstLineChars="200"/>
              <w:rPr>
                <w:rFonts w:ascii="宋体" w:hAnsi="宋体" w:cs="Times New Roman"/>
                <w:kern w:val="0"/>
                <w:szCs w:val="21"/>
                <w:highlight w:val="none"/>
              </w:rPr>
            </w:pPr>
            <w:r>
              <w:rPr>
                <w:rFonts w:ascii="宋体" w:hAnsi="宋体" w:cs="Times New Roman"/>
                <w:kern w:val="0"/>
                <w:szCs w:val="21"/>
                <w:highlight w:val="none"/>
                <w:u w:val="none"/>
              </w:rPr>
              <w:t xml:space="preserve">   </w:t>
            </w:r>
            <w:r>
              <w:rPr>
                <w:rFonts w:hint="eastAsia" w:ascii="宋体" w:hAnsi="宋体" w:cs="Times New Roman"/>
                <w:kern w:val="0"/>
                <w:szCs w:val="21"/>
                <w:highlight w:val="none"/>
                <w:u w:val="single"/>
              </w:rPr>
              <w:t>参考资格审查业绩要求设置</w:t>
            </w:r>
            <w:r>
              <w:rPr>
                <w:rFonts w:ascii="宋体" w:hAnsi="宋体" w:cs="Times New Roman"/>
                <w:kern w:val="0"/>
                <w:szCs w:val="21"/>
                <w:highlight w:val="none"/>
                <w:u w:val="single"/>
              </w:rPr>
              <w:t xml:space="preserve">        </w:t>
            </w:r>
            <w:r>
              <w:rPr>
                <w:rFonts w:ascii="宋体" w:hAnsi="宋体" w:cs="Times New Roman"/>
                <w:kern w:val="0"/>
                <w:szCs w:val="21"/>
                <w:highlight w:val="none"/>
                <w:u w:val="none"/>
              </w:rPr>
              <w:t xml:space="preserve"> 。</w:t>
            </w:r>
          </w:p>
          <w:p>
            <w:pPr>
              <w:autoSpaceDE w:val="0"/>
              <w:autoSpaceDN w:val="0"/>
              <w:adjustRightInd w:val="0"/>
              <w:snapToGrid w:val="0"/>
              <w:spacing w:line="360" w:lineRule="auto"/>
              <w:ind w:firstLine="420" w:firstLineChars="200"/>
              <w:rPr>
                <w:rFonts w:ascii="宋体" w:hAnsi="宋体" w:cs="Times New Roman"/>
                <w:kern w:val="0"/>
                <w:szCs w:val="21"/>
                <w:highlight w:val="none"/>
              </w:rPr>
            </w:pPr>
            <w:r>
              <w:rPr>
                <w:rFonts w:ascii="宋体" w:hAnsi="宋体" w:cs="Times New Roman"/>
                <w:kern w:val="0"/>
                <w:szCs w:val="21"/>
                <w:highlight w:val="none"/>
              </w:rPr>
              <w:t>[提示</w:t>
            </w:r>
            <w:r>
              <w:rPr>
                <w:rFonts w:hint="eastAsia" w:ascii="宋体" w:hAnsi="宋体" w:cs="Times New Roman"/>
                <w:i w:val="0"/>
                <w:kern w:val="0"/>
                <w:szCs w:val="21"/>
                <w:highlight w:val="none"/>
              </w:rPr>
              <w:t>：在资格审查条件基础上，业绩加分项的项目规模及类别设置不应超出本项目实际规模与类别。</w:t>
            </w:r>
          </w:p>
          <w:p>
            <w:pPr>
              <w:autoSpaceDE w:val="0"/>
              <w:autoSpaceDN w:val="0"/>
              <w:adjustRightInd w:val="0"/>
              <w:snapToGrid w:val="0"/>
              <w:spacing w:line="360" w:lineRule="auto"/>
              <w:ind w:firstLine="420" w:firstLineChars="200"/>
              <w:rPr>
                <w:rFonts w:ascii="宋体" w:hAnsi="宋体"/>
                <w:kern w:val="0"/>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78" w:hRule="atLeast"/>
          <w:jc w:val="center"/>
        </w:trPr>
        <w:tc>
          <w:tcPr>
            <w:tcW w:w="818" w:type="dxa"/>
            <w:vMerge w:val="continue"/>
            <w:tcBorders>
              <w:right w:val="single" w:color="auto" w:sz="4" w:space="0"/>
            </w:tcBorders>
            <w:vAlign w:val="center"/>
          </w:tcPr>
          <w:p>
            <w:pPr>
              <w:spacing w:line="400" w:lineRule="exact"/>
              <w:ind w:firstLine="210" w:firstLineChars="100"/>
              <w:jc w:val="center"/>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tcBorders>
              <w:top w:val="single" w:color="auto" w:sz="4" w:space="0"/>
            </w:tcBorders>
            <w:vAlign w:val="center"/>
          </w:tcPr>
          <w:p>
            <w:pPr>
              <w:spacing w:line="360" w:lineRule="auto"/>
              <w:jc w:val="left"/>
              <w:rPr>
                <w:rFonts w:ascii="宋体" w:hAnsi="宋体" w:cs="宋体"/>
                <w:kern w:val="0"/>
                <w:highlight w:val="none"/>
              </w:rPr>
            </w:pPr>
            <w:r>
              <w:rPr>
                <w:rFonts w:hint="eastAsia" w:ascii="宋体" w:hAnsi="宋体" w:cs="宋体"/>
                <w:kern w:val="0"/>
                <w:highlight w:val="none"/>
              </w:rPr>
              <w:t>□</w:t>
            </w:r>
            <w:r>
              <w:rPr>
                <w:rFonts w:hint="eastAsia" w:ascii="宋体" w:hAnsi="宋体" w:cs="宋体"/>
                <w:kern w:val="0"/>
                <w:szCs w:val="21"/>
                <w:highlight w:val="none"/>
              </w:rPr>
              <w:t>其他因素加分项</w:t>
            </w:r>
          </w:p>
        </w:tc>
        <w:tc>
          <w:tcPr>
            <w:tcW w:w="5189" w:type="dxa"/>
            <w:tcBorders>
              <w:top w:val="single" w:color="auto" w:sz="4" w:space="0"/>
            </w:tcBorders>
            <w:vAlign w:val="center"/>
          </w:tcPr>
          <w:p>
            <w:pPr>
              <w:autoSpaceDE w:val="0"/>
              <w:autoSpaceDN w:val="0"/>
              <w:adjustRightInd w:val="0"/>
              <w:snapToGrid w:val="0"/>
              <w:spacing w:line="360" w:lineRule="auto"/>
              <w:ind w:firstLine="420" w:firstLineChars="200"/>
              <w:rPr>
                <w:rFonts w:ascii="宋体" w:hAnsi="宋体" w:cs="Times New Roman"/>
                <w:kern w:val="0"/>
                <w:szCs w:val="21"/>
                <w:highlight w:val="none"/>
                <w:u w:val="none"/>
              </w:rPr>
            </w:pPr>
            <w:r>
              <w:rPr>
                <w:rFonts w:ascii="宋体" w:hAnsi="宋体" w:cs="Times New Roman"/>
                <w:kern w:val="0"/>
                <w:szCs w:val="21"/>
                <w:highlight w:val="none"/>
                <w:u w:val="single"/>
              </w:rPr>
              <w:t xml:space="preserve">       　</w:t>
            </w:r>
            <w:r>
              <w:rPr>
                <w:rFonts w:ascii="宋体" w:hAnsi="宋体" w:cs="Times New Roman"/>
                <w:kern w:val="0"/>
                <w:szCs w:val="21"/>
                <w:highlight w:val="none"/>
                <w:u w:val="none"/>
              </w:rPr>
              <w:t>分</w:t>
            </w:r>
          </w:p>
          <w:p>
            <w:pPr>
              <w:autoSpaceDE w:val="0"/>
              <w:autoSpaceDN w:val="0"/>
              <w:adjustRightInd w:val="0"/>
              <w:snapToGrid w:val="0"/>
              <w:spacing w:line="360" w:lineRule="auto"/>
              <w:ind w:firstLine="420" w:firstLineChars="200"/>
              <w:rPr>
                <w:rFonts w:ascii="宋体" w:hAnsi="宋体"/>
                <w:highlight w:val="yellow"/>
                <w:u w:val="single"/>
              </w:rPr>
            </w:pPr>
            <w:r>
              <w:rPr>
                <w:rFonts w:ascii="宋体" w:hAnsi="宋体" w:cs="Times New Roman"/>
                <w:kern w:val="0"/>
                <w:szCs w:val="21"/>
                <w:highlight w:val="none"/>
                <w:u w:val="none"/>
              </w:rPr>
              <w:t xml:space="preserve">  </w:t>
            </w:r>
            <w:r>
              <w:rPr>
                <w:rFonts w:ascii="宋体" w:hAnsi="宋体" w:cs="Times New Roman"/>
                <w:kern w:val="0"/>
                <w:szCs w:val="21"/>
                <w:highlight w:val="none"/>
                <w:u w:val="single"/>
              </w:rPr>
              <w:t xml:space="preserve">                                  </w:t>
            </w:r>
            <w:r>
              <w:rPr>
                <w:rFonts w:hint="eastAsia" w:ascii="宋体" w:hAnsi="宋体" w:cs="Times New Roman"/>
                <w:kern w:val="0"/>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restart"/>
            <w:tcBorders>
              <w:right w:val="single" w:color="auto" w:sz="4" w:space="0"/>
            </w:tcBorders>
            <w:vAlign w:val="center"/>
          </w:tcPr>
          <w:p>
            <w:pPr>
              <w:spacing w:line="400" w:lineRule="exact"/>
              <w:rPr>
                <w:rFonts w:ascii="宋体" w:hAnsi="宋体"/>
                <w:kern w:val="0"/>
              </w:rPr>
            </w:pPr>
            <w:r>
              <w:rPr>
                <w:rFonts w:hint="eastAsia" w:ascii="宋体" w:hAnsi="宋体"/>
                <w:kern w:val="0"/>
              </w:rPr>
              <w:t>2.2.2（3）</w:t>
            </w:r>
          </w:p>
        </w:tc>
        <w:tc>
          <w:tcPr>
            <w:tcW w:w="604" w:type="dxa"/>
            <w:gridSpan w:val="2"/>
            <w:vMerge w:val="restart"/>
            <w:tcBorders>
              <w:left w:val="single" w:color="auto" w:sz="4" w:space="0"/>
            </w:tcBorders>
            <w:vAlign w:val="center"/>
          </w:tcPr>
          <w:p>
            <w:pPr>
              <w:spacing w:line="400" w:lineRule="exact"/>
              <w:jc w:val="center"/>
              <w:rPr>
                <w:rFonts w:ascii="宋体" w:hAnsi="宋体"/>
                <w:kern w:val="0"/>
              </w:rPr>
            </w:pPr>
            <w:r>
              <w:rPr>
                <w:rFonts w:hint="eastAsia" w:ascii="宋体" w:hAnsi="宋体"/>
                <w:kern w:val="0"/>
              </w:rPr>
              <w:t>投标函部分及经济部分评审标准</w:t>
            </w:r>
          </w:p>
        </w:tc>
        <w:tc>
          <w:tcPr>
            <w:tcW w:w="2864" w:type="dxa"/>
            <w:gridSpan w:val="3"/>
            <w:vAlign w:val="center"/>
          </w:tcPr>
          <w:p>
            <w:pPr>
              <w:tabs>
                <w:tab w:val="left" w:pos="1875"/>
              </w:tabs>
              <w:spacing w:line="400" w:lineRule="exact"/>
              <w:jc w:val="left"/>
              <w:rPr>
                <w:rFonts w:ascii="宋体" w:hAnsi="宋体" w:cs="宋体"/>
                <w:kern w:val="0"/>
              </w:rPr>
            </w:pPr>
            <w:r>
              <w:rPr>
                <w:rFonts w:hint="eastAsia" w:ascii="宋体" w:hAnsi="宋体" w:cs="宋体"/>
                <w:kern w:val="0"/>
              </w:rPr>
              <w:t>投标函部分的签名盖章</w:t>
            </w:r>
          </w:p>
        </w:tc>
        <w:tc>
          <w:tcPr>
            <w:tcW w:w="5189" w:type="dxa"/>
            <w:vAlign w:val="center"/>
          </w:tcPr>
          <w:p>
            <w:pPr>
              <w:snapToGrid w:val="0"/>
              <w:spacing w:line="400" w:lineRule="exact"/>
              <w:ind w:firstLine="420" w:firstLineChars="200"/>
              <w:rPr>
                <w:rFonts w:ascii="宋体" w:hAnsi="宋体" w:cs="宋体"/>
                <w:kern w:val="0"/>
              </w:rPr>
            </w:pPr>
            <w:r>
              <w:rPr>
                <w:rFonts w:hint="eastAsia" w:ascii="宋体" w:hAnsi="宋体" w:cs="宋体"/>
                <w:kern w:val="0"/>
              </w:rPr>
              <w:t>投标函部分的格式要求法定代表人或其委托代理人签名（或盖章）的须齐全，</w:t>
            </w:r>
            <w:r>
              <w:rPr>
                <w:rFonts w:hint="eastAsia" w:asciiTheme="minorEastAsia" w:hAnsiTheme="minorEastAsia" w:eastAsiaTheme="minorEastAsia" w:cstheme="minorEastAsia"/>
                <w:szCs w:val="21"/>
              </w:rPr>
              <w:t>要求签名的，</w:t>
            </w:r>
            <w:r>
              <w:rPr>
                <w:rFonts w:hint="eastAsia" w:asciiTheme="minorEastAsia" w:hAnsiTheme="minorEastAsia" w:eastAsiaTheme="minorEastAsia" w:cstheme="minorEastAsia"/>
                <w:kern w:val="0"/>
              </w:rPr>
              <w:t>签名采用手写签名或签章或加盖CA数字证书均可，</w:t>
            </w:r>
            <w:r>
              <w:rPr>
                <w:rFonts w:hint="eastAsia" w:ascii="宋体" w:hAnsi="宋体" w:cs="宋体"/>
                <w:kern w:val="0"/>
              </w:rPr>
              <w:t>要求加盖单位法人章的，应使用 CA 数字证书加盖投标人的单位电子印章。</w:t>
            </w:r>
          </w:p>
          <w:p>
            <w:pPr>
              <w:snapToGrid w:val="0"/>
              <w:spacing w:line="400" w:lineRule="exact"/>
              <w:ind w:firstLine="420" w:firstLineChars="200"/>
              <w:rPr>
                <w:rFonts w:ascii="宋体" w:hAnsi="宋体"/>
                <w:u w:val="single"/>
              </w:rPr>
            </w:pPr>
            <w:r>
              <w:rPr>
                <w:rFonts w:hint="eastAsia" w:ascii="宋体" w:hAnsi="宋体" w:cs="宋体"/>
                <w:kern w:val="0"/>
              </w:rPr>
              <w:t>联合体投标的，投标函部分的格式中要求投标人加盖单位法人章的，均由联合体牵头人使用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hint="eastAsia" w:ascii="宋体" w:hAnsi="宋体" w:cs="宋体"/>
                <w:kern w:val="0"/>
              </w:rPr>
              <w:t>工期</w:t>
            </w:r>
          </w:p>
        </w:tc>
        <w:tc>
          <w:tcPr>
            <w:tcW w:w="5189" w:type="dxa"/>
            <w:vAlign w:val="center"/>
          </w:tcPr>
          <w:p>
            <w:pPr>
              <w:snapToGrid w:val="0"/>
              <w:spacing w:line="400" w:lineRule="exact"/>
              <w:ind w:firstLine="420" w:firstLineChars="200"/>
              <w:rPr>
                <w:rFonts w:ascii="宋体" w:hAnsi="宋体"/>
                <w:u w:val="single"/>
              </w:rPr>
            </w:pPr>
            <w:r>
              <w:rPr>
                <w:rFonts w:hint="eastAsia" w:ascii="宋体" w:hAnsi="宋体" w:cs="宋体"/>
                <w:kern w:val="0"/>
              </w:rPr>
              <w:t>符合第二章“投标人须知”第1.3.2项规定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hint="eastAsia" w:ascii="宋体" w:hAnsi="宋体" w:cs="宋体"/>
                <w:kern w:val="0"/>
              </w:rPr>
              <w:t>工程质量</w:t>
            </w:r>
          </w:p>
        </w:tc>
        <w:tc>
          <w:tcPr>
            <w:tcW w:w="5189" w:type="dxa"/>
            <w:vAlign w:val="center"/>
          </w:tcPr>
          <w:p>
            <w:pPr>
              <w:snapToGrid w:val="0"/>
              <w:spacing w:line="400" w:lineRule="exact"/>
              <w:ind w:firstLine="420" w:firstLineChars="200"/>
              <w:rPr>
                <w:rFonts w:ascii="宋体" w:hAnsi="宋体"/>
                <w:u w:val="single"/>
              </w:rPr>
            </w:pPr>
            <w:r>
              <w:rPr>
                <w:rFonts w:hint="eastAsia" w:ascii="宋体" w:hAnsi="宋体" w:cs="宋体"/>
                <w:kern w:val="0"/>
              </w:rPr>
              <w:t>符合第二章“投标人须知”第1.3.3项规定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hint="eastAsia" w:ascii="宋体" w:hAnsi="宋体" w:cs="宋体"/>
                <w:kern w:val="0"/>
              </w:rPr>
              <w:t>投标有效期</w:t>
            </w:r>
          </w:p>
        </w:tc>
        <w:tc>
          <w:tcPr>
            <w:tcW w:w="5189" w:type="dxa"/>
            <w:vAlign w:val="center"/>
          </w:tcPr>
          <w:p>
            <w:pPr>
              <w:snapToGrid w:val="0"/>
              <w:spacing w:line="400" w:lineRule="exact"/>
              <w:ind w:firstLine="420" w:firstLineChars="200"/>
              <w:rPr>
                <w:rFonts w:ascii="宋体" w:hAnsi="宋体"/>
                <w:u w:val="single"/>
              </w:rPr>
            </w:pPr>
            <w:r>
              <w:rPr>
                <w:rFonts w:hint="eastAsia" w:ascii="宋体" w:hAnsi="宋体" w:cs="宋体"/>
                <w:kern w:val="0"/>
              </w:rPr>
              <w:t>符合第二章“投标人须知”第3.3.1项规定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ascii="宋体" w:hAnsi="宋体"/>
                <w:kern w:val="0"/>
              </w:rPr>
              <w:t>投标总报价</w:t>
            </w:r>
          </w:p>
        </w:tc>
        <w:tc>
          <w:tcPr>
            <w:tcW w:w="5189" w:type="dxa"/>
            <w:vAlign w:val="center"/>
          </w:tcPr>
          <w:p>
            <w:pPr>
              <w:numPr>
                <w:ilvl w:val="0"/>
                <w:numId w:val="3"/>
              </w:numPr>
              <w:snapToGrid w:val="0"/>
              <w:spacing w:line="320" w:lineRule="exact"/>
              <w:ind w:firstLine="420" w:firstLineChars="200"/>
              <w:rPr>
                <w:rFonts w:ascii="宋体" w:hAnsi="宋体" w:cs="宋体"/>
                <w:kern w:val="0"/>
              </w:rPr>
            </w:pPr>
            <w:r>
              <w:rPr>
                <w:rFonts w:hint="eastAsia" w:ascii="宋体" w:hAnsi="宋体" w:cs="宋体"/>
                <w:kern w:val="0"/>
              </w:rPr>
              <w:t>投标函中的总报价必须与已标价工程量清单总报价一致。</w:t>
            </w:r>
          </w:p>
          <w:p>
            <w:pPr>
              <w:spacing w:line="400" w:lineRule="exact"/>
              <w:ind w:firstLine="420" w:firstLineChars="200"/>
              <w:rPr>
                <w:rFonts w:ascii="宋体" w:hAnsi="宋体"/>
                <w:kern w:val="0"/>
              </w:rPr>
            </w:pPr>
            <w:r>
              <w:rPr>
                <w:rFonts w:hint="eastAsia" w:ascii="宋体" w:hAnsi="宋体" w:cs="宋体"/>
                <w:kern w:val="0"/>
              </w:rPr>
              <w:t>2.投标总报价不得高于招标人公布的投标总报价</w:t>
            </w:r>
            <w:r>
              <w:rPr>
                <w:rFonts w:hint="eastAsia" w:ascii="宋体" w:hAnsi="宋体"/>
                <w:szCs w:val="21"/>
              </w:rPr>
              <w:t>最高限价</w:t>
            </w:r>
            <w:r>
              <w:rPr>
                <w:rFonts w:hint="eastAsia" w:ascii="宋体" w:hAnsi="宋体" w:cs="宋体"/>
                <w:kern w:val="0"/>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ascii="宋体" w:hAnsi="宋体"/>
                <w:kern w:val="0"/>
              </w:rPr>
              <w:t>报价唯一</w:t>
            </w:r>
          </w:p>
        </w:tc>
        <w:tc>
          <w:tcPr>
            <w:tcW w:w="5189" w:type="dxa"/>
            <w:vAlign w:val="center"/>
          </w:tcPr>
          <w:p>
            <w:pPr>
              <w:snapToGrid w:val="0"/>
              <w:spacing w:line="400" w:lineRule="exact"/>
              <w:ind w:firstLine="420" w:firstLineChars="200"/>
              <w:rPr>
                <w:rFonts w:ascii="宋体" w:hAnsi="宋体"/>
                <w:u w:val="single"/>
              </w:rPr>
            </w:pPr>
            <w:r>
              <w:rPr>
                <w:rFonts w:ascii="宋体" w:hAnsi="宋体"/>
                <w:kern w:val="0"/>
              </w:rPr>
              <w:t>只能有一个有效报价，在招标文件没有规定的情况下，不得提交选择性报价。</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kern w:val="0"/>
                <w:highlight w:val="none"/>
              </w:rPr>
            </w:pPr>
            <w:r>
              <w:rPr>
                <w:rFonts w:hint="eastAsia" w:ascii="宋体" w:hAnsi="宋体"/>
                <w:kern w:val="0"/>
                <w:highlight w:val="none"/>
              </w:rPr>
              <w:t>暂定金额（暂列金）</w:t>
            </w:r>
          </w:p>
        </w:tc>
        <w:tc>
          <w:tcPr>
            <w:tcW w:w="5189" w:type="dxa"/>
            <w:vAlign w:val="center"/>
          </w:tcPr>
          <w:p>
            <w:pPr>
              <w:snapToGrid w:val="0"/>
              <w:spacing w:line="400" w:lineRule="exact"/>
              <w:ind w:firstLine="420" w:firstLineChars="200"/>
              <w:rPr>
                <w:rFonts w:ascii="宋体" w:hAnsi="宋体" w:cs="宋体"/>
                <w:kern w:val="0"/>
                <w:highlight w:val="none"/>
              </w:rPr>
            </w:pPr>
            <w:r>
              <w:rPr>
                <w:rFonts w:hint="eastAsia" w:ascii="宋体" w:hAnsi="宋体"/>
                <w:kern w:val="0"/>
                <w:highlight w:val="none"/>
              </w:rPr>
              <w:t>暂定金额（暂列金）、暂估价等暂定金额必须按照招标文件给定的金额填报。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highlight w:val="none"/>
              </w:rPr>
            </w:pPr>
            <w:r>
              <w:rPr>
                <w:rFonts w:ascii="宋体" w:hAnsi="宋体"/>
                <w:kern w:val="0"/>
                <w:highlight w:val="none"/>
              </w:rPr>
              <w:t>已标价工程量清单</w:t>
            </w:r>
          </w:p>
        </w:tc>
        <w:tc>
          <w:tcPr>
            <w:tcW w:w="5189" w:type="dxa"/>
            <w:vAlign w:val="center"/>
          </w:tcPr>
          <w:p>
            <w:pPr>
              <w:snapToGrid w:val="0"/>
              <w:spacing w:line="400" w:lineRule="exact"/>
              <w:ind w:firstLine="420" w:firstLineChars="200"/>
              <w:rPr>
                <w:rFonts w:ascii="宋体" w:hAnsi="宋体"/>
                <w:highlight w:val="none"/>
                <w:u w:val="single"/>
              </w:rPr>
            </w:pPr>
            <w:r>
              <w:rPr>
                <w:rFonts w:hint="eastAsia" w:ascii="宋体" w:hAnsi="宋体"/>
                <w:kern w:val="0"/>
                <w:highlight w:val="none"/>
              </w:rPr>
              <w:t>投标人承诺已标价工程量清单满足第二章“投标人须知前附表”第3.2款第12条要求，如有差错则按第二章“投标人须知前附表”第3.2款第11条要求原则进行处理（或结算），承诺书格式详见第八章投标文件格式。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8" w:type="dxa"/>
            <w:vMerge w:val="continue"/>
            <w:tcBorders>
              <w:right w:val="single" w:color="auto" w:sz="4" w:space="0"/>
            </w:tcBorders>
            <w:vAlign w:val="center"/>
          </w:tcPr>
          <w:p>
            <w:pPr>
              <w:spacing w:line="400" w:lineRule="exact"/>
              <w:rPr>
                <w:rFonts w:ascii="宋体" w:hAnsi="宋体"/>
                <w:kern w:val="0"/>
              </w:rPr>
            </w:pPr>
          </w:p>
        </w:tc>
        <w:tc>
          <w:tcPr>
            <w:tcW w:w="604" w:type="dxa"/>
            <w:gridSpan w:val="2"/>
            <w:vMerge w:val="continue"/>
            <w:tcBorders>
              <w:left w:val="single" w:color="auto" w:sz="4" w:space="0"/>
            </w:tcBorders>
            <w:vAlign w:val="center"/>
          </w:tcPr>
          <w:p>
            <w:pPr>
              <w:spacing w:line="400" w:lineRule="exact"/>
              <w:ind w:firstLine="210" w:firstLineChars="100"/>
              <w:jc w:val="center"/>
              <w:rPr>
                <w:rFonts w:ascii="宋体" w:hAnsi="宋体"/>
                <w:kern w:val="0"/>
              </w:rPr>
            </w:pPr>
          </w:p>
        </w:tc>
        <w:tc>
          <w:tcPr>
            <w:tcW w:w="2864" w:type="dxa"/>
            <w:gridSpan w:val="3"/>
            <w:vAlign w:val="center"/>
          </w:tcPr>
          <w:p>
            <w:pPr>
              <w:tabs>
                <w:tab w:val="left" w:pos="1875"/>
              </w:tabs>
              <w:spacing w:line="400" w:lineRule="exact"/>
              <w:jc w:val="left"/>
              <w:rPr>
                <w:rFonts w:ascii="宋体" w:hAnsi="宋体" w:cs="宋体"/>
                <w:kern w:val="0"/>
              </w:rPr>
            </w:pPr>
            <w:r>
              <w:rPr>
                <w:rFonts w:ascii="宋体" w:hAnsi="宋体"/>
                <w:kern w:val="0"/>
              </w:rPr>
              <w:t>投标报价算术错误修正</w:t>
            </w:r>
          </w:p>
        </w:tc>
        <w:tc>
          <w:tcPr>
            <w:tcW w:w="5189" w:type="dxa"/>
            <w:vAlign w:val="center"/>
          </w:tcPr>
          <w:p>
            <w:pPr>
              <w:snapToGrid w:val="0"/>
              <w:spacing w:line="400" w:lineRule="exact"/>
              <w:ind w:firstLine="420" w:firstLineChars="200"/>
              <w:rPr>
                <w:rFonts w:ascii="宋体" w:hAnsi="宋体"/>
                <w:u w:val="single"/>
              </w:rPr>
            </w:pPr>
            <w:r>
              <w:rPr>
                <w:rFonts w:ascii="宋体" w:hAnsi="宋体"/>
                <w:kern w:val="0"/>
              </w:rPr>
              <w:t>符合第三章3.评标程序第3.1.3项规定。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22" w:type="dxa"/>
            <w:gridSpan w:val="3"/>
            <w:vAlign w:val="center"/>
          </w:tcPr>
          <w:p>
            <w:pPr>
              <w:spacing w:line="400" w:lineRule="exact"/>
              <w:jc w:val="center"/>
              <w:rPr>
                <w:rFonts w:ascii="宋体" w:hAnsi="宋体"/>
                <w:kern w:val="0"/>
              </w:rPr>
            </w:pPr>
            <w:r>
              <w:rPr>
                <w:rFonts w:ascii="宋体" w:hAnsi="宋体"/>
                <w:kern w:val="0"/>
              </w:rPr>
              <w:t>2.2.</w:t>
            </w:r>
            <w:r>
              <w:rPr>
                <w:rFonts w:hint="eastAsia" w:ascii="宋体" w:hAnsi="宋体"/>
                <w:kern w:val="0"/>
              </w:rPr>
              <w:t>3</w:t>
            </w:r>
          </w:p>
        </w:tc>
        <w:tc>
          <w:tcPr>
            <w:tcW w:w="1546" w:type="dxa"/>
            <w:gridSpan w:val="2"/>
            <w:vAlign w:val="center"/>
          </w:tcPr>
          <w:p>
            <w:pPr>
              <w:snapToGrid w:val="0"/>
              <w:spacing w:line="400" w:lineRule="exact"/>
              <w:jc w:val="left"/>
              <w:rPr>
                <w:rFonts w:ascii="宋体" w:hAnsi="宋体"/>
                <w:b/>
                <w:kern w:val="0"/>
              </w:rPr>
            </w:pPr>
            <w:r>
              <w:rPr>
                <w:rFonts w:hint="eastAsia" w:ascii="宋体" w:hAnsi="宋体"/>
                <w:b/>
                <w:kern w:val="0"/>
              </w:rPr>
              <w:t>□选项一：</w:t>
            </w:r>
          </w:p>
          <w:p>
            <w:pPr>
              <w:spacing w:line="400" w:lineRule="exact"/>
              <w:jc w:val="center"/>
              <w:rPr>
                <w:rFonts w:ascii="宋体" w:hAnsi="宋体"/>
                <w:kern w:val="0"/>
              </w:rPr>
            </w:pPr>
            <w:r>
              <w:rPr>
                <w:rFonts w:ascii="宋体" w:hAnsi="宋体"/>
                <w:kern w:val="0"/>
              </w:rPr>
              <w:t>评标基准价计算方法</w:t>
            </w:r>
          </w:p>
        </w:tc>
        <w:tc>
          <w:tcPr>
            <w:tcW w:w="1318" w:type="dxa"/>
            <w:vAlign w:val="center"/>
          </w:tcPr>
          <w:p>
            <w:pPr>
              <w:spacing w:line="400" w:lineRule="exact"/>
              <w:jc w:val="center"/>
              <w:rPr>
                <w:rFonts w:ascii="宋体" w:hAnsi="宋体"/>
                <w:kern w:val="0"/>
              </w:rPr>
            </w:pPr>
            <w:r>
              <w:rPr>
                <w:rFonts w:ascii="宋体" w:hAnsi="宋体"/>
                <w:kern w:val="0"/>
              </w:rPr>
              <w:t>投标总报价</w:t>
            </w:r>
          </w:p>
        </w:tc>
        <w:tc>
          <w:tcPr>
            <w:tcW w:w="5189" w:type="dxa"/>
          </w:tcPr>
          <w:p>
            <w:pPr>
              <w:snapToGrid w:val="0"/>
              <w:spacing w:line="400" w:lineRule="exact"/>
              <w:ind w:firstLine="420" w:firstLineChars="200"/>
              <w:jc w:val="left"/>
              <w:rPr>
                <w:rFonts w:ascii="宋体" w:hAnsi="宋体"/>
                <w:kern w:val="0"/>
                <w:szCs w:val="21"/>
              </w:rPr>
            </w:pPr>
            <w:r>
              <w:rPr>
                <w:rFonts w:ascii="宋体" w:hAnsi="宋体"/>
                <w:kern w:val="0"/>
                <w:szCs w:val="21"/>
              </w:rPr>
              <w:t>所有通过初步评审</w:t>
            </w:r>
            <w:r>
              <w:rPr>
                <w:rFonts w:hint="eastAsia" w:ascii="宋体" w:hAnsi="宋体"/>
                <w:kern w:val="0"/>
                <w:szCs w:val="21"/>
              </w:rPr>
              <w:t>和本章第2.2.2（3）目评审</w:t>
            </w:r>
            <w:r>
              <w:rPr>
                <w:rFonts w:ascii="宋体" w:hAnsi="宋体"/>
                <w:kern w:val="0"/>
                <w:szCs w:val="21"/>
              </w:rPr>
              <w:t>合格的投标人</w:t>
            </w:r>
            <w:r>
              <w:rPr>
                <w:rFonts w:ascii="宋体" w:hAnsi="宋体"/>
                <w:szCs w:val="21"/>
              </w:rPr>
              <w:t>的投标总报</w:t>
            </w:r>
            <w:r>
              <w:rPr>
                <w:rFonts w:ascii="宋体" w:hAnsi="宋体"/>
                <w:kern w:val="0"/>
                <w:szCs w:val="21"/>
              </w:rPr>
              <w:t>价中去掉六分之一（不能整除的按小数点前整数取整，不足六家报价则不去掉）的最低价和相同家数的最高价后的算术平均值</w:t>
            </w:r>
            <w:r>
              <w:rPr>
                <w:rFonts w:hint="eastAsia" w:ascii="宋体" w:hAnsi="宋体"/>
                <w:kern w:val="0"/>
                <w:szCs w:val="21"/>
              </w:rPr>
              <w:t>，即为本项目的投标总报价的评标基准价。</w:t>
            </w:r>
          </w:p>
          <w:p>
            <w:pPr>
              <w:snapToGrid w:val="0"/>
              <w:spacing w:line="400" w:lineRule="exact"/>
              <w:ind w:firstLine="420" w:firstLineChars="200"/>
              <w:rPr>
                <w:rFonts w:ascii="宋体" w:hAnsi="宋体"/>
                <w:kern w:val="0"/>
                <w:szCs w:val="21"/>
              </w:rPr>
            </w:pPr>
            <w:r>
              <w:rPr>
                <w:rFonts w:hint="eastAsia" w:ascii="宋体" w:hAnsi="宋体"/>
                <w:kern w:val="0"/>
                <w:szCs w:val="21"/>
              </w:rPr>
              <w:t>评标基准价计算的最终</w:t>
            </w:r>
            <w:r>
              <w:rPr>
                <w:rFonts w:ascii="宋体" w:hAnsi="宋体"/>
                <w:kern w:val="0"/>
                <w:szCs w:val="21"/>
              </w:rPr>
              <w:t>结果取小数点后两位，</w:t>
            </w:r>
            <w:r>
              <w:rPr>
                <w:rFonts w:hint="eastAsia" w:ascii="宋体" w:hAnsi="宋体" w:cs="Times New Roman"/>
                <w:kern w:val="2"/>
                <w:szCs w:val="21"/>
                <w:lang w:val="en-US" w:eastAsia="zh-CN"/>
              </w:rPr>
              <w:t>小数点后</w:t>
            </w:r>
            <w:r>
              <w:rPr>
                <w:rFonts w:ascii="宋体" w:hAnsi="宋体"/>
                <w:kern w:val="0"/>
                <w:szCs w:val="21"/>
              </w:rPr>
              <w:t>第三位四舍五入。</w:t>
            </w:r>
          </w:p>
          <w:p>
            <w:pPr>
              <w:snapToGrid w:val="0"/>
              <w:spacing w:line="400" w:lineRule="exact"/>
              <w:ind w:firstLine="420" w:firstLineChars="200"/>
              <w:rPr>
                <w:rFonts w:ascii="宋体" w:hAnsi="宋体"/>
                <w:kern w:val="0"/>
                <w:szCs w:val="21"/>
              </w:rPr>
            </w:pPr>
            <w:r>
              <w:rPr>
                <w:rFonts w:ascii="宋体" w:hAnsi="宋体"/>
                <w:kern w:val="0"/>
                <w:szCs w:val="21"/>
              </w:rPr>
              <w:t>在评标基准价计算完成后（除计算错误外），在后续的评审中不得再对其做出调整。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22" w:type="dxa"/>
            <w:gridSpan w:val="3"/>
            <w:vAlign w:val="center"/>
          </w:tcPr>
          <w:p>
            <w:pPr>
              <w:spacing w:line="400" w:lineRule="exact"/>
              <w:jc w:val="center"/>
              <w:rPr>
                <w:rFonts w:ascii="宋体" w:hAnsi="宋体"/>
                <w:kern w:val="0"/>
              </w:rPr>
            </w:pPr>
            <w:r>
              <w:rPr>
                <w:rFonts w:ascii="宋体" w:hAnsi="宋体"/>
                <w:kern w:val="0"/>
              </w:rPr>
              <w:t>2.2.</w:t>
            </w:r>
            <w:r>
              <w:rPr>
                <w:rFonts w:hint="eastAsia" w:ascii="宋体" w:hAnsi="宋体"/>
                <w:kern w:val="0"/>
              </w:rPr>
              <w:t>3</w:t>
            </w:r>
          </w:p>
        </w:tc>
        <w:tc>
          <w:tcPr>
            <w:tcW w:w="1546" w:type="dxa"/>
            <w:gridSpan w:val="2"/>
            <w:vAlign w:val="center"/>
          </w:tcPr>
          <w:p>
            <w:pPr>
              <w:snapToGrid w:val="0"/>
              <w:spacing w:line="400" w:lineRule="exact"/>
              <w:jc w:val="left"/>
              <w:rPr>
                <w:rFonts w:ascii="宋体" w:hAnsi="宋体"/>
                <w:b/>
                <w:kern w:val="0"/>
              </w:rPr>
            </w:pPr>
            <w:r>
              <w:rPr>
                <w:rFonts w:hint="eastAsia" w:ascii="宋体" w:hAnsi="宋体"/>
                <w:b/>
                <w:kern w:val="0"/>
              </w:rPr>
              <w:t>□选项二：</w:t>
            </w:r>
          </w:p>
          <w:p>
            <w:pPr>
              <w:spacing w:line="400" w:lineRule="exact"/>
              <w:jc w:val="center"/>
              <w:rPr>
                <w:rFonts w:ascii="宋体" w:hAnsi="宋体"/>
                <w:kern w:val="0"/>
              </w:rPr>
            </w:pPr>
            <w:r>
              <w:rPr>
                <w:rFonts w:ascii="宋体" w:hAnsi="宋体"/>
                <w:kern w:val="0"/>
              </w:rPr>
              <w:t>评标基准价计算方法</w:t>
            </w:r>
          </w:p>
        </w:tc>
        <w:tc>
          <w:tcPr>
            <w:tcW w:w="1318" w:type="dxa"/>
            <w:vAlign w:val="center"/>
          </w:tcPr>
          <w:p>
            <w:pPr>
              <w:spacing w:line="400" w:lineRule="exact"/>
              <w:jc w:val="center"/>
              <w:rPr>
                <w:rFonts w:ascii="宋体" w:hAnsi="宋体"/>
                <w:kern w:val="0"/>
              </w:rPr>
            </w:pPr>
            <w:r>
              <w:rPr>
                <w:rFonts w:ascii="宋体" w:hAnsi="宋体"/>
                <w:kern w:val="0"/>
              </w:rPr>
              <w:t>投标总报价</w:t>
            </w:r>
          </w:p>
        </w:tc>
        <w:tc>
          <w:tcPr>
            <w:tcW w:w="5189" w:type="dxa"/>
          </w:tcPr>
          <w:p>
            <w:pPr>
              <w:snapToGrid w:val="0"/>
              <w:spacing w:line="400" w:lineRule="exact"/>
              <w:ind w:firstLine="420" w:firstLineChars="200"/>
              <w:rPr>
                <w:rFonts w:ascii="宋体" w:hAnsi="宋体"/>
                <w:kern w:val="0"/>
                <w:szCs w:val="21"/>
              </w:rPr>
            </w:pPr>
            <w:r>
              <w:rPr>
                <w:rFonts w:ascii="宋体" w:hAnsi="宋体"/>
                <w:kern w:val="0"/>
                <w:szCs w:val="21"/>
              </w:rPr>
              <w:t>所有通过初步评审</w:t>
            </w:r>
            <w:r>
              <w:rPr>
                <w:rFonts w:hint="eastAsia" w:ascii="宋体" w:hAnsi="宋体"/>
                <w:kern w:val="0"/>
                <w:szCs w:val="21"/>
              </w:rPr>
              <w:t>和本章第2.2.2（3）目评审</w:t>
            </w:r>
            <w:r>
              <w:rPr>
                <w:rFonts w:ascii="宋体" w:hAnsi="宋体"/>
                <w:kern w:val="0"/>
                <w:szCs w:val="21"/>
              </w:rPr>
              <w:t>合格的投标人</w:t>
            </w:r>
            <w:r>
              <w:rPr>
                <w:rFonts w:ascii="宋体" w:hAnsi="宋体"/>
                <w:szCs w:val="21"/>
              </w:rPr>
              <w:t>的投标总报</w:t>
            </w:r>
            <w:r>
              <w:rPr>
                <w:rFonts w:ascii="宋体" w:hAnsi="宋体"/>
                <w:kern w:val="0"/>
                <w:szCs w:val="21"/>
              </w:rPr>
              <w:t>价中去掉六分之一（不能整除的按小数点前整数取整，不足六家报价则不去掉）的最低价和相同家数的最高价后的算术平均值乘以</w:t>
            </w:r>
            <w:r>
              <w:rPr>
                <w:rFonts w:hint="eastAsia" w:ascii="宋体" w:hAnsi="宋体"/>
                <w:kern w:val="0"/>
                <w:szCs w:val="21"/>
              </w:rPr>
              <w:t>（1-</w:t>
            </w:r>
            <w:r>
              <w:rPr>
                <w:rFonts w:ascii="宋体" w:hAnsi="宋体"/>
                <w:kern w:val="0"/>
                <w:szCs w:val="21"/>
              </w:rPr>
              <w:t>本项目评标基准价浮动值N</w:t>
            </w:r>
            <w:r>
              <w:rPr>
                <w:rFonts w:hint="eastAsia" w:ascii="宋体" w:hAnsi="宋体"/>
                <w:kern w:val="0"/>
                <w:szCs w:val="21"/>
              </w:rPr>
              <w:t>）</w:t>
            </w:r>
            <w:r>
              <w:rPr>
                <w:rFonts w:ascii="宋体" w:hAnsi="宋体"/>
                <w:kern w:val="0"/>
                <w:szCs w:val="21"/>
              </w:rPr>
              <w:t>，即为本项目的投标总报价的评标基准价。（评标基准价浮动值N为</w:t>
            </w:r>
            <w:r>
              <w:rPr>
                <w:rFonts w:hint="eastAsia" w:ascii="宋体" w:hAnsi="宋体"/>
                <w:kern w:val="0"/>
              </w:rPr>
              <w:t>1</w:t>
            </w:r>
            <w:r>
              <w:rPr>
                <w:rFonts w:ascii="宋体" w:hAnsi="宋体"/>
                <w:kern w:val="0"/>
              </w:rPr>
              <w:t>%～</w:t>
            </w:r>
            <w:r>
              <w:rPr>
                <w:rFonts w:hint="eastAsia" w:ascii="宋体" w:hAnsi="宋体"/>
                <w:kern w:val="0"/>
              </w:rPr>
              <w:t>5%范围内百分数取整</w:t>
            </w:r>
            <w:r>
              <w:rPr>
                <w:rFonts w:ascii="宋体" w:hAnsi="宋体"/>
                <w:kern w:val="0"/>
              </w:rPr>
              <w:t>，</w:t>
            </w:r>
            <w:r>
              <w:rPr>
                <w:rFonts w:ascii="宋体" w:hAnsi="宋体"/>
                <w:kern w:val="0"/>
                <w:szCs w:val="21"/>
              </w:rPr>
              <w:t>在开标现场随机抽取决定）</w:t>
            </w:r>
          </w:p>
          <w:p>
            <w:pPr>
              <w:snapToGrid w:val="0"/>
              <w:spacing w:line="400" w:lineRule="exact"/>
              <w:ind w:firstLine="420" w:firstLineChars="200"/>
              <w:rPr>
                <w:rFonts w:ascii="宋体" w:hAnsi="宋体"/>
                <w:kern w:val="0"/>
                <w:szCs w:val="21"/>
              </w:rPr>
            </w:pPr>
            <w:r>
              <w:rPr>
                <w:rFonts w:hint="eastAsia" w:ascii="宋体" w:hAnsi="宋体"/>
                <w:kern w:val="0"/>
                <w:szCs w:val="21"/>
              </w:rPr>
              <w:t>评标基准价计算的最终</w:t>
            </w:r>
            <w:r>
              <w:rPr>
                <w:rFonts w:ascii="宋体" w:hAnsi="宋体"/>
                <w:kern w:val="0"/>
                <w:szCs w:val="21"/>
              </w:rPr>
              <w:t>结果取小数点后两位，</w:t>
            </w:r>
            <w:r>
              <w:rPr>
                <w:rFonts w:hint="eastAsia" w:ascii="宋体" w:hAnsi="宋体" w:cs="Times New Roman"/>
                <w:kern w:val="2"/>
                <w:szCs w:val="21"/>
                <w:lang w:val="en-US" w:eastAsia="zh-CN"/>
              </w:rPr>
              <w:t>小数点后</w:t>
            </w:r>
            <w:r>
              <w:rPr>
                <w:rFonts w:ascii="宋体" w:hAnsi="宋体"/>
                <w:kern w:val="0"/>
                <w:szCs w:val="21"/>
              </w:rPr>
              <w:t>第三位四舍五入。</w:t>
            </w:r>
          </w:p>
          <w:p>
            <w:pPr>
              <w:snapToGrid w:val="0"/>
              <w:spacing w:line="400" w:lineRule="exact"/>
              <w:ind w:firstLine="420" w:firstLineChars="200"/>
              <w:rPr>
                <w:rFonts w:ascii="宋体" w:hAnsi="宋体"/>
                <w:kern w:val="0"/>
              </w:rPr>
            </w:pPr>
            <w:r>
              <w:rPr>
                <w:rFonts w:ascii="宋体" w:hAnsi="宋体"/>
                <w:kern w:val="0"/>
                <w:szCs w:val="21"/>
              </w:rPr>
              <w:t>在评标基准价计算完成后（除计算错误外），在后续的评审中不得再对其做出调整。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22" w:type="dxa"/>
            <w:gridSpan w:val="3"/>
            <w:vAlign w:val="center"/>
          </w:tcPr>
          <w:p>
            <w:pPr>
              <w:spacing w:line="400" w:lineRule="exact"/>
              <w:jc w:val="center"/>
              <w:rPr>
                <w:rFonts w:ascii="宋体" w:hAnsi="宋体"/>
                <w:kern w:val="0"/>
              </w:rPr>
            </w:pPr>
            <w:r>
              <w:rPr>
                <w:rFonts w:ascii="宋体" w:hAnsi="宋体"/>
                <w:kern w:val="0"/>
              </w:rPr>
              <w:t>2.2.</w:t>
            </w:r>
            <w:r>
              <w:rPr>
                <w:rFonts w:hint="eastAsia" w:ascii="宋体" w:hAnsi="宋体"/>
                <w:kern w:val="0"/>
              </w:rPr>
              <w:t>3</w:t>
            </w:r>
          </w:p>
        </w:tc>
        <w:tc>
          <w:tcPr>
            <w:tcW w:w="1546" w:type="dxa"/>
            <w:gridSpan w:val="2"/>
            <w:vAlign w:val="center"/>
          </w:tcPr>
          <w:p>
            <w:pPr>
              <w:snapToGrid w:val="0"/>
              <w:spacing w:line="400" w:lineRule="exact"/>
              <w:jc w:val="left"/>
              <w:rPr>
                <w:rFonts w:ascii="宋体" w:hAnsi="宋体"/>
                <w:b/>
                <w:kern w:val="0"/>
              </w:rPr>
            </w:pPr>
            <w:r>
              <w:rPr>
                <w:rFonts w:hint="eastAsia" w:ascii="宋体" w:hAnsi="宋体"/>
                <w:b/>
                <w:kern w:val="0"/>
              </w:rPr>
              <w:t>□选项三：</w:t>
            </w:r>
          </w:p>
          <w:p>
            <w:pPr>
              <w:spacing w:line="400" w:lineRule="exact"/>
              <w:jc w:val="center"/>
              <w:rPr>
                <w:rFonts w:ascii="宋体" w:hAnsi="宋体"/>
                <w:kern w:val="0"/>
              </w:rPr>
            </w:pPr>
            <w:r>
              <w:rPr>
                <w:rFonts w:ascii="宋体" w:hAnsi="宋体"/>
                <w:kern w:val="0"/>
              </w:rPr>
              <w:t>评标基准价计算方法</w:t>
            </w:r>
          </w:p>
        </w:tc>
        <w:tc>
          <w:tcPr>
            <w:tcW w:w="1318" w:type="dxa"/>
            <w:vAlign w:val="center"/>
          </w:tcPr>
          <w:p>
            <w:pPr>
              <w:spacing w:line="400" w:lineRule="exact"/>
              <w:jc w:val="center"/>
              <w:rPr>
                <w:rFonts w:ascii="宋体" w:hAnsi="宋体"/>
                <w:kern w:val="0"/>
              </w:rPr>
            </w:pPr>
            <w:r>
              <w:rPr>
                <w:rFonts w:ascii="宋体" w:hAnsi="宋体"/>
                <w:kern w:val="0"/>
              </w:rPr>
              <w:t>投标总报价</w:t>
            </w:r>
          </w:p>
        </w:tc>
        <w:tc>
          <w:tcPr>
            <w:tcW w:w="5189" w:type="dxa"/>
          </w:tcPr>
          <w:p>
            <w:pPr>
              <w:snapToGrid w:val="0"/>
              <w:spacing w:line="400" w:lineRule="exact"/>
              <w:ind w:firstLine="420" w:firstLineChars="200"/>
              <w:rPr>
                <w:rFonts w:ascii="宋体" w:hAnsi="宋体"/>
                <w:kern w:val="0"/>
                <w:szCs w:val="21"/>
              </w:rPr>
            </w:pPr>
            <w:r>
              <w:rPr>
                <w:rFonts w:ascii="宋体" w:hAnsi="宋体"/>
                <w:kern w:val="0"/>
                <w:szCs w:val="21"/>
              </w:rPr>
              <w:t>所有通过初步评审</w:t>
            </w:r>
            <w:r>
              <w:rPr>
                <w:rFonts w:hint="eastAsia" w:ascii="宋体" w:hAnsi="宋体"/>
                <w:kern w:val="0"/>
                <w:szCs w:val="21"/>
              </w:rPr>
              <w:t>和本章第2.2.2（3）目评审</w:t>
            </w:r>
            <w:r>
              <w:rPr>
                <w:rFonts w:ascii="宋体" w:hAnsi="宋体"/>
                <w:kern w:val="0"/>
                <w:szCs w:val="21"/>
              </w:rPr>
              <w:t>合格的投标人</w:t>
            </w:r>
            <w:r>
              <w:rPr>
                <w:rFonts w:ascii="宋体" w:hAnsi="宋体"/>
                <w:szCs w:val="21"/>
              </w:rPr>
              <w:t>的投标总报</w:t>
            </w:r>
            <w:r>
              <w:rPr>
                <w:rFonts w:ascii="宋体" w:hAnsi="宋体"/>
                <w:kern w:val="0"/>
                <w:szCs w:val="21"/>
              </w:rPr>
              <w:t>价中去掉六分之一（不能整除的按小数点前整数取整，不足六家报价则不去掉）的最低价和相同家数的最高价后的算术平均值</w:t>
            </w:r>
            <w:r>
              <w:rPr>
                <w:rFonts w:hint="eastAsia" w:ascii="宋体" w:hAnsi="宋体"/>
                <w:kern w:val="0"/>
                <w:szCs w:val="21"/>
              </w:rPr>
              <w:t>乘以（1-本项目评标基准价</w:t>
            </w:r>
            <w:r>
              <w:rPr>
                <w:rFonts w:ascii="宋体" w:hAnsi="宋体"/>
                <w:kern w:val="0"/>
                <w:szCs w:val="21"/>
              </w:rPr>
              <w:t>下浮</w:t>
            </w:r>
            <w:r>
              <w:rPr>
                <w:rFonts w:hint="eastAsia" w:ascii="宋体" w:hAnsi="宋体"/>
                <w:kern w:val="0"/>
                <w:szCs w:val="21"/>
              </w:rPr>
              <w:t>比例</w:t>
            </w:r>
            <w:r>
              <w:rPr>
                <w:rFonts w:ascii="宋体" w:hAnsi="宋体"/>
                <w:kern w:val="0"/>
                <w:szCs w:val="21"/>
              </w:rPr>
              <w:t>M</w:t>
            </w:r>
            <w:r>
              <w:rPr>
                <w:rFonts w:hint="eastAsia" w:ascii="宋体" w:hAnsi="宋体"/>
                <w:kern w:val="0"/>
                <w:szCs w:val="21"/>
              </w:rPr>
              <w:t>），</w:t>
            </w:r>
            <w:r>
              <w:rPr>
                <w:rFonts w:ascii="宋体" w:hAnsi="宋体"/>
                <w:kern w:val="0"/>
                <w:szCs w:val="21"/>
              </w:rPr>
              <w:t>即为本项目的投标总报价的评标基准价。（</w:t>
            </w:r>
            <w:r>
              <w:rPr>
                <w:rFonts w:hint="eastAsia" w:ascii="宋体" w:hAnsi="宋体"/>
                <w:kern w:val="0"/>
                <w:szCs w:val="21"/>
              </w:rPr>
              <w:t>评标基准价下浮比例</w:t>
            </w:r>
            <w:r>
              <w:rPr>
                <w:rFonts w:ascii="宋体" w:hAnsi="宋体"/>
                <w:kern w:val="0"/>
                <w:szCs w:val="21"/>
              </w:rPr>
              <w:t>M为</w:t>
            </w:r>
            <w:r>
              <w:rPr>
                <w:rFonts w:hint="eastAsia" w:ascii="宋体" w:hAnsi="宋体"/>
                <w:kern w:val="0"/>
              </w:rPr>
              <w:t>1%</w:t>
            </w:r>
            <w:r>
              <w:rPr>
                <w:rFonts w:ascii="宋体" w:hAnsi="宋体"/>
                <w:kern w:val="0"/>
              </w:rPr>
              <w:t>～</w:t>
            </w:r>
            <w:r>
              <w:rPr>
                <w:rFonts w:hint="eastAsia" w:ascii="宋体" w:hAnsi="宋体"/>
                <w:kern w:val="0"/>
              </w:rPr>
              <w:t>5%范围内百分数取整</w:t>
            </w:r>
            <w:r>
              <w:rPr>
                <w:rFonts w:ascii="宋体" w:hAnsi="宋体"/>
                <w:kern w:val="0"/>
              </w:rPr>
              <w:t>，具体值在招标文件中明确</w:t>
            </w:r>
            <w:r>
              <w:rPr>
                <w:rFonts w:ascii="宋体" w:hAnsi="宋体"/>
                <w:kern w:val="0"/>
                <w:szCs w:val="21"/>
              </w:rPr>
              <w:t>）</w:t>
            </w:r>
          </w:p>
          <w:p>
            <w:pPr>
              <w:snapToGrid w:val="0"/>
              <w:spacing w:line="400" w:lineRule="exact"/>
              <w:ind w:firstLine="420" w:firstLineChars="200"/>
              <w:rPr>
                <w:rFonts w:ascii="宋体" w:hAnsi="宋体"/>
                <w:kern w:val="0"/>
                <w:szCs w:val="21"/>
              </w:rPr>
            </w:pPr>
            <w:r>
              <w:rPr>
                <w:rFonts w:hint="eastAsia" w:ascii="宋体" w:hAnsi="宋体"/>
                <w:kern w:val="0"/>
                <w:szCs w:val="21"/>
              </w:rPr>
              <w:t>评标基准价计算的最终</w:t>
            </w:r>
            <w:r>
              <w:rPr>
                <w:rFonts w:ascii="宋体" w:hAnsi="宋体"/>
                <w:kern w:val="0"/>
                <w:szCs w:val="21"/>
              </w:rPr>
              <w:t>结果取小数点后两位，</w:t>
            </w:r>
            <w:r>
              <w:rPr>
                <w:rFonts w:hint="eastAsia" w:ascii="宋体" w:hAnsi="宋体" w:cs="Times New Roman"/>
                <w:kern w:val="2"/>
                <w:szCs w:val="21"/>
                <w:lang w:val="en-US" w:eastAsia="zh-CN"/>
              </w:rPr>
              <w:t>小数点后</w:t>
            </w:r>
            <w:r>
              <w:rPr>
                <w:rFonts w:ascii="宋体" w:hAnsi="宋体"/>
                <w:kern w:val="0"/>
                <w:szCs w:val="21"/>
              </w:rPr>
              <w:t>第三位四舍五入。</w:t>
            </w:r>
          </w:p>
          <w:p>
            <w:pPr>
              <w:snapToGrid w:val="0"/>
              <w:spacing w:line="400" w:lineRule="exact"/>
              <w:ind w:firstLine="420" w:firstLineChars="200"/>
              <w:rPr>
                <w:rFonts w:ascii="宋体" w:hAnsi="宋体"/>
                <w:kern w:val="0"/>
              </w:rPr>
            </w:pPr>
            <w:r>
              <w:rPr>
                <w:rFonts w:ascii="宋体" w:hAnsi="宋体"/>
                <w:kern w:val="0"/>
                <w:szCs w:val="21"/>
              </w:rPr>
              <w:t>在评标基准价计算完成后（除计算错误外），在后续的评审中不得再对其做出调整。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22" w:type="dxa"/>
            <w:gridSpan w:val="3"/>
            <w:vAlign w:val="center"/>
          </w:tcPr>
          <w:p>
            <w:pPr>
              <w:spacing w:line="400" w:lineRule="exact"/>
              <w:jc w:val="center"/>
              <w:rPr>
                <w:rFonts w:ascii="宋体" w:hAnsi="宋体"/>
                <w:kern w:val="0"/>
              </w:rPr>
            </w:pPr>
            <w:r>
              <w:rPr>
                <w:rFonts w:hint="eastAsia" w:ascii="宋体" w:hAnsi="宋体"/>
                <w:kern w:val="0"/>
              </w:rPr>
              <w:t>2.2.4</w:t>
            </w:r>
          </w:p>
        </w:tc>
        <w:tc>
          <w:tcPr>
            <w:tcW w:w="2864" w:type="dxa"/>
            <w:gridSpan w:val="3"/>
            <w:vAlign w:val="center"/>
          </w:tcPr>
          <w:p>
            <w:pPr>
              <w:spacing w:line="400" w:lineRule="exact"/>
              <w:jc w:val="center"/>
            </w:pPr>
            <w:r>
              <w:rPr>
                <w:rFonts w:hint="eastAsia" w:ascii="宋体" w:hAnsi="宋体"/>
                <w:kern w:val="0"/>
              </w:rPr>
              <w:t>偏差率</w:t>
            </w:r>
          </w:p>
        </w:tc>
        <w:tc>
          <w:tcPr>
            <w:tcW w:w="5189" w:type="dxa"/>
            <w:vAlign w:val="center"/>
          </w:tcPr>
          <w:p>
            <w:pPr>
              <w:spacing w:line="400" w:lineRule="exact"/>
              <w:ind w:firstLine="420" w:firstLineChars="200"/>
              <w:jc w:val="left"/>
              <w:rPr>
                <w:rFonts w:ascii="宋体" w:hAnsi="宋体"/>
                <w:kern w:val="0"/>
              </w:rPr>
            </w:pPr>
            <w:r>
              <w:rPr>
                <w:rFonts w:ascii="宋体" w:hAnsi="宋体"/>
                <w:kern w:val="0"/>
              </w:rPr>
              <w:t>投标总报价的偏差率计算公式</w:t>
            </w:r>
          </w:p>
          <w:p>
            <w:pPr>
              <w:spacing w:line="400" w:lineRule="exact"/>
              <w:ind w:firstLine="420" w:firstLineChars="200"/>
              <w:jc w:val="left"/>
              <w:rPr>
                <w:rFonts w:ascii="宋体" w:hAnsi="宋体"/>
                <w:kern w:val="0"/>
              </w:rPr>
            </w:pPr>
            <w:r>
              <w:rPr>
                <w:rFonts w:ascii="宋体" w:hAnsi="宋体"/>
                <w:kern w:val="0"/>
              </w:rPr>
              <w:t>偏差率</w:t>
            </w:r>
            <w:r>
              <w:rPr>
                <w:rFonts w:ascii="宋体" w:hAnsi="宋体"/>
                <w:kern w:val="0"/>
                <w:sz w:val="28"/>
                <w:szCs w:val="28"/>
              </w:rPr>
              <w:t>=</w:t>
            </w:r>
            <w:r>
              <w:rPr>
                <w:rFonts w:ascii="宋体" w:hAnsi="宋体"/>
                <w:kern w:val="0"/>
              </w:rPr>
              <w:t>100％×（投标人报价一评标基准价）／评标基准价</w:t>
            </w:r>
          </w:p>
          <w:p>
            <w:pPr>
              <w:spacing w:line="400" w:lineRule="exact"/>
              <w:ind w:firstLine="407" w:firstLineChars="194"/>
              <w:rPr>
                <w:rFonts w:ascii="宋体" w:hAnsi="宋体"/>
                <w:kern w:val="0"/>
                <w:szCs w:val="21"/>
              </w:rPr>
            </w:pPr>
            <w:r>
              <w:rPr>
                <w:rFonts w:ascii="宋体" w:hAnsi="宋体"/>
                <w:kern w:val="0"/>
              </w:rPr>
              <w:t>偏差率</w:t>
            </w:r>
            <w:r>
              <w:rPr>
                <w:rFonts w:ascii="宋体" w:hAnsi="宋体"/>
                <w:kern w:val="0"/>
                <w:szCs w:val="21"/>
              </w:rPr>
              <w:t>计算保留小数点后两位，小数点后第三位“四舍五入”。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926" w:hRule="atLeast"/>
          <w:jc w:val="center"/>
        </w:trPr>
        <w:tc>
          <w:tcPr>
            <w:tcW w:w="855" w:type="dxa"/>
            <w:gridSpan w:val="2"/>
            <w:vAlign w:val="center"/>
          </w:tcPr>
          <w:p>
            <w:pPr>
              <w:spacing w:line="400" w:lineRule="exact"/>
              <w:jc w:val="center"/>
              <w:rPr>
                <w:rFonts w:ascii="宋体" w:hAnsi="宋体"/>
                <w:kern w:val="0"/>
              </w:rPr>
            </w:pPr>
            <w:r>
              <w:rPr>
                <w:rFonts w:ascii="宋体" w:hAnsi="宋体"/>
              </w:rPr>
              <w:t>3</w:t>
            </w:r>
          </w:p>
        </w:tc>
        <w:tc>
          <w:tcPr>
            <w:tcW w:w="1259" w:type="dxa"/>
            <w:gridSpan w:val="2"/>
            <w:vAlign w:val="center"/>
          </w:tcPr>
          <w:p>
            <w:pPr>
              <w:spacing w:line="400" w:lineRule="exact"/>
              <w:jc w:val="center"/>
              <w:rPr>
                <w:rFonts w:ascii="宋体" w:hAnsi="宋体"/>
                <w:kern w:val="0"/>
              </w:rPr>
            </w:pPr>
            <w:r>
              <w:rPr>
                <w:rFonts w:ascii="宋体" w:hAnsi="宋体"/>
              </w:rPr>
              <w:t>评标程序</w:t>
            </w:r>
          </w:p>
        </w:tc>
        <w:tc>
          <w:tcPr>
            <w:tcW w:w="7361" w:type="dxa"/>
            <w:gridSpan w:val="3"/>
          </w:tcPr>
          <w:p>
            <w:pPr>
              <w:spacing w:line="400" w:lineRule="exact"/>
              <w:ind w:firstLine="420" w:firstLineChars="200"/>
              <w:rPr>
                <w:rFonts w:ascii="宋体" w:hAnsi="宋体"/>
                <w:szCs w:val="21"/>
              </w:rPr>
            </w:pPr>
            <w:r>
              <w:rPr>
                <w:rFonts w:hint="eastAsia" w:ascii="宋体" w:hAnsi="宋体"/>
                <w:szCs w:val="21"/>
              </w:rPr>
              <w:t>1.按本章评标办法第3.1款进行初步评审。未通过初步评审或评标委员会认定为无效的投标文件的不再进行后续评审。</w:t>
            </w:r>
          </w:p>
          <w:p>
            <w:pPr>
              <w:spacing w:line="400" w:lineRule="exact"/>
              <w:ind w:firstLine="420" w:firstLineChars="200"/>
              <w:rPr>
                <w:rFonts w:ascii="宋体" w:hAnsi="宋体"/>
                <w:szCs w:val="21"/>
              </w:rPr>
            </w:pPr>
            <w:r>
              <w:rPr>
                <w:rFonts w:hint="eastAsia" w:ascii="宋体" w:hAnsi="宋体"/>
                <w:szCs w:val="21"/>
              </w:rPr>
              <w:t>2.按本章评标办法前附表第2.2.2（1）目及第3.2.1（1）目的规定对技术部分进行评审。</w:t>
            </w:r>
            <w:r>
              <w:rPr>
                <w:rFonts w:hint="eastAsia"/>
              </w:rPr>
              <w:t>□</w:t>
            </w:r>
            <w:r>
              <w:rPr>
                <w:rFonts w:hint="eastAsia" w:ascii="宋体" w:hAnsi="宋体"/>
                <w:szCs w:val="21"/>
              </w:rPr>
              <w:t>采用项目经理答辩的，确定答辩顺序的原则为：</w:t>
            </w:r>
            <w:r>
              <w:rPr>
                <w:rFonts w:hint="eastAsia" w:ascii="宋体" w:hAnsi="宋体"/>
                <w:szCs w:val="21"/>
                <w:u w:val="single"/>
              </w:rPr>
              <w:t xml:space="preserve">        </w:t>
            </w:r>
            <w:r>
              <w:rPr>
                <w:rFonts w:hint="eastAsia" w:ascii="宋体" w:hAnsi="宋体"/>
                <w:szCs w:val="21"/>
              </w:rPr>
              <w:t>。</w:t>
            </w:r>
          </w:p>
          <w:p>
            <w:pPr>
              <w:spacing w:line="400" w:lineRule="exact"/>
              <w:ind w:firstLine="420" w:firstLineChars="200"/>
              <w:rPr>
                <w:rFonts w:ascii="宋体" w:hAnsi="宋体"/>
                <w:szCs w:val="21"/>
              </w:rPr>
            </w:pPr>
            <w:r>
              <w:rPr>
                <w:rFonts w:hint="eastAsia" w:ascii="宋体" w:hAnsi="宋体"/>
                <w:szCs w:val="21"/>
              </w:rPr>
              <w:t>3.按本章评标办法前附表第2.2.2（2）目及第3.2.1（2）目的规定对商务部分进行评审。</w:t>
            </w:r>
          </w:p>
          <w:p>
            <w:pPr>
              <w:spacing w:line="400" w:lineRule="exact"/>
              <w:ind w:firstLine="420" w:firstLineChars="200"/>
              <w:rPr>
                <w:rFonts w:ascii="宋体" w:hAnsi="宋体"/>
                <w:szCs w:val="21"/>
              </w:rPr>
            </w:pPr>
            <w:r>
              <w:rPr>
                <w:rFonts w:hint="eastAsia" w:ascii="宋体" w:hAnsi="宋体"/>
                <w:szCs w:val="21"/>
              </w:rPr>
              <w:t>4.按本章评标办法前附表第2.2.2（3）目的规定对投标函部分及经济部分部分进行评审，经评审不合格的投标文件不再参与后续评审。</w:t>
            </w:r>
          </w:p>
          <w:p>
            <w:pPr>
              <w:spacing w:line="400" w:lineRule="exact"/>
              <w:ind w:firstLine="420" w:firstLineChars="200"/>
              <w:rPr>
                <w:rFonts w:ascii="宋体" w:hAnsi="宋体"/>
                <w:szCs w:val="21"/>
              </w:rPr>
            </w:pPr>
            <w:r>
              <w:rPr>
                <w:rFonts w:hint="eastAsia" w:ascii="宋体" w:hAnsi="宋体"/>
                <w:szCs w:val="21"/>
              </w:rPr>
              <w:t>5.因评标委员会作否决投标处理导致有效投标人不足三个的，评标委员会应当否决所有投标。但是有效投标人的经济、技术等指标仍然具有市场竞争力，能够满足招标文件要求的，评标委员会可以继续评标并确定中标候选人。</w:t>
            </w:r>
          </w:p>
          <w:p>
            <w:pPr>
              <w:spacing w:line="400" w:lineRule="exact"/>
              <w:ind w:firstLine="420" w:firstLineChars="200"/>
              <w:rPr>
                <w:rFonts w:ascii="宋体" w:hAnsi="宋体"/>
                <w:szCs w:val="21"/>
              </w:rPr>
            </w:pPr>
            <w:r>
              <w:rPr>
                <w:rFonts w:hint="eastAsia" w:ascii="宋体" w:hAnsi="宋体"/>
                <w:szCs w:val="21"/>
              </w:rPr>
              <w:t>6.经评审合格的投标人按照本章第2.2.3项计算方法计算评标基准价，并按本附表第3.2.1（3）目规定的评分方法对投标总报价进行评分。</w:t>
            </w:r>
          </w:p>
          <w:p>
            <w:pPr>
              <w:spacing w:line="400" w:lineRule="exact"/>
              <w:ind w:firstLine="420" w:firstLineChars="200"/>
              <w:rPr>
                <w:rFonts w:ascii="宋体" w:hAnsi="宋体"/>
                <w:szCs w:val="21"/>
              </w:rPr>
            </w:pPr>
            <w:r>
              <w:rPr>
                <w:rFonts w:hint="eastAsia" w:ascii="宋体" w:hAnsi="宋体"/>
                <w:szCs w:val="21"/>
              </w:rPr>
              <w:t>7.对技术部分、商务部分、投标总报价得分进行汇总，确定得分由高至低前1-3名投标人为中标候选人。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jc w:val="center"/>
        </w:trPr>
        <w:tc>
          <w:tcPr>
            <w:tcW w:w="855" w:type="dxa"/>
            <w:gridSpan w:val="2"/>
            <w:vMerge w:val="restart"/>
            <w:vAlign w:val="center"/>
          </w:tcPr>
          <w:p>
            <w:pPr>
              <w:spacing w:line="400" w:lineRule="exact"/>
              <w:jc w:val="center"/>
              <w:rPr>
                <w:rFonts w:ascii="宋体" w:hAnsi="宋体"/>
              </w:rPr>
            </w:pPr>
            <w:r>
              <w:rPr>
                <w:rFonts w:ascii="宋体" w:hAnsi="宋体"/>
              </w:rPr>
              <w:t>3.2.1</w:t>
            </w:r>
          </w:p>
          <w:p>
            <w:pPr>
              <w:spacing w:line="400" w:lineRule="exact"/>
              <w:jc w:val="center"/>
              <w:rPr>
                <w:rFonts w:ascii="宋体" w:hAnsi="宋体"/>
              </w:rPr>
            </w:pPr>
            <w:r>
              <w:rPr>
                <w:rFonts w:ascii="宋体" w:hAnsi="宋体"/>
              </w:rPr>
              <w:t>（</w:t>
            </w:r>
            <w:r>
              <w:rPr>
                <w:rFonts w:hint="eastAsia" w:ascii="宋体" w:hAnsi="宋体"/>
              </w:rPr>
              <w:t>1</w:t>
            </w:r>
            <w:r>
              <w:rPr>
                <w:rFonts w:ascii="宋体" w:hAnsi="宋体"/>
              </w:rPr>
              <w:t>）</w:t>
            </w:r>
          </w:p>
        </w:tc>
        <w:tc>
          <w:tcPr>
            <w:tcW w:w="1259" w:type="dxa"/>
            <w:gridSpan w:val="2"/>
            <w:vMerge w:val="restart"/>
            <w:vAlign w:val="center"/>
          </w:tcPr>
          <w:p>
            <w:pPr>
              <w:spacing w:line="400" w:lineRule="exact"/>
              <w:jc w:val="center"/>
              <w:rPr>
                <w:rFonts w:ascii="宋体" w:hAnsi="宋体"/>
              </w:rPr>
            </w:pPr>
            <w:r>
              <w:rPr>
                <w:rFonts w:hint="eastAsia" w:ascii="宋体" w:hAnsi="宋体"/>
              </w:rPr>
              <w:t>技术部分</w:t>
            </w:r>
            <w:r>
              <w:rPr>
                <w:rFonts w:ascii="宋体" w:hAnsi="宋体"/>
                <w:kern w:val="0"/>
              </w:rPr>
              <w:t>得分</w:t>
            </w:r>
            <w:r>
              <w:rPr>
                <w:rFonts w:ascii="宋体" w:hAnsi="宋体"/>
                <w:spacing w:val="-4"/>
              </w:rPr>
              <w:t>（</w:t>
            </w:r>
            <w:r>
              <w:rPr>
                <w:rFonts w:hint="eastAsia" w:ascii="宋体" w:hAnsi="宋体"/>
                <w:spacing w:val="-4"/>
              </w:rPr>
              <w:t>A）</w:t>
            </w:r>
          </w:p>
        </w:tc>
        <w:tc>
          <w:tcPr>
            <w:tcW w:w="2172" w:type="dxa"/>
            <w:gridSpan w:val="2"/>
            <w:tcBorders>
              <w:bottom w:val="single" w:color="auto" w:sz="4" w:space="0"/>
            </w:tcBorders>
            <w:vAlign w:val="center"/>
          </w:tcPr>
          <w:p>
            <w:pPr>
              <w:spacing w:line="400" w:lineRule="exact"/>
              <w:jc w:val="left"/>
              <w:rPr>
                <w:rFonts w:ascii="宋体" w:hAnsi="宋体"/>
              </w:rPr>
            </w:pPr>
            <w:r>
              <w:rPr>
                <w:rFonts w:hint="eastAsia"/>
              </w:rPr>
              <w:t>□</w:t>
            </w:r>
            <w:r>
              <w:rPr>
                <w:rFonts w:hint="eastAsia" w:ascii="宋体" w:hAnsi="宋体" w:cs="宋体"/>
                <w:kern w:val="0"/>
              </w:rPr>
              <w:t>技术方案部分形式要求</w:t>
            </w:r>
          </w:p>
        </w:tc>
        <w:tc>
          <w:tcPr>
            <w:tcW w:w="5189" w:type="dxa"/>
            <w:tcBorders>
              <w:bottom w:val="single" w:color="auto" w:sz="4" w:space="0"/>
            </w:tcBorders>
            <w:vAlign w:val="center"/>
          </w:tcPr>
          <w:p>
            <w:pPr>
              <w:spacing w:line="400" w:lineRule="exact"/>
              <w:ind w:firstLine="420" w:firstLineChars="200"/>
              <w:rPr>
                <w:rFonts w:ascii="宋体" w:hAnsi="宋体"/>
                <w:kern w:val="0"/>
                <w:szCs w:val="21"/>
              </w:rPr>
            </w:pPr>
            <w:r>
              <w:rPr>
                <w:rFonts w:hint="eastAsia" w:ascii="宋体" w:hAnsi="宋体"/>
                <w:kern w:val="0"/>
              </w:rPr>
              <w:t>不符合第二章投标人须知前附表第3.7.5项（</w:t>
            </w:r>
            <w:r>
              <w:rPr>
                <w:rFonts w:hint="eastAsia" w:ascii="宋体" w:hAnsi="宋体"/>
                <w:kern w:val="0"/>
                <w:lang w:val="en-US" w:eastAsia="zh-CN"/>
              </w:rPr>
              <w:t>4</w:t>
            </w:r>
            <w:r>
              <w:rPr>
                <w:rFonts w:hint="eastAsia" w:ascii="宋体" w:hAnsi="宋体"/>
                <w:kern w:val="0"/>
              </w:rPr>
              <w:t>）技术部分要求的，技术方案得0分。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18"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bottom w:val="single" w:color="auto" w:sz="4" w:space="0"/>
            </w:tcBorders>
            <w:vAlign w:val="center"/>
          </w:tcPr>
          <w:p>
            <w:pPr>
              <w:spacing w:line="400" w:lineRule="exact"/>
              <w:jc w:val="left"/>
              <w:rPr>
                <w:rFonts w:ascii="宋体" w:hAnsi="宋体"/>
                <w:kern w:val="0"/>
              </w:rPr>
            </w:pPr>
            <w:r>
              <w:rPr>
                <w:rFonts w:hint="eastAsia" w:ascii="宋体" w:hAnsi="宋体" w:cs="宋体"/>
                <w:kern w:val="0"/>
              </w:rPr>
              <w:t>□</w:t>
            </w:r>
            <w:r>
              <w:rPr>
                <w:rFonts w:hint="eastAsia" w:ascii="宋体" w:hAnsi="宋体" w:cs="宋体"/>
                <w:kern w:val="0"/>
                <w:u w:val="single"/>
              </w:rPr>
              <w:t>施工组织管理</w:t>
            </w:r>
          </w:p>
        </w:tc>
        <w:tc>
          <w:tcPr>
            <w:tcW w:w="5189" w:type="dxa"/>
            <w:vMerge w:val="restart"/>
            <w:tcBorders>
              <w:top w:val="single" w:color="auto" w:sz="4" w:space="0"/>
            </w:tcBorders>
            <w:vAlign w:val="center"/>
          </w:tcPr>
          <w:p>
            <w:pPr>
              <w:autoSpaceDE w:val="0"/>
              <w:autoSpaceDN w:val="0"/>
              <w:adjustRightInd w:val="0"/>
              <w:snapToGrid w:val="0"/>
              <w:spacing w:line="400" w:lineRule="exact"/>
              <w:ind w:firstLine="420" w:firstLineChars="200"/>
              <w:rPr>
                <w:rFonts w:ascii="宋体" w:hAnsi="宋体"/>
                <w:szCs w:val="21"/>
              </w:rPr>
            </w:pPr>
            <w:r>
              <w:rPr>
                <w:rFonts w:ascii="宋体" w:hAnsi="宋体"/>
                <w:szCs w:val="21"/>
              </w:rPr>
              <w:t>评标委员会按第2.2.</w:t>
            </w:r>
            <w:r>
              <w:rPr>
                <w:rFonts w:hint="eastAsia" w:ascii="宋体" w:hAnsi="宋体"/>
                <w:szCs w:val="21"/>
              </w:rPr>
              <w:t>2（1）目</w:t>
            </w:r>
            <w:r>
              <w:rPr>
                <w:rFonts w:ascii="宋体" w:hAnsi="宋体"/>
                <w:szCs w:val="21"/>
              </w:rPr>
              <w:t>各评审因素设定的分值评分。</w:t>
            </w:r>
          </w:p>
          <w:p>
            <w:pPr>
              <w:spacing w:line="400" w:lineRule="exact"/>
              <w:ind w:firstLine="420" w:firstLineChars="200"/>
              <w:rPr>
                <w:rFonts w:ascii="宋体" w:hAnsi="宋体"/>
                <w:snapToGrid w:val="0"/>
                <w:kern w:val="0"/>
                <w:szCs w:val="21"/>
              </w:rPr>
            </w:pPr>
            <w:r>
              <w:rPr>
                <w:rFonts w:ascii="宋体" w:hAnsi="宋体"/>
                <w:snapToGrid w:val="0"/>
                <w:kern w:val="0"/>
                <w:szCs w:val="21"/>
              </w:rPr>
              <w:t>评标委员会成员为5人及以上时，所有评委</w:t>
            </w:r>
            <w:r>
              <w:rPr>
                <w:rFonts w:hint="eastAsia" w:ascii="宋体" w:hAnsi="宋体"/>
                <w:snapToGrid w:val="0"/>
                <w:kern w:val="0"/>
                <w:szCs w:val="21"/>
              </w:rPr>
              <w:t>评分</w:t>
            </w:r>
            <w:r>
              <w:rPr>
                <w:rFonts w:ascii="宋体" w:hAnsi="宋体"/>
                <w:snapToGrid w:val="0"/>
                <w:kern w:val="0"/>
                <w:szCs w:val="21"/>
              </w:rPr>
              <w:t>中去掉一个最高和一个最低分，余下评委</w:t>
            </w:r>
            <w:r>
              <w:rPr>
                <w:rFonts w:hint="eastAsia" w:ascii="宋体" w:hAnsi="宋体"/>
                <w:snapToGrid w:val="0"/>
                <w:kern w:val="0"/>
                <w:szCs w:val="21"/>
              </w:rPr>
              <w:t>评分</w:t>
            </w:r>
            <w:r>
              <w:rPr>
                <w:rFonts w:ascii="宋体" w:hAnsi="宋体"/>
                <w:snapToGrid w:val="0"/>
                <w:kern w:val="0"/>
                <w:szCs w:val="21"/>
              </w:rPr>
              <w:t>取算术平均值为该投标人技术方案得分。</w:t>
            </w:r>
          </w:p>
          <w:p>
            <w:pPr>
              <w:spacing w:line="400" w:lineRule="exact"/>
              <w:ind w:firstLine="420" w:firstLineChars="200"/>
              <w:rPr>
                <w:rFonts w:ascii="宋体" w:hAnsi="宋体"/>
                <w:kern w:val="0"/>
                <w:szCs w:val="21"/>
              </w:rPr>
            </w:pPr>
            <w:r>
              <w:rPr>
                <w:rFonts w:ascii="宋体" w:hAnsi="宋体"/>
                <w:kern w:val="0"/>
                <w:szCs w:val="21"/>
              </w:rPr>
              <w:t>技术方案得分的最终结果取小数点后两位，</w:t>
            </w:r>
            <w:r>
              <w:rPr>
                <w:rFonts w:hint="eastAsia" w:ascii="宋体" w:hAnsi="宋体" w:cs="Times New Roman"/>
                <w:kern w:val="2"/>
                <w:szCs w:val="21"/>
                <w:lang w:val="en-US" w:eastAsia="zh-CN"/>
              </w:rPr>
              <w:t>小数点后</w:t>
            </w:r>
            <w:r>
              <w:rPr>
                <w:rFonts w:ascii="宋体" w:hAnsi="宋体"/>
                <w:kern w:val="0"/>
                <w:szCs w:val="21"/>
              </w:rPr>
              <w:t>第三位四舍五入。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36"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施工总平面布置</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51"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施工方法和技术措施</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监测预警及应急抢险措施方案</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18"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质量保证体系和质量保证措施</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施工网络进度计划及保证工期的措施</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35"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施工机械设备配置</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35"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安全文明施工保证措施</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35"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tcPr>
          <w:p>
            <w:pPr>
              <w:spacing w:line="400" w:lineRule="exact"/>
              <w:jc w:val="left"/>
              <w:rPr>
                <w:rFonts w:ascii="宋体" w:hAnsi="宋体"/>
              </w:rPr>
            </w:pPr>
            <w:r>
              <w:rPr>
                <w:rFonts w:hint="eastAsia" w:ascii="宋体" w:hAnsi="宋体" w:cs="宋体"/>
                <w:kern w:val="0"/>
              </w:rPr>
              <w:t>□</w:t>
            </w:r>
            <w:r>
              <w:rPr>
                <w:rFonts w:hint="eastAsia" w:ascii="宋体" w:hAnsi="宋体" w:cs="宋体"/>
                <w:kern w:val="0"/>
                <w:u w:val="single"/>
              </w:rPr>
              <w:t>变更应对措施</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35"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tcPr>
          <w:p>
            <w:pPr>
              <w:spacing w:line="400" w:lineRule="exact"/>
              <w:jc w:val="left"/>
              <w:rPr>
                <w:rFonts w:ascii="宋体" w:hAnsi="宋体"/>
              </w:rPr>
            </w:pPr>
            <w:r>
              <w:rPr>
                <w:rFonts w:hint="eastAsia" w:ascii="宋体" w:hAnsi="宋体" w:cs="宋体"/>
                <w:kern w:val="0"/>
              </w:rPr>
              <w:t>□</w:t>
            </w:r>
            <w:r>
              <w:rPr>
                <w:rFonts w:ascii="宋体" w:hAnsi="宋体" w:cs="宋体"/>
                <w:kern w:val="0"/>
              </w:rPr>
              <w:t>……</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335"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rPr>
                <w:rFonts w:ascii="宋体" w:hAnsi="宋体" w:cs="宋体"/>
                <w:kern w:val="0"/>
              </w:rPr>
            </w:pPr>
            <w:r>
              <w:rPr>
                <w:rFonts w:hint="eastAsia" w:ascii="宋体" w:hAnsi="宋体" w:cs="宋体"/>
                <w:kern w:val="0"/>
              </w:rPr>
              <w:t>□项目经理答辩</w:t>
            </w:r>
          </w:p>
        </w:tc>
        <w:tc>
          <w:tcPr>
            <w:tcW w:w="5189" w:type="dxa"/>
            <w:vAlign w:val="center"/>
          </w:tcPr>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评标委员会按第2.2.2（1）目各评审因素设定的分值评分。</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项目经理不参与答辩的，其答辩部分分值为0分；采用暗标评审的，若答辩过程中透露与投标人企业有关的任何信息的，其答辩部分分值得0分。</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评标委员会成员为5人及以上时，所有评委评分中去掉一个最高和一个最低分，余下评委评分取算术平均值为该投标人答辩得分。</w:t>
            </w:r>
          </w:p>
          <w:p>
            <w:pPr>
              <w:autoSpaceDE w:val="0"/>
              <w:autoSpaceDN w:val="0"/>
              <w:adjustRightInd w:val="0"/>
              <w:snapToGrid w:val="0"/>
              <w:spacing w:line="400" w:lineRule="exact"/>
              <w:ind w:firstLine="420" w:firstLineChars="200"/>
              <w:rPr>
                <w:rFonts w:ascii="宋体" w:hAnsi="宋体"/>
                <w:szCs w:val="21"/>
              </w:rPr>
            </w:pPr>
            <w:r>
              <w:rPr>
                <w:rFonts w:hint="eastAsia" w:ascii="宋体" w:hAnsi="宋体"/>
                <w:szCs w:val="21"/>
              </w:rPr>
              <w:t>投标人答辩得分的最终结果取小数点后两位，</w:t>
            </w:r>
            <w:r>
              <w:rPr>
                <w:rFonts w:hint="eastAsia" w:ascii="宋体" w:hAnsi="宋体" w:cs="Times New Roman"/>
                <w:kern w:val="2"/>
                <w:szCs w:val="21"/>
                <w:lang w:val="en-US" w:eastAsia="zh-CN"/>
              </w:rPr>
              <w:t>小数点后</w:t>
            </w:r>
            <w:r>
              <w:rPr>
                <w:rFonts w:hint="eastAsia" w:ascii="宋体" w:hAnsi="宋体"/>
                <w:szCs w:val="21"/>
              </w:rPr>
              <w:t>第三位四舍五入。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217" w:hRule="atLeast"/>
          <w:jc w:val="center"/>
        </w:trPr>
        <w:tc>
          <w:tcPr>
            <w:tcW w:w="855" w:type="dxa"/>
            <w:gridSpan w:val="2"/>
            <w:vMerge w:val="restart"/>
            <w:vAlign w:val="center"/>
          </w:tcPr>
          <w:p>
            <w:pPr>
              <w:spacing w:line="400" w:lineRule="exact"/>
              <w:jc w:val="center"/>
              <w:rPr>
                <w:rFonts w:ascii="宋体" w:hAnsi="宋体"/>
              </w:rPr>
            </w:pPr>
            <w:r>
              <w:rPr>
                <w:rFonts w:hint="eastAsia" w:ascii="宋体" w:hAnsi="宋体"/>
              </w:rPr>
              <w:t>3.2.1</w:t>
            </w:r>
          </w:p>
          <w:p>
            <w:pPr>
              <w:spacing w:line="400" w:lineRule="exact"/>
              <w:jc w:val="center"/>
              <w:rPr>
                <w:rFonts w:ascii="宋体" w:hAnsi="宋体"/>
              </w:rPr>
            </w:pPr>
            <w:r>
              <w:rPr>
                <w:rFonts w:hint="eastAsia" w:ascii="宋体" w:hAnsi="宋体"/>
              </w:rPr>
              <w:t>（2）</w:t>
            </w:r>
          </w:p>
        </w:tc>
        <w:tc>
          <w:tcPr>
            <w:tcW w:w="1259" w:type="dxa"/>
            <w:gridSpan w:val="2"/>
            <w:vMerge w:val="restart"/>
            <w:vAlign w:val="center"/>
          </w:tcPr>
          <w:p>
            <w:pPr>
              <w:spacing w:line="400" w:lineRule="exact"/>
              <w:jc w:val="center"/>
              <w:rPr>
                <w:rFonts w:ascii="宋体" w:hAnsi="宋体"/>
                <w:highlight w:val="none"/>
              </w:rPr>
            </w:pPr>
            <w:r>
              <w:rPr>
                <w:rFonts w:hint="eastAsia" w:ascii="宋体" w:hAnsi="宋体"/>
                <w:highlight w:val="none"/>
              </w:rPr>
              <w:t>商务部分得分（B）</w:t>
            </w:r>
          </w:p>
        </w:tc>
        <w:tc>
          <w:tcPr>
            <w:tcW w:w="2172" w:type="dxa"/>
            <w:gridSpan w:val="2"/>
            <w:tcBorders>
              <w:top w:val="single" w:color="auto" w:sz="4" w:space="0"/>
              <w:bottom w:val="single" w:color="auto" w:sz="4" w:space="0"/>
            </w:tcBorders>
            <w:vAlign w:val="center"/>
          </w:tcPr>
          <w:p>
            <w:pPr>
              <w:spacing w:line="400" w:lineRule="exact"/>
              <w:jc w:val="left"/>
              <w:rPr>
                <w:rFonts w:ascii="宋体" w:hAnsi="宋体" w:cs="宋体"/>
                <w:kern w:val="0"/>
                <w:highlight w:val="none"/>
              </w:rPr>
            </w:pPr>
            <w:r>
              <w:rPr>
                <w:rFonts w:hint="eastAsia" w:ascii="宋体" w:hAnsi="宋体"/>
                <w:highlight w:val="none"/>
              </w:rPr>
              <w:t>□单位业绩加分项</w:t>
            </w:r>
          </w:p>
        </w:tc>
        <w:tc>
          <w:tcPr>
            <w:tcW w:w="5189" w:type="dxa"/>
            <w:vMerge w:val="restart"/>
            <w:vAlign w:val="center"/>
          </w:tcPr>
          <w:p>
            <w:pPr>
              <w:spacing w:line="400" w:lineRule="exact"/>
              <w:ind w:firstLine="420" w:firstLineChars="200"/>
              <w:rPr>
                <w:rFonts w:ascii="宋体" w:hAnsi="宋体"/>
                <w:szCs w:val="21"/>
                <w:highlight w:val="none"/>
              </w:rPr>
            </w:pPr>
            <w:r>
              <w:rPr>
                <w:rFonts w:hint="eastAsia" w:ascii="宋体" w:hAnsi="宋体"/>
                <w:szCs w:val="21"/>
                <w:highlight w:val="none"/>
              </w:rPr>
              <w:t>商务</w:t>
            </w:r>
            <w:r>
              <w:rPr>
                <w:rFonts w:ascii="宋体" w:hAnsi="宋体"/>
                <w:szCs w:val="21"/>
                <w:highlight w:val="none"/>
              </w:rPr>
              <w:t>部分</w:t>
            </w:r>
            <w:r>
              <w:rPr>
                <w:rFonts w:hint="eastAsia" w:ascii="宋体" w:hAnsi="宋体"/>
                <w:szCs w:val="21"/>
                <w:highlight w:val="none"/>
              </w:rPr>
              <w:t>评分为客观评分，</w:t>
            </w:r>
            <w:r>
              <w:rPr>
                <w:rFonts w:ascii="宋体" w:hAnsi="宋体"/>
                <w:szCs w:val="21"/>
                <w:highlight w:val="none"/>
              </w:rPr>
              <w:t>评标委员会按第2.2.</w:t>
            </w:r>
            <w:r>
              <w:rPr>
                <w:rFonts w:hint="eastAsia" w:ascii="宋体" w:hAnsi="宋体"/>
                <w:szCs w:val="21"/>
                <w:highlight w:val="none"/>
              </w:rPr>
              <w:t>2（2）项</w:t>
            </w:r>
            <w:r>
              <w:rPr>
                <w:rFonts w:ascii="宋体" w:hAnsi="宋体"/>
                <w:szCs w:val="21"/>
                <w:highlight w:val="none"/>
              </w:rPr>
              <w:t>各评审因素设定的分值</w:t>
            </w:r>
            <w:r>
              <w:rPr>
                <w:rFonts w:hint="eastAsia" w:ascii="宋体" w:hAnsi="宋体"/>
                <w:szCs w:val="21"/>
                <w:highlight w:val="none"/>
              </w:rPr>
              <w:t>统一进行</w:t>
            </w:r>
            <w:r>
              <w:rPr>
                <w:rFonts w:ascii="宋体" w:hAnsi="宋体"/>
                <w:szCs w:val="21"/>
                <w:highlight w:val="none"/>
              </w:rPr>
              <w:t>评分。</w:t>
            </w:r>
            <w:r>
              <w:rPr>
                <w:rFonts w:hint="eastAsia" w:ascii="宋体" w:hAnsi="宋体"/>
                <w:kern w:val="0"/>
                <w:szCs w:val="21"/>
                <w:highlight w:val="none"/>
              </w:rPr>
              <w:t>商务评分的最终结果</w:t>
            </w:r>
            <w:r>
              <w:rPr>
                <w:rFonts w:ascii="宋体" w:hAnsi="宋体"/>
                <w:kern w:val="0"/>
                <w:szCs w:val="21"/>
                <w:highlight w:val="none"/>
              </w:rPr>
              <w:t>取小数点后两位，</w:t>
            </w:r>
            <w:r>
              <w:rPr>
                <w:rFonts w:hint="eastAsia" w:ascii="宋体" w:hAnsi="宋体" w:cs="Times New Roman"/>
                <w:kern w:val="2"/>
                <w:szCs w:val="21"/>
                <w:highlight w:val="none"/>
                <w:lang w:val="en-US" w:eastAsia="zh-CN"/>
              </w:rPr>
              <w:t>小数点后</w:t>
            </w:r>
            <w:r>
              <w:rPr>
                <w:rFonts w:ascii="宋体" w:hAnsi="宋体"/>
                <w:kern w:val="0"/>
                <w:szCs w:val="21"/>
                <w:highlight w:val="none"/>
              </w:rPr>
              <w:t>第三位四舍五入。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93"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rPr>
                <w:rFonts w:ascii="宋体" w:hAnsi="宋体" w:cs="宋体"/>
                <w:kern w:val="0"/>
              </w:rPr>
            </w:pPr>
            <w:r>
              <w:rPr>
                <w:rFonts w:hint="eastAsia" w:ascii="宋体" w:hAnsi="宋体" w:cs="宋体"/>
              </w:rPr>
              <w:t>□个人业绩加分项</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244" w:hRule="atLeast"/>
          <w:jc w:val="center"/>
        </w:trPr>
        <w:tc>
          <w:tcPr>
            <w:tcW w:w="855" w:type="dxa"/>
            <w:gridSpan w:val="2"/>
            <w:vMerge w:val="continue"/>
            <w:vAlign w:val="center"/>
          </w:tcPr>
          <w:p>
            <w:pPr>
              <w:spacing w:line="400" w:lineRule="exact"/>
              <w:jc w:val="center"/>
              <w:rPr>
                <w:rFonts w:ascii="宋体" w:hAnsi="宋体"/>
              </w:rPr>
            </w:pPr>
          </w:p>
        </w:tc>
        <w:tc>
          <w:tcPr>
            <w:tcW w:w="1259" w:type="dxa"/>
            <w:gridSpan w:val="2"/>
            <w:vMerge w:val="continue"/>
            <w:vAlign w:val="center"/>
          </w:tcPr>
          <w:p>
            <w:pPr>
              <w:spacing w:line="400" w:lineRule="exact"/>
              <w:jc w:val="center"/>
              <w:rPr>
                <w:rFonts w:ascii="宋体" w:hAnsi="宋体"/>
              </w:rPr>
            </w:pPr>
          </w:p>
        </w:tc>
        <w:tc>
          <w:tcPr>
            <w:tcW w:w="2172" w:type="dxa"/>
            <w:gridSpan w:val="2"/>
            <w:tcBorders>
              <w:top w:val="single" w:color="auto" w:sz="4" w:space="0"/>
              <w:bottom w:val="single" w:color="auto" w:sz="4" w:space="0"/>
            </w:tcBorders>
            <w:vAlign w:val="center"/>
          </w:tcPr>
          <w:p>
            <w:pPr>
              <w:spacing w:line="400" w:lineRule="exact"/>
              <w:rPr>
                <w:rFonts w:ascii="宋体" w:hAnsi="宋体" w:cs="宋体"/>
                <w:kern w:val="0"/>
              </w:rPr>
            </w:pPr>
            <w:r>
              <w:rPr>
                <w:rFonts w:hint="eastAsia" w:ascii="宋体" w:hAnsi="宋体" w:cs="宋体"/>
              </w:rPr>
              <w:t>□其他因素加分项</w:t>
            </w:r>
          </w:p>
        </w:tc>
        <w:tc>
          <w:tcPr>
            <w:tcW w:w="5189" w:type="dxa"/>
            <w:vMerge w:val="continue"/>
            <w:vAlign w:val="center"/>
          </w:tcPr>
          <w:p>
            <w:pPr>
              <w:autoSpaceDE w:val="0"/>
              <w:autoSpaceDN w:val="0"/>
              <w:adjustRightInd w:val="0"/>
              <w:snapToGrid w:val="0"/>
              <w:spacing w:line="400" w:lineRule="exact"/>
              <w:ind w:firstLine="420" w:firstLineChars="200"/>
              <w:rPr>
                <w:rFonts w:ascii="宋体" w:hAnsi="宋体"/>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jc w:val="center"/>
        </w:trPr>
        <w:tc>
          <w:tcPr>
            <w:tcW w:w="855" w:type="dxa"/>
            <w:gridSpan w:val="2"/>
            <w:vAlign w:val="center"/>
          </w:tcPr>
          <w:p>
            <w:pPr>
              <w:spacing w:line="400" w:lineRule="exact"/>
              <w:jc w:val="center"/>
              <w:rPr>
                <w:rFonts w:ascii="宋体" w:hAnsi="宋体"/>
              </w:rPr>
            </w:pPr>
            <w:r>
              <w:rPr>
                <w:rFonts w:ascii="宋体" w:hAnsi="宋体"/>
              </w:rPr>
              <w:t>3.2.1（</w:t>
            </w:r>
            <w:r>
              <w:rPr>
                <w:rFonts w:hint="eastAsia" w:ascii="宋体" w:hAnsi="宋体"/>
              </w:rPr>
              <w:t>3</w:t>
            </w:r>
            <w:r>
              <w:rPr>
                <w:rFonts w:ascii="宋体" w:hAnsi="宋体"/>
              </w:rPr>
              <w:t>）</w:t>
            </w:r>
          </w:p>
        </w:tc>
        <w:tc>
          <w:tcPr>
            <w:tcW w:w="1259" w:type="dxa"/>
            <w:gridSpan w:val="2"/>
            <w:vAlign w:val="center"/>
          </w:tcPr>
          <w:p>
            <w:pPr>
              <w:spacing w:line="400" w:lineRule="exact"/>
              <w:jc w:val="center"/>
              <w:rPr>
                <w:rFonts w:ascii="宋体" w:hAnsi="宋体"/>
              </w:rPr>
            </w:pPr>
            <w:r>
              <w:rPr>
                <w:rFonts w:ascii="宋体" w:hAnsi="宋体"/>
              </w:rPr>
              <w:t>投标报价</w:t>
            </w:r>
            <w:r>
              <w:rPr>
                <w:rFonts w:ascii="宋体" w:hAnsi="宋体"/>
                <w:kern w:val="0"/>
              </w:rPr>
              <w:t>得分</w:t>
            </w:r>
            <w:r>
              <w:rPr>
                <w:rFonts w:ascii="宋体" w:hAnsi="宋体"/>
                <w:spacing w:val="-8"/>
              </w:rPr>
              <w:t>（</w:t>
            </w:r>
            <w:r>
              <w:rPr>
                <w:rFonts w:hint="eastAsia" w:ascii="宋体" w:hAnsi="宋体"/>
                <w:spacing w:val="-8"/>
              </w:rPr>
              <w:t>C</w:t>
            </w:r>
            <w:r>
              <w:rPr>
                <w:rFonts w:ascii="宋体" w:hAnsi="宋体"/>
                <w:spacing w:val="-8"/>
              </w:rPr>
              <w:t>）</w:t>
            </w:r>
          </w:p>
        </w:tc>
        <w:tc>
          <w:tcPr>
            <w:tcW w:w="2172" w:type="dxa"/>
            <w:gridSpan w:val="2"/>
            <w:tcBorders>
              <w:top w:val="single" w:color="auto" w:sz="4" w:space="0"/>
            </w:tcBorders>
            <w:vAlign w:val="center"/>
          </w:tcPr>
          <w:p>
            <w:pPr>
              <w:spacing w:line="400" w:lineRule="exact"/>
              <w:jc w:val="center"/>
              <w:rPr>
                <w:rFonts w:ascii="宋体" w:hAnsi="宋体"/>
              </w:rPr>
            </w:pPr>
            <w:r>
              <w:rPr>
                <w:rFonts w:ascii="宋体" w:hAnsi="宋体"/>
              </w:rPr>
              <w:t>投标总报价</w:t>
            </w:r>
          </w:p>
        </w:tc>
        <w:tc>
          <w:tcPr>
            <w:tcW w:w="5189" w:type="dxa"/>
            <w:vAlign w:val="center"/>
          </w:tcPr>
          <w:p>
            <w:pPr>
              <w:autoSpaceDE w:val="0"/>
              <w:autoSpaceDN w:val="0"/>
              <w:adjustRightInd w:val="0"/>
              <w:snapToGrid w:val="0"/>
              <w:spacing w:line="400" w:lineRule="exact"/>
              <w:ind w:firstLine="420" w:firstLineChars="200"/>
              <w:rPr>
                <w:rFonts w:ascii="宋体" w:hAnsi="宋体"/>
                <w:szCs w:val="21"/>
              </w:rPr>
            </w:pPr>
            <w:r>
              <w:rPr>
                <w:rFonts w:hint="eastAsia" w:ascii="宋体" w:hAnsi="宋体" w:cs="Times New Roman"/>
                <w:kern w:val="2"/>
                <w:szCs w:val="21"/>
              </w:rPr>
              <w:t>所有通过初步评审及本章第</w:t>
            </w:r>
            <w:r>
              <w:rPr>
                <w:rFonts w:ascii="宋体" w:hAnsi="宋体" w:cs="Times New Roman"/>
                <w:kern w:val="2"/>
                <w:szCs w:val="21"/>
              </w:rPr>
              <w:t xml:space="preserve">2.2.2（3）目评审合格的投标人的投标总报价，得本附表2.2.1规定分值的满分     </w:t>
            </w:r>
            <w:r>
              <w:rPr>
                <w:rFonts w:hint="eastAsia" w:ascii="宋体" w:hAnsi="宋体" w:cs="Times New Roman"/>
                <w:kern w:val="2"/>
                <w:szCs w:val="21"/>
              </w:rPr>
              <w:t>分。</w:t>
            </w:r>
            <w:r>
              <w:rPr>
                <w:rFonts w:hint="eastAsia" w:ascii="宋体" w:hAnsi="宋体"/>
                <w:szCs w:val="21"/>
              </w:rPr>
              <w:t>在此基础上，投标总报价与评标基准价相比，每增加1%扣</w:t>
            </w:r>
            <w:r>
              <w:rPr>
                <w:rFonts w:hint="eastAsia" w:ascii="宋体" w:hAnsi="宋体"/>
                <w:szCs w:val="21"/>
                <w:u w:val="single"/>
              </w:rPr>
              <w:t>　   　</w:t>
            </w:r>
            <w:r>
              <w:rPr>
                <w:rFonts w:hint="eastAsia" w:ascii="宋体" w:hAnsi="宋体"/>
                <w:szCs w:val="21"/>
              </w:rPr>
              <w:t>（1～2）分，每减少1%扣</w:t>
            </w:r>
            <w:r>
              <w:rPr>
                <w:rFonts w:hint="eastAsia" w:ascii="宋体" w:hAnsi="宋体"/>
                <w:szCs w:val="21"/>
                <w:u w:val="single"/>
              </w:rPr>
              <w:t>　</w:t>
            </w:r>
            <w:r>
              <w:rPr>
                <w:rFonts w:ascii="宋体" w:hAnsi="宋体" w:cs="Times New Roman"/>
                <w:szCs w:val="21"/>
                <w:u w:val="single"/>
              </w:rPr>
              <w:t xml:space="preserve">  　</w:t>
            </w:r>
            <w:r>
              <w:rPr>
                <w:rFonts w:hint="eastAsia" w:ascii="宋体" w:hAnsi="宋体"/>
                <w:szCs w:val="21"/>
              </w:rPr>
              <w:t>（0.5～1）分，扣完为止。</w:t>
            </w:r>
          </w:p>
          <w:p>
            <w:pPr>
              <w:autoSpaceDE w:val="0"/>
              <w:autoSpaceDN w:val="0"/>
              <w:adjustRightInd w:val="0"/>
              <w:snapToGrid w:val="0"/>
              <w:spacing w:line="400" w:lineRule="exact"/>
              <w:ind w:firstLine="420" w:firstLineChars="200"/>
              <w:rPr>
                <w:rFonts w:ascii="宋体" w:hAnsi="宋体" w:cs="Times New Roman"/>
                <w:szCs w:val="21"/>
              </w:rPr>
            </w:pPr>
            <w:r>
              <w:rPr>
                <w:rFonts w:hint="eastAsia" w:ascii="宋体" w:hAnsi="宋体" w:cs="Times New Roman"/>
                <w:szCs w:val="21"/>
              </w:rPr>
              <w:t>按插入法计算得分。</w:t>
            </w:r>
          </w:p>
          <w:p>
            <w:pPr>
              <w:autoSpaceDE w:val="0"/>
              <w:autoSpaceDN w:val="0"/>
              <w:adjustRightInd w:val="0"/>
              <w:snapToGrid w:val="0"/>
              <w:spacing w:line="400" w:lineRule="exact"/>
              <w:ind w:firstLine="420" w:firstLineChars="200"/>
              <w:rPr>
                <w:rFonts w:ascii="宋体" w:hAnsi="宋体"/>
                <w:kern w:val="2"/>
                <w:szCs w:val="21"/>
              </w:rPr>
            </w:pPr>
            <w:r>
              <w:rPr>
                <w:rFonts w:hint="eastAsia" w:ascii="宋体" w:hAnsi="宋体" w:cs="Times New Roman"/>
                <w:kern w:val="2"/>
                <w:szCs w:val="21"/>
              </w:rPr>
              <w:t>投标总报价得分最终结果取小数点后两位，</w:t>
            </w:r>
            <w:r>
              <w:rPr>
                <w:rFonts w:hint="eastAsia" w:ascii="宋体" w:hAnsi="宋体" w:cs="Times New Roman"/>
                <w:kern w:val="2"/>
                <w:szCs w:val="21"/>
                <w:lang w:val="en-US" w:eastAsia="zh-CN"/>
              </w:rPr>
              <w:t>小数点后</w:t>
            </w:r>
            <w:r>
              <w:rPr>
                <w:rFonts w:hint="eastAsia" w:ascii="宋体" w:hAnsi="宋体" w:cs="Times New Roman"/>
                <w:kern w:val="2"/>
                <w:szCs w:val="21"/>
              </w:rPr>
              <w:t>第三位四舍五入。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114" w:type="dxa"/>
            <w:gridSpan w:val="4"/>
            <w:vAlign w:val="center"/>
          </w:tcPr>
          <w:p>
            <w:pPr>
              <w:spacing w:line="400" w:lineRule="exact"/>
              <w:ind w:firstLine="18" w:firstLineChars="9"/>
              <w:jc w:val="center"/>
              <w:rPr>
                <w:rFonts w:ascii="宋体" w:hAnsi="宋体"/>
                <w:szCs w:val="21"/>
              </w:rPr>
            </w:pPr>
            <w:r>
              <w:rPr>
                <w:rFonts w:ascii="宋体" w:hAnsi="宋体"/>
                <w:szCs w:val="21"/>
              </w:rPr>
              <w:t>3.2.3</w:t>
            </w:r>
          </w:p>
        </w:tc>
        <w:tc>
          <w:tcPr>
            <w:tcW w:w="2172" w:type="dxa"/>
            <w:gridSpan w:val="2"/>
            <w:vAlign w:val="center"/>
          </w:tcPr>
          <w:p>
            <w:pPr>
              <w:spacing w:line="400" w:lineRule="exact"/>
              <w:ind w:firstLine="18" w:firstLineChars="9"/>
              <w:jc w:val="center"/>
              <w:rPr>
                <w:rFonts w:ascii="宋体" w:hAnsi="宋体"/>
                <w:szCs w:val="21"/>
              </w:rPr>
            </w:pPr>
            <w:r>
              <w:rPr>
                <w:rFonts w:ascii="宋体" w:hAnsi="宋体"/>
                <w:szCs w:val="21"/>
              </w:rPr>
              <w:t>投标人得分</w:t>
            </w:r>
          </w:p>
        </w:tc>
        <w:tc>
          <w:tcPr>
            <w:tcW w:w="5189" w:type="dxa"/>
            <w:vAlign w:val="center"/>
          </w:tcPr>
          <w:p>
            <w:pPr>
              <w:spacing w:line="400" w:lineRule="exact"/>
              <w:jc w:val="center"/>
              <w:rPr>
                <w:rFonts w:ascii="宋体" w:hAnsi="宋体"/>
                <w:szCs w:val="21"/>
                <w:u w:val="single"/>
              </w:rPr>
            </w:pPr>
            <w:r>
              <w:rPr>
                <w:rFonts w:ascii="宋体" w:hAnsi="宋体"/>
                <w:szCs w:val="21"/>
                <w:u w:val="single"/>
              </w:rPr>
              <w:t>投标人得分=A+B</w:t>
            </w:r>
            <w:r>
              <w:rPr>
                <w:rFonts w:hint="eastAsia" w:ascii="宋体" w:hAnsi="宋体"/>
                <w:szCs w:val="21"/>
                <w:u w:val="single"/>
              </w:rPr>
              <w:t>+C</w:t>
            </w:r>
          </w:p>
        </w:tc>
      </w:tr>
    </w:tbl>
    <w:p>
      <w:pPr>
        <w:pStyle w:val="4"/>
        <w:spacing w:before="0" w:after="0" w:line="360" w:lineRule="auto"/>
        <w:outlineLvl w:val="9"/>
        <w:rPr>
          <w:rFonts w:ascii="宋体" w:hAnsi="宋体"/>
          <w:b w:val="0"/>
          <w:snapToGrid w:val="0"/>
        </w:rPr>
      </w:pPr>
      <w:bookmarkStart w:id="642" w:name="_Toc509218776"/>
    </w:p>
    <w:p>
      <w:pPr>
        <w:pStyle w:val="4"/>
        <w:spacing w:before="0" w:after="0" w:line="360" w:lineRule="auto"/>
        <w:outlineLvl w:val="9"/>
        <w:rPr>
          <w:rFonts w:ascii="宋体" w:hAnsi="宋体"/>
          <w:b w:val="0"/>
          <w:snapToGrid w:val="0"/>
        </w:rPr>
      </w:pPr>
    </w:p>
    <w:p>
      <w:pPr>
        <w:pStyle w:val="4"/>
        <w:spacing w:before="0" w:after="0" w:line="360" w:lineRule="auto"/>
        <w:rPr>
          <w:rFonts w:ascii="宋体" w:hAnsi="宋体"/>
          <w:b w:val="0"/>
          <w:snapToGrid w:val="0"/>
        </w:rPr>
      </w:pPr>
      <w:r>
        <w:rPr>
          <w:rFonts w:ascii="宋体" w:hAnsi="宋体"/>
          <w:b w:val="0"/>
          <w:snapToGrid w:val="0"/>
        </w:rPr>
        <w:br w:type="page"/>
      </w:r>
      <w:bookmarkStart w:id="643" w:name="_Toc4048"/>
      <w:bookmarkStart w:id="644" w:name="_Toc16409"/>
      <w:bookmarkStart w:id="645" w:name="_Toc5861"/>
      <w:r>
        <w:rPr>
          <w:rFonts w:ascii="宋体" w:hAnsi="宋体"/>
          <w:bCs w:val="0"/>
          <w:snapToGrid w:val="0"/>
        </w:rPr>
        <w:t>1.  评标方法</w:t>
      </w:r>
      <w:bookmarkEnd w:id="623"/>
      <w:bookmarkEnd w:id="624"/>
      <w:bookmarkEnd w:id="625"/>
      <w:bookmarkEnd w:id="626"/>
      <w:bookmarkEnd w:id="627"/>
      <w:bookmarkEnd w:id="628"/>
      <w:bookmarkEnd w:id="642"/>
      <w:bookmarkEnd w:id="643"/>
      <w:bookmarkEnd w:id="644"/>
      <w:bookmarkEnd w:id="645"/>
    </w:p>
    <w:p>
      <w:pPr>
        <w:autoSpaceDE w:val="0"/>
        <w:autoSpaceDN w:val="0"/>
        <w:adjustRightInd w:val="0"/>
        <w:snapToGrid w:val="0"/>
        <w:spacing w:line="360" w:lineRule="auto"/>
        <w:ind w:firstLine="420"/>
        <w:rPr>
          <w:rFonts w:ascii="宋体" w:hAnsi="宋体"/>
          <w:kern w:val="0"/>
          <w:szCs w:val="21"/>
        </w:rPr>
      </w:pPr>
      <w:r>
        <w:rPr>
          <w:rFonts w:ascii="宋体" w:hAnsi="宋体"/>
          <w:kern w:val="0"/>
          <w:szCs w:val="21"/>
        </w:rPr>
        <w:t>本次评标采用综合评估法</w:t>
      </w:r>
      <w:r>
        <w:rPr>
          <w:rFonts w:ascii="宋体" w:hAnsi="宋体"/>
          <w:spacing w:val="-47"/>
          <w:kern w:val="0"/>
          <w:szCs w:val="21"/>
        </w:rPr>
        <w:t>。</w:t>
      </w:r>
      <w:r>
        <w:rPr>
          <w:rFonts w:ascii="宋体" w:hAnsi="宋体"/>
          <w:kern w:val="0"/>
          <w:szCs w:val="21"/>
        </w:rPr>
        <w:t xml:space="preserve">评标委员会按照本章第 </w:t>
      </w:r>
      <w:r>
        <w:rPr>
          <w:rFonts w:ascii="宋体" w:hAnsi="宋体"/>
          <w:spacing w:val="1"/>
          <w:kern w:val="0"/>
          <w:szCs w:val="21"/>
        </w:rPr>
        <w:t>2</w:t>
      </w:r>
      <w:r>
        <w:rPr>
          <w:rFonts w:ascii="宋体" w:hAnsi="宋体"/>
          <w:spacing w:val="-1"/>
          <w:kern w:val="0"/>
          <w:szCs w:val="21"/>
        </w:rPr>
        <w:t>.</w:t>
      </w:r>
      <w:r>
        <w:rPr>
          <w:rFonts w:ascii="宋体" w:hAnsi="宋体"/>
          <w:kern w:val="0"/>
          <w:szCs w:val="21"/>
        </w:rPr>
        <w:t>2</w:t>
      </w:r>
      <w:r>
        <w:rPr>
          <w:rFonts w:ascii="宋体" w:hAnsi="宋体"/>
          <w:spacing w:val="1"/>
          <w:kern w:val="0"/>
          <w:szCs w:val="21"/>
        </w:rPr>
        <w:t xml:space="preserve"> </w:t>
      </w:r>
      <w:r>
        <w:rPr>
          <w:rFonts w:ascii="宋体" w:hAnsi="宋体"/>
          <w:kern w:val="0"/>
          <w:szCs w:val="21"/>
        </w:rPr>
        <w:t>款</w:t>
      </w:r>
      <w:r>
        <w:rPr>
          <w:rFonts w:ascii="宋体" w:hAnsi="宋体"/>
          <w:spacing w:val="-1"/>
          <w:kern w:val="0"/>
          <w:szCs w:val="21"/>
        </w:rPr>
        <w:t>规</w:t>
      </w:r>
      <w:r>
        <w:rPr>
          <w:rFonts w:ascii="宋体" w:hAnsi="宋体"/>
          <w:kern w:val="0"/>
          <w:szCs w:val="21"/>
        </w:rPr>
        <w:t>定的评分标准进行</w:t>
      </w:r>
      <w:r>
        <w:rPr>
          <w:rFonts w:hint="eastAsia" w:ascii="宋体" w:hAnsi="宋体"/>
          <w:kern w:val="0"/>
          <w:szCs w:val="21"/>
        </w:rPr>
        <w:t>评分</w:t>
      </w:r>
      <w:r>
        <w:rPr>
          <w:rFonts w:ascii="宋体" w:hAnsi="宋体"/>
          <w:kern w:val="0"/>
          <w:szCs w:val="21"/>
        </w:rPr>
        <w:t>，按得分由高到低顺序推荐中标候选人</w:t>
      </w:r>
      <w:r>
        <w:rPr>
          <w:rFonts w:ascii="宋体" w:hAnsi="宋体"/>
          <w:spacing w:val="-20"/>
          <w:kern w:val="0"/>
          <w:szCs w:val="21"/>
        </w:rPr>
        <w:t>，</w:t>
      </w:r>
      <w:r>
        <w:rPr>
          <w:rFonts w:ascii="宋体" w:hAnsi="宋体"/>
          <w:kern w:val="0"/>
          <w:szCs w:val="21"/>
        </w:rPr>
        <w:t>或根据招标人授权直接确定中标人</w:t>
      </w:r>
      <w:r>
        <w:rPr>
          <w:rFonts w:hint="eastAsia" w:ascii="宋体" w:hAnsi="宋体"/>
          <w:kern w:val="0"/>
          <w:szCs w:val="21"/>
        </w:rPr>
        <w:t>，若出现投标人投标报价相同的，以评标办法前附表约定的原则确定排序</w:t>
      </w:r>
      <w:r>
        <w:rPr>
          <w:rFonts w:ascii="宋体" w:hAnsi="宋体"/>
          <w:spacing w:val="-31"/>
          <w:kern w:val="0"/>
          <w:szCs w:val="21"/>
        </w:rPr>
        <w:t>。</w:t>
      </w:r>
    </w:p>
    <w:p>
      <w:pPr>
        <w:pStyle w:val="4"/>
        <w:spacing w:before="0" w:after="0" w:line="360" w:lineRule="auto"/>
        <w:rPr>
          <w:rFonts w:ascii="宋体" w:hAnsi="宋体"/>
          <w:bCs w:val="0"/>
          <w:snapToGrid w:val="0"/>
        </w:rPr>
      </w:pPr>
      <w:bookmarkStart w:id="646" w:name="_Toc277082619"/>
      <w:bookmarkStart w:id="647" w:name="_Toc22891"/>
      <w:bookmarkStart w:id="648" w:name="_Toc287607813"/>
      <w:bookmarkStart w:id="649" w:name="_Toc224103385"/>
      <w:bookmarkStart w:id="650" w:name="_Toc430530501"/>
      <w:bookmarkStart w:id="651" w:name="_Toc24611"/>
      <w:bookmarkStart w:id="652" w:name="_Toc19427"/>
      <w:bookmarkStart w:id="653" w:name="_Toc200513199"/>
      <w:bookmarkStart w:id="654" w:name="_Toc287620752"/>
      <w:bookmarkStart w:id="655" w:name="_Toc509218777"/>
      <w:r>
        <w:rPr>
          <w:rFonts w:ascii="宋体" w:hAnsi="宋体"/>
          <w:bCs w:val="0"/>
          <w:snapToGrid w:val="0"/>
        </w:rPr>
        <w:t>2.  评审标准</w:t>
      </w:r>
      <w:bookmarkEnd w:id="646"/>
      <w:bookmarkEnd w:id="647"/>
      <w:bookmarkEnd w:id="648"/>
      <w:bookmarkEnd w:id="649"/>
      <w:bookmarkEnd w:id="650"/>
      <w:bookmarkEnd w:id="651"/>
      <w:bookmarkEnd w:id="652"/>
      <w:bookmarkEnd w:id="653"/>
      <w:bookmarkEnd w:id="654"/>
      <w:bookmarkEnd w:id="655"/>
    </w:p>
    <w:p>
      <w:pPr>
        <w:pStyle w:val="5"/>
        <w:snapToGrid w:val="0"/>
        <w:spacing w:before="0" w:after="0" w:line="360" w:lineRule="auto"/>
        <w:rPr>
          <w:rFonts w:ascii="宋体" w:hAnsi="宋体"/>
          <w:bCs w:val="0"/>
          <w:snapToGrid w:val="0"/>
          <w:sz w:val="24"/>
          <w:szCs w:val="24"/>
        </w:rPr>
      </w:pPr>
      <w:bookmarkStart w:id="656" w:name="_Toc224103386"/>
      <w:bookmarkStart w:id="657" w:name="_Toc509218778"/>
      <w:bookmarkStart w:id="658" w:name="_Toc200513200"/>
      <w:bookmarkStart w:id="659" w:name="_Toc430530502"/>
      <w:bookmarkStart w:id="660" w:name="_Toc1449"/>
      <w:bookmarkStart w:id="661" w:name="_Toc287620753"/>
      <w:bookmarkStart w:id="662" w:name="_Toc287607814"/>
      <w:bookmarkStart w:id="663" w:name="_Toc277082620"/>
      <w:r>
        <w:rPr>
          <w:rFonts w:ascii="宋体" w:hAnsi="宋体"/>
          <w:bCs w:val="0"/>
          <w:snapToGrid w:val="0"/>
          <w:sz w:val="24"/>
          <w:szCs w:val="24"/>
        </w:rPr>
        <w:t>2.1  初步评审标准</w:t>
      </w:r>
      <w:bookmarkEnd w:id="656"/>
      <w:bookmarkEnd w:id="657"/>
      <w:bookmarkEnd w:id="658"/>
      <w:bookmarkEnd w:id="659"/>
      <w:bookmarkEnd w:id="660"/>
      <w:bookmarkEnd w:id="661"/>
      <w:bookmarkEnd w:id="662"/>
      <w:bookmarkEnd w:id="663"/>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w:t>
      </w:r>
      <w:r>
        <w:rPr>
          <w:rFonts w:hint="eastAsia" w:ascii="宋体" w:hAnsi="宋体"/>
          <w:kern w:val="0"/>
          <w:szCs w:val="21"/>
        </w:rPr>
        <w:t>1</w:t>
      </w:r>
      <w:r>
        <w:rPr>
          <w:rFonts w:ascii="宋体" w:hAnsi="宋体"/>
          <w:kern w:val="0"/>
          <w:szCs w:val="21"/>
        </w:rPr>
        <w:t xml:space="preserve"> 资格评审标准：见评标办法前附表。</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w:t>
      </w:r>
      <w:r>
        <w:rPr>
          <w:rFonts w:hint="eastAsia" w:ascii="宋体" w:hAnsi="宋体"/>
          <w:kern w:val="0"/>
          <w:szCs w:val="21"/>
        </w:rPr>
        <w:t>2</w:t>
      </w:r>
      <w:r>
        <w:rPr>
          <w:rFonts w:ascii="宋体" w:hAnsi="宋体"/>
          <w:kern w:val="0"/>
          <w:szCs w:val="21"/>
        </w:rPr>
        <w:t xml:space="preserve">  形式评审标准：见评标办法前附表。</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2.1.3  响应性评审标准：见评标办法前附表。</w:t>
      </w:r>
    </w:p>
    <w:p>
      <w:pPr>
        <w:pStyle w:val="5"/>
        <w:snapToGrid w:val="0"/>
        <w:spacing w:before="0" w:after="0" w:line="360" w:lineRule="auto"/>
        <w:rPr>
          <w:rFonts w:ascii="宋体" w:hAnsi="宋体"/>
          <w:bCs w:val="0"/>
          <w:snapToGrid w:val="0"/>
          <w:sz w:val="24"/>
          <w:szCs w:val="24"/>
        </w:rPr>
      </w:pPr>
      <w:bookmarkStart w:id="664" w:name="_Toc200513201"/>
      <w:bookmarkStart w:id="665" w:name="_Toc277082621"/>
      <w:bookmarkStart w:id="666" w:name="_Toc430530503"/>
      <w:bookmarkStart w:id="667" w:name="_Toc509218779"/>
      <w:bookmarkStart w:id="668" w:name="_Toc287620754"/>
      <w:bookmarkStart w:id="669" w:name="_Toc224103387"/>
      <w:bookmarkStart w:id="670" w:name="_Toc287607815"/>
      <w:bookmarkStart w:id="671" w:name="_Toc639"/>
      <w:r>
        <w:rPr>
          <w:rFonts w:ascii="宋体" w:hAnsi="宋体"/>
          <w:bCs w:val="0"/>
          <w:snapToGrid w:val="0"/>
          <w:sz w:val="24"/>
          <w:szCs w:val="24"/>
        </w:rPr>
        <w:t>2.2  分值构成与评分标准</w:t>
      </w:r>
      <w:bookmarkEnd w:id="664"/>
      <w:bookmarkEnd w:id="665"/>
      <w:bookmarkEnd w:id="666"/>
      <w:bookmarkEnd w:id="667"/>
      <w:bookmarkEnd w:id="668"/>
      <w:bookmarkEnd w:id="669"/>
      <w:bookmarkEnd w:id="670"/>
      <w:bookmarkEnd w:id="671"/>
    </w:p>
    <w:p>
      <w:pPr>
        <w:autoSpaceDE w:val="0"/>
        <w:autoSpaceDN w:val="0"/>
        <w:adjustRightInd w:val="0"/>
        <w:snapToGrid w:val="0"/>
        <w:spacing w:line="360" w:lineRule="auto"/>
        <w:ind w:firstLine="525" w:firstLineChars="250"/>
        <w:rPr>
          <w:rFonts w:ascii="宋体" w:hAnsi="宋体"/>
          <w:kern w:val="0"/>
          <w:szCs w:val="21"/>
        </w:rPr>
      </w:pPr>
      <w:r>
        <w:rPr>
          <w:rFonts w:ascii="宋体" w:hAnsi="宋体"/>
          <w:kern w:val="0"/>
          <w:szCs w:val="21"/>
        </w:rPr>
        <w:t>2.2.1  分值构成</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spacing w:val="1"/>
          <w:kern w:val="0"/>
          <w:szCs w:val="21"/>
        </w:rPr>
        <w:t>1</w:t>
      </w:r>
      <w:r>
        <w:rPr>
          <w:rFonts w:ascii="宋体" w:hAnsi="宋体"/>
          <w:kern w:val="0"/>
          <w:szCs w:val="21"/>
        </w:rPr>
        <w:t>）技术</w:t>
      </w:r>
      <w:r>
        <w:rPr>
          <w:rFonts w:hint="eastAsia" w:ascii="宋体" w:hAnsi="宋体"/>
          <w:kern w:val="0"/>
          <w:szCs w:val="21"/>
        </w:rPr>
        <w:t>部分</w:t>
      </w:r>
      <w:r>
        <w:rPr>
          <w:rFonts w:ascii="宋体" w:hAnsi="宋体"/>
          <w:kern w:val="0"/>
          <w:szCs w:val="21"/>
        </w:rPr>
        <w:t>：见评标办法前附表</w:t>
      </w:r>
      <w:r>
        <w:rPr>
          <w:rFonts w:hint="eastAsia" w:ascii="宋体" w:hAnsi="宋体"/>
          <w:kern w:val="0"/>
          <w:szCs w:val="21"/>
        </w:rPr>
        <w:t>。</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(2)商务部分：见评标办法前附表</w:t>
      </w:r>
      <w:r>
        <w:rPr>
          <w:rFonts w:hint="eastAsia" w:ascii="宋体" w:hAnsi="宋体"/>
          <w:kern w:val="0"/>
          <w:szCs w:val="21"/>
        </w:rPr>
        <w:t>。</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spacing w:val="1"/>
          <w:kern w:val="0"/>
          <w:szCs w:val="21"/>
        </w:rPr>
        <w:t>3</w:t>
      </w:r>
      <w:r>
        <w:rPr>
          <w:rFonts w:ascii="宋体" w:hAnsi="宋体"/>
          <w:kern w:val="0"/>
          <w:szCs w:val="21"/>
        </w:rPr>
        <w:t>）投标</w:t>
      </w:r>
      <w:r>
        <w:rPr>
          <w:rFonts w:hint="eastAsia" w:ascii="宋体" w:hAnsi="宋体"/>
          <w:kern w:val="0"/>
          <w:szCs w:val="21"/>
        </w:rPr>
        <w:t>总</w:t>
      </w:r>
      <w:r>
        <w:rPr>
          <w:rFonts w:ascii="宋体" w:hAnsi="宋体"/>
          <w:spacing w:val="-1"/>
          <w:kern w:val="0"/>
          <w:szCs w:val="21"/>
        </w:rPr>
        <w:t>报</w:t>
      </w:r>
      <w:r>
        <w:rPr>
          <w:rFonts w:ascii="宋体" w:hAnsi="宋体"/>
          <w:kern w:val="0"/>
          <w:szCs w:val="21"/>
        </w:rPr>
        <w:t>价：见评标办法前附表</w:t>
      </w:r>
      <w:r>
        <w:rPr>
          <w:rFonts w:hint="eastAsia" w:ascii="宋体" w:hAnsi="宋体"/>
          <w:kern w:val="0"/>
          <w:szCs w:val="21"/>
        </w:rPr>
        <w:t>。</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2  评审标准</w:t>
      </w:r>
    </w:p>
    <w:p>
      <w:pPr>
        <w:autoSpaceDE w:val="0"/>
        <w:autoSpaceDN w:val="0"/>
        <w:adjustRightInd w:val="0"/>
        <w:snapToGrid w:val="0"/>
        <w:spacing w:line="360" w:lineRule="auto"/>
        <w:ind w:firstLine="535" w:firstLineChars="255"/>
        <w:rPr>
          <w:rFonts w:ascii="宋体" w:hAnsi="宋体"/>
          <w:kern w:val="0"/>
          <w:szCs w:val="21"/>
        </w:rPr>
      </w:pPr>
      <w:r>
        <w:rPr>
          <w:rFonts w:hint="eastAsia" w:ascii="宋体" w:hAnsi="宋体"/>
          <w:kern w:val="0"/>
          <w:szCs w:val="21"/>
        </w:rPr>
        <w:t>（1）</w:t>
      </w:r>
      <w:r>
        <w:rPr>
          <w:rFonts w:ascii="宋体" w:hAnsi="宋体"/>
          <w:kern w:val="0"/>
          <w:szCs w:val="21"/>
        </w:rPr>
        <w:t>技术</w:t>
      </w:r>
      <w:r>
        <w:rPr>
          <w:rFonts w:hint="eastAsia" w:ascii="宋体" w:hAnsi="宋体"/>
          <w:kern w:val="0"/>
          <w:szCs w:val="21"/>
        </w:rPr>
        <w:t>部分</w:t>
      </w:r>
      <w:r>
        <w:rPr>
          <w:rFonts w:ascii="宋体" w:hAnsi="宋体"/>
          <w:kern w:val="0"/>
          <w:szCs w:val="21"/>
        </w:rPr>
        <w:t>评分标准：见评标办法前附表；（对于施工难度大、专业技术复杂的项目，应由招标人会同设计单位提出技术方案编写要点，作为评分标准）。</w:t>
      </w:r>
    </w:p>
    <w:p>
      <w:pPr>
        <w:autoSpaceDE w:val="0"/>
        <w:autoSpaceDN w:val="0"/>
        <w:adjustRightInd w:val="0"/>
        <w:snapToGrid w:val="0"/>
        <w:spacing w:line="360" w:lineRule="auto"/>
        <w:ind w:firstLine="535" w:firstLineChars="255"/>
        <w:rPr>
          <w:rFonts w:ascii="宋体" w:hAnsi="宋体"/>
          <w:kern w:val="0"/>
          <w:szCs w:val="21"/>
        </w:rPr>
      </w:pPr>
      <w:r>
        <w:rPr>
          <w:rFonts w:hint="eastAsia" w:ascii="宋体" w:hAnsi="宋体"/>
          <w:kern w:val="0"/>
          <w:szCs w:val="21"/>
        </w:rPr>
        <w:t>（2）商务部分评分标准：见评标办法前附表。</w:t>
      </w:r>
    </w:p>
    <w:p>
      <w:pPr>
        <w:autoSpaceDE w:val="0"/>
        <w:autoSpaceDN w:val="0"/>
        <w:adjustRightInd w:val="0"/>
        <w:snapToGrid w:val="0"/>
        <w:spacing w:line="360" w:lineRule="auto"/>
        <w:ind w:firstLine="535" w:firstLineChars="255"/>
        <w:rPr>
          <w:rFonts w:ascii="宋体" w:hAnsi="宋体"/>
          <w:kern w:val="0"/>
          <w:szCs w:val="21"/>
        </w:rPr>
      </w:pPr>
      <w:r>
        <w:rPr>
          <w:rFonts w:hint="eastAsia" w:ascii="宋体" w:hAnsi="宋体"/>
          <w:kern w:val="0"/>
          <w:szCs w:val="21"/>
        </w:rPr>
        <w:t>（3）投标函部分及经济部分评审标准：见评标办法前附表。</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3</w:t>
      </w:r>
      <w:r>
        <w:rPr>
          <w:rFonts w:ascii="宋体" w:hAnsi="宋体"/>
          <w:kern w:val="0"/>
          <w:szCs w:val="21"/>
        </w:rPr>
        <w:t xml:space="preserve">  评标基准价计算</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评标基准价计算方法：见评标办法前附表。</w:t>
      </w:r>
    </w:p>
    <w:p>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4</w:t>
      </w: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投标报价的偏差率计算</w:t>
      </w:r>
      <w:r>
        <w:rPr>
          <w:rFonts w:hint="eastAsia" w:ascii="宋体" w:hAnsi="宋体"/>
          <w:kern w:val="0"/>
          <w:szCs w:val="21"/>
        </w:rPr>
        <w:t>和允许偏差范围</w:t>
      </w:r>
    </w:p>
    <w:p>
      <w:pPr>
        <w:autoSpaceDE w:val="0"/>
        <w:autoSpaceDN w:val="0"/>
        <w:adjustRightInd w:val="0"/>
        <w:snapToGrid w:val="0"/>
        <w:spacing w:line="360" w:lineRule="auto"/>
        <w:ind w:firstLine="630" w:firstLineChars="300"/>
        <w:rPr>
          <w:rFonts w:ascii="宋体" w:hAnsi="宋体"/>
          <w:kern w:val="0"/>
          <w:szCs w:val="21"/>
        </w:rPr>
      </w:pPr>
      <w:r>
        <w:rPr>
          <w:rFonts w:ascii="宋体" w:hAnsi="宋体"/>
          <w:kern w:val="0"/>
          <w:szCs w:val="21"/>
        </w:rPr>
        <w:t>投标报价的偏差率计算公式：见评标办法前附表</w:t>
      </w:r>
      <w:r>
        <w:rPr>
          <w:rFonts w:hint="eastAsia" w:ascii="宋体" w:hAnsi="宋体"/>
          <w:kern w:val="0"/>
          <w:szCs w:val="21"/>
        </w:rPr>
        <w:t>；</w:t>
      </w:r>
    </w:p>
    <w:p>
      <w:pPr>
        <w:pStyle w:val="4"/>
        <w:spacing w:before="0" w:after="0" w:line="360" w:lineRule="auto"/>
        <w:rPr>
          <w:rFonts w:ascii="宋体" w:hAnsi="宋体"/>
          <w:bCs w:val="0"/>
          <w:snapToGrid w:val="0"/>
        </w:rPr>
      </w:pPr>
      <w:bookmarkStart w:id="672" w:name="_Toc344"/>
      <w:bookmarkStart w:id="673" w:name="_Toc224103388"/>
      <w:bookmarkStart w:id="674" w:name="_Toc509218780"/>
      <w:bookmarkStart w:id="675" w:name="_Toc200513202"/>
      <w:bookmarkStart w:id="676" w:name="_Toc277082622"/>
      <w:bookmarkStart w:id="677" w:name="_Toc287607816"/>
      <w:bookmarkStart w:id="678" w:name="_Toc2233"/>
      <w:bookmarkStart w:id="679" w:name="_Toc9070"/>
      <w:bookmarkStart w:id="680" w:name="_Toc287620755"/>
      <w:bookmarkStart w:id="681" w:name="_Toc430530504"/>
      <w:r>
        <w:rPr>
          <w:rFonts w:ascii="宋体" w:hAnsi="宋体"/>
          <w:bCs w:val="0"/>
          <w:snapToGrid w:val="0"/>
        </w:rPr>
        <w:t>3.  评标程序</w:t>
      </w:r>
      <w:bookmarkEnd w:id="672"/>
      <w:bookmarkEnd w:id="673"/>
      <w:bookmarkEnd w:id="674"/>
      <w:bookmarkEnd w:id="675"/>
      <w:bookmarkEnd w:id="676"/>
      <w:bookmarkEnd w:id="677"/>
      <w:bookmarkEnd w:id="678"/>
      <w:bookmarkEnd w:id="679"/>
      <w:bookmarkEnd w:id="680"/>
      <w:bookmarkEnd w:id="681"/>
    </w:p>
    <w:p>
      <w:pPr>
        <w:pStyle w:val="5"/>
        <w:snapToGrid w:val="0"/>
        <w:spacing w:before="0" w:after="0" w:line="360" w:lineRule="auto"/>
        <w:rPr>
          <w:rFonts w:ascii="宋体" w:hAnsi="宋体"/>
          <w:bCs w:val="0"/>
          <w:snapToGrid w:val="0"/>
          <w:sz w:val="24"/>
          <w:szCs w:val="24"/>
        </w:rPr>
      </w:pPr>
      <w:bookmarkStart w:id="682" w:name="_Toc224103389"/>
      <w:bookmarkStart w:id="683" w:name="_Toc430530505"/>
      <w:bookmarkStart w:id="684" w:name="_Toc200513203"/>
      <w:bookmarkStart w:id="685" w:name="_Toc287620756"/>
      <w:bookmarkStart w:id="686" w:name="_Toc287607817"/>
      <w:bookmarkStart w:id="687" w:name="_Toc277082623"/>
      <w:bookmarkStart w:id="688" w:name="_Toc509218781"/>
      <w:bookmarkStart w:id="689" w:name="_Toc15242"/>
      <w:r>
        <w:rPr>
          <w:rFonts w:ascii="宋体" w:hAnsi="宋体"/>
          <w:bCs w:val="0"/>
          <w:snapToGrid w:val="0"/>
          <w:sz w:val="24"/>
          <w:szCs w:val="24"/>
        </w:rPr>
        <w:t>3.1  初步评审</w:t>
      </w:r>
      <w:bookmarkEnd w:id="682"/>
      <w:bookmarkEnd w:id="683"/>
      <w:bookmarkEnd w:id="684"/>
      <w:bookmarkEnd w:id="685"/>
      <w:bookmarkEnd w:id="686"/>
      <w:bookmarkEnd w:id="687"/>
      <w:bookmarkEnd w:id="688"/>
      <w:bookmarkEnd w:id="689"/>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3.1.1  评标委员会依据本章第 2.1 款规定的标准对投标文件进行初步评审。有一项不符合评审标准的，作否决投标处理。</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3.1.2  投标人有以下情形之一的，其投标作否决投标处理：</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1</w:t>
      </w:r>
      <w:r>
        <w:rPr>
          <w:rFonts w:ascii="宋体" w:hAnsi="宋体"/>
          <w:kern w:val="0"/>
          <w:szCs w:val="21"/>
        </w:rPr>
        <w:t>）第二</w:t>
      </w:r>
      <w:r>
        <w:rPr>
          <w:rFonts w:ascii="宋体" w:hAnsi="宋体"/>
          <w:spacing w:val="-1"/>
          <w:kern w:val="0"/>
          <w:szCs w:val="21"/>
        </w:rPr>
        <w:t>章</w:t>
      </w:r>
      <w:r>
        <w:rPr>
          <w:rFonts w:ascii="宋体" w:hAnsi="宋体"/>
          <w:kern w:val="0"/>
          <w:szCs w:val="21"/>
        </w:rPr>
        <w:t>“投标人须知”第</w:t>
      </w:r>
      <w:r>
        <w:rPr>
          <w:rFonts w:ascii="宋体" w:hAnsi="宋体"/>
          <w:spacing w:val="1"/>
          <w:kern w:val="0"/>
          <w:szCs w:val="21"/>
        </w:rPr>
        <w:t>1</w:t>
      </w:r>
      <w:r>
        <w:rPr>
          <w:rFonts w:ascii="宋体" w:hAnsi="宋体"/>
          <w:spacing w:val="-1"/>
          <w:kern w:val="0"/>
          <w:szCs w:val="21"/>
        </w:rPr>
        <w:t>.</w:t>
      </w:r>
      <w:r>
        <w:rPr>
          <w:rFonts w:ascii="宋体" w:hAnsi="宋体"/>
          <w:spacing w:val="1"/>
          <w:kern w:val="0"/>
          <w:szCs w:val="21"/>
        </w:rPr>
        <w:t>4</w:t>
      </w:r>
      <w:r>
        <w:rPr>
          <w:rFonts w:ascii="宋体" w:hAnsi="宋体"/>
          <w:spacing w:val="-1"/>
          <w:kern w:val="0"/>
          <w:szCs w:val="21"/>
        </w:rPr>
        <w:t>.</w:t>
      </w:r>
      <w:r>
        <w:rPr>
          <w:rFonts w:ascii="宋体" w:hAnsi="宋体"/>
          <w:kern w:val="0"/>
          <w:szCs w:val="21"/>
        </w:rPr>
        <w:t>3项规定的任何一种情形的；</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2</w:t>
      </w:r>
      <w:r>
        <w:rPr>
          <w:rFonts w:ascii="宋体" w:hAnsi="宋体"/>
          <w:kern w:val="0"/>
          <w:szCs w:val="21"/>
        </w:rPr>
        <w:t>）</w:t>
      </w:r>
      <w:r>
        <w:rPr>
          <w:rFonts w:hint="eastAsia" w:ascii="宋体" w:hAnsi="宋体" w:cs="宋体"/>
          <w:szCs w:val="21"/>
        </w:rPr>
        <w:t>本次投标有串通投标、弄虚作假等其他违反招投标相关法律、法规行为的</w:t>
      </w:r>
      <w:r>
        <w:rPr>
          <w:rFonts w:ascii="宋体" w:hAnsi="宋体"/>
          <w:kern w:val="0"/>
          <w:szCs w:val="21"/>
        </w:rPr>
        <w:t>；</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3</w:t>
      </w:r>
      <w:r>
        <w:rPr>
          <w:rFonts w:ascii="宋体" w:hAnsi="宋体"/>
          <w:kern w:val="0"/>
          <w:szCs w:val="21"/>
        </w:rPr>
        <w:t>）</w:t>
      </w:r>
      <w:r>
        <w:rPr>
          <w:rFonts w:hint="eastAsia" w:ascii="宋体" w:hAnsi="宋体"/>
          <w:kern w:val="0"/>
          <w:szCs w:val="21"/>
        </w:rPr>
        <w:t>拒绝</w:t>
      </w:r>
      <w:r>
        <w:rPr>
          <w:rFonts w:ascii="宋体" w:hAnsi="宋体"/>
          <w:kern w:val="0"/>
          <w:szCs w:val="21"/>
        </w:rPr>
        <w:t>按</w:t>
      </w:r>
      <w:r>
        <w:rPr>
          <w:rFonts w:ascii="宋体" w:hAnsi="宋体"/>
          <w:spacing w:val="-1"/>
          <w:kern w:val="0"/>
          <w:szCs w:val="21"/>
        </w:rPr>
        <w:t>评</w:t>
      </w:r>
      <w:r>
        <w:rPr>
          <w:rFonts w:ascii="宋体" w:hAnsi="宋体"/>
          <w:kern w:val="0"/>
          <w:szCs w:val="21"/>
        </w:rPr>
        <w:t>标委员会要求澄清、说明或补正的</w:t>
      </w:r>
      <w:r>
        <w:rPr>
          <w:rFonts w:hint="eastAsia" w:ascii="宋体" w:hAnsi="宋体"/>
          <w:kern w:val="0"/>
          <w:szCs w:val="21"/>
        </w:rPr>
        <w:t>。</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3.1.3  投标报价有算术错误的，评标委员会按以下原则对投标报价进行修正，修正的价格经投标人书面确认后具有约束力</w:t>
      </w:r>
      <w:r>
        <w:rPr>
          <w:rFonts w:hint="eastAsia" w:ascii="宋体" w:hAnsi="宋体"/>
          <w:kern w:val="0"/>
          <w:szCs w:val="21"/>
        </w:rPr>
        <w:t>，修正原则如下：</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（1）投标文件中的大写金额与小写金额不一致的，以大写金额为准；</w:t>
      </w:r>
    </w:p>
    <w:p>
      <w:pPr>
        <w:pStyle w:val="5"/>
        <w:snapToGrid w:val="0"/>
        <w:spacing w:before="0" w:after="0" w:line="360" w:lineRule="auto"/>
        <w:rPr>
          <w:rFonts w:ascii="宋体" w:hAnsi="宋体"/>
          <w:bCs w:val="0"/>
          <w:snapToGrid w:val="0"/>
          <w:sz w:val="24"/>
          <w:szCs w:val="24"/>
        </w:rPr>
      </w:pPr>
      <w:bookmarkStart w:id="690" w:name="_Toc509218782"/>
      <w:bookmarkStart w:id="691" w:name="_Toc277082624"/>
      <w:bookmarkStart w:id="692" w:name="_Toc224103390"/>
      <w:bookmarkStart w:id="693" w:name="_Toc200513204"/>
      <w:bookmarkStart w:id="694" w:name="_Toc287620757"/>
      <w:bookmarkStart w:id="695" w:name="_Toc430530506"/>
      <w:bookmarkStart w:id="696" w:name="_Toc24460"/>
      <w:bookmarkStart w:id="697" w:name="_Toc287607818"/>
      <w:r>
        <w:rPr>
          <w:rFonts w:ascii="宋体" w:hAnsi="宋体"/>
          <w:bCs w:val="0"/>
          <w:snapToGrid w:val="0"/>
          <w:sz w:val="24"/>
          <w:szCs w:val="24"/>
        </w:rPr>
        <w:t>3.2  详细评审</w:t>
      </w:r>
      <w:bookmarkEnd w:id="690"/>
      <w:bookmarkEnd w:id="691"/>
      <w:bookmarkEnd w:id="692"/>
      <w:bookmarkEnd w:id="693"/>
      <w:bookmarkEnd w:id="694"/>
      <w:bookmarkEnd w:id="695"/>
      <w:bookmarkEnd w:id="696"/>
      <w:bookmarkEnd w:id="697"/>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3.2.1  评标委员会按本章第2.2款规定的量化因素和分值进行</w:t>
      </w:r>
      <w:r>
        <w:rPr>
          <w:rFonts w:hint="eastAsia" w:ascii="宋体" w:hAnsi="宋体"/>
          <w:kern w:val="0"/>
          <w:szCs w:val="21"/>
        </w:rPr>
        <w:t>评分</w:t>
      </w:r>
      <w:r>
        <w:rPr>
          <w:rFonts w:ascii="宋体" w:hAnsi="宋体"/>
          <w:kern w:val="0"/>
          <w:szCs w:val="21"/>
        </w:rPr>
        <w:t>，并计算出综合评估得分。</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kern w:val="0"/>
          <w:szCs w:val="21"/>
        </w:rPr>
        <w:t>1</w:t>
      </w:r>
      <w:r>
        <w:rPr>
          <w:rFonts w:ascii="宋体" w:hAnsi="宋体"/>
          <w:kern w:val="0"/>
          <w:szCs w:val="21"/>
        </w:rPr>
        <w:t>）按本章第3.2.1（</w:t>
      </w:r>
      <w:r>
        <w:rPr>
          <w:rFonts w:hint="eastAsia" w:ascii="宋体" w:hAnsi="宋体"/>
          <w:kern w:val="0"/>
          <w:szCs w:val="21"/>
        </w:rPr>
        <w:t>1</w:t>
      </w:r>
      <w:r>
        <w:rPr>
          <w:rFonts w:ascii="宋体" w:hAnsi="宋体"/>
          <w:kern w:val="0"/>
          <w:szCs w:val="21"/>
        </w:rPr>
        <w:t>）目规定的评审因素和分值对技术</w:t>
      </w:r>
      <w:r>
        <w:rPr>
          <w:rFonts w:hint="eastAsia" w:ascii="宋体" w:hAnsi="宋体"/>
          <w:kern w:val="0"/>
          <w:szCs w:val="21"/>
        </w:rPr>
        <w:t>部分</w:t>
      </w:r>
      <w:r>
        <w:rPr>
          <w:rFonts w:ascii="宋体" w:hAnsi="宋体"/>
          <w:kern w:val="0"/>
          <w:szCs w:val="21"/>
        </w:rPr>
        <w:t>计算出得分</w:t>
      </w:r>
      <w:r>
        <w:rPr>
          <w:rFonts w:hint="eastAsia" w:ascii="宋体" w:hAnsi="宋体"/>
          <w:kern w:val="0"/>
          <w:szCs w:val="21"/>
        </w:rPr>
        <w:t>A（</w:t>
      </w:r>
      <w:r>
        <w:rPr>
          <w:rFonts w:ascii="宋体" w:hAnsi="宋体"/>
          <w:snapToGrid w:val="0"/>
          <w:kern w:val="0"/>
          <w:szCs w:val="21"/>
        </w:rPr>
        <w:t>所有评委</w:t>
      </w:r>
      <w:r>
        <w:rPr>
          <w:rFonts w:hint="eastAsia" w:ascii="宋体" w:hAnsi="宋体"/>
          <w:snapToGrid w:val="0"/>
          <w:kern w:val="0"/>
          <w:szCs w:val="21"/>
        </w:rPr>
        <w:t>评分</w:t>
      </w:r>
      <w:r>
        <w:rPr>
          <w:rFonts w:ascii="宋体" w:hAnsi="宋体"/>
          <w:snapToGrid w:val="0"/>
          <w:kern w:val="0"/>
          <w:szCs w:val="21"/>
        </w:rPr>
        <w:t>中去掉一个最高和一个最低分，余下评委</w:t>
      </w:r>
      <w:r>
        <w:rPr>
          <w:rFonts w:hint="eastAsia" w:ascii="宋体" w:hAnsi="宋体"/>
          <w:snapToGrid w:val="0"/>
          <w:kern w:val="0"/>
          <w:szCs w:val="21"/>
        </w:rPr>
        <w:t>评分</w:t>
      </w:r>
      <w:r>
        <w:rPr>
          <w:rFonts w:ascii="宋体" w:hAnsi="宋体"/>
          <w:snapToGrid w:val="0"/>
          <w:kern w:val="0"/>
          <w:szCs w:val="21"/>
        </w:rPr>
        <w:t>取算术平均值为该投标人技术</w:t>
      </w:r>
      <w:r>
        <w:rPr>
          <w:rFonts w:hint="eastAsia" w:ascii="宋体" w:hAnsi="宋体"/>
          <w:snapToGrid w:val="0"/>
          <w:kern w:val="0"/>
          <w:szCs w:val="21"/>
        </w:rPr>
        <w:t>部分</w:t>
      </w:r>
      <w:r>
        <w:rPr>
          <w:rFonts w:ascii="宋体" w:hAnsi="宋体"/>
          <w:snapToGrid w:val="0"/>
          <w:kern w:val="0"/>
          <w:szCs w:val="21"/>
        </w:rPr>
        <w:t>得分。</w:t>
      </w:r>
      <w:r>
        <w:rPr>
          <w:rFonts w:ascii="宋体" w:hAnsi="宋体"/>
          <w:kern w:val="0"/>
          <w:szCs w:val="21"/>
        </w:rPr>
        <w:t>）</w:t>
      </w:r>
    </w:p>
    <w:p>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w:t>
      </w:r>
      <w:r>
        <w:rPr>
          <w:rFonts w:hint="eastAsia" w:ascii="宋体" w:hAnsi="宋体"/>
          <w:kern w:val="0"/>
          <w:szCs w:val="21"/>
          <w:highlight w:val="none"/>
        </w:rPr>
        <w:t>2</w:t>
      </w:r>
      <w:r>
        <w:rPr>
          <w:rFonts w:ascii="宋体" w:hAnsi="宋体"/>
          <w:kern w:val="0"/>
          <w:szCs w:val="21"/>
          <w:highlight w:val="none"/>
        </w:rPr>
        <w:t>）按本章第3.2.1（</w:t>
      </w:r>
      <w:r>
        <w:rPr>
          <w:rFonts w:hint="eastAsia" w:ascii="宋体" w:hAnsi="宋体"/>
          <w:kern w:val="0"/>
          <w:szCs w:val="21"/>
          <w:highlight w:val="none"/>
        </w:rPr>
        <w:t>2</w:t>
      </w:r>
      <w:r>
        <w:rPr>
          <w:rFonts w:ascii="宋体" w:hAnsi="宋体"/>
          <w:kern w:val="0"/>
          <w:szCs w:val="21"/>
          <w:highlight w:val="none"/>
        </w:rPr>
        <w:t>）目规定的评审因素和分值对</w:t>
      </w:r>
      <w:r>
        <w:rPr>
          <w:rFonts w:hint="eastAsia" w:ascii="宋体" w:hAnsi="宋体"/>
          <w:kern w:val="0"/>
          <w:szCs w:val="21"/>
          <w:highlight w:val="none"/>
        </w:rPr>
        <w:t>投标人商务部分计算出</w:t>
      </w:r>
      <w:r>
        <w:rPr>
          <w:rFonts w:ascii="宋体" w:hAnsi="宋体"/>
          <w:kern w:val="0"/>
          <w:szCs w:val="21"/>
          <w:highlight w:val="none"/>
        </w:rPr>
        <w:t>得分</w:t>
      </w:r>
      <w:r>
        <w:rPr>
          <w:rFonts w:hint="eastAsia" w:ascii="宋体" w:hAnsi="宋体"/>
          <w:kern w:val="0"/>
          <w:szCs w:val="21"/>
          <w:highlight w:val="none"/>
        </w:rPr>
        <w:t>B。</w:t>
      </w:r>
    </w:p>
    <w:p>
      <w:pPr>
        <w:autoSpaceDE w:val="0"/>
        <w:autoSpaceDN w:val="0"/>
        <w:adjustRightInd w:val="0"/>
        <w:snapToGrid w:val="0"/>
        <w:spacing w:line="360" w:lineRule="auto"/>
        <w:ind w:firstLine="420" w:firstLineChars="200"/>
      </w:pPr>
      <w:r>
        <w:rPr>
          <w:rFonts w:ascii="宋体" w:hAnsi="宋体"/>
          <w:kern w:val="0"/>
          <w:szCs w:val="21"/>
        </w:rPr>
        <w:t>（</w:t>
      </w:r>
      <w:r>
        <w:rPr>
          <w:rFonts w:hint="eastAsia" w:ascii="宋体" w:hAnsi="宋体"/>
          <w:kern w:val="0"/>
          <w:szCs w:val="21"/>
        </w:rPr>
        <w:t>3</w:t>
      </w:r>
      <w:r>
        <w:rPr>
          <w:rFonts w:ascii="宋体" w:hAnsi="宋体"/>
          <w:kern w:val="0"/>
          <w:szCs w:val="21"/>
        </w:rPr>
        <w:t>）按本章第3.2.1（</w:t>
      </w:r>
      <w:r>
        <w:rPr>
          <w:rFonts w:hint="eastAsia" w:ascii="宋体" w:hAnsi="宋体"/>
          <w:kern w:val="0"/>
          <w:szCs w:val="21"/>
        </w:rPr>
        <w:t>3</w:t>
      </w:r>
      <w:r>
        <w:rPr>
          <w:rFonts w:ascii="宋体" w:hAnsi="宋体"/>
          <w:kern w:val="0"/>
          <w:szCs w:val="21"/>
        </w:rPr>
        <w:t>）目规定的评审因素和分值对投标总报价计算出得分</w:t>
      </w:r>
      <w:r>
        <w:rPr>
          <w:rFonts w:hint="eastAsia" w:ascii="宋体" w:hAnsi="宋体"/>
          <w:kern w:val="0"/>
          <w:szCs w:val="21"/>
        </w:rPr>
        <w:t>C。</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3.2.2  各类评分分值的最终计算结果保留小数点后两位，小数点后第三位“四舍五入”。</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3.2.3  投标人得分=A+B</w:t>
      </w:r>
      <w:r>
        <w:rPr>
          <w:rFonts w:hint="eastAsia" w:ascii="宋体" w:hAnsi="宋体"/>
          <w:kern w:val="0"/>
          <w:szCs w:val="21"/>
        </w:rPr>
        <w:t>+C。</w:t>
      </w:r>
    </w:p>
    <w:p>
      <w:pPr>
        <w:pStyle w:val="5"/>
        <w:snapToGrid w:val="0"/>
        <w:spacing w:before="0" w:after="0" w:line="360" w:lineRule="auto"/>
        <w:rPr>
          <w:rFonts w:ascii="宋体" w:hAnsi="宋体"/>
          <w:bCs w:val="0"/>
          <w:snapToGrid w:val="0"/>
          <w:sz w:val="24"/>
          <w:szCs w:val="24"/>
        </w:rPr>
      </w:pPr>
      <w:bookmarkStart w:id="698" w:name="_Toc200513205"/>
      <w:bookmarkStart w:id="699" w:name="_Toc287607819"/>
      <w:bookmarkStart w:id="700" w:name="_Toc430530507"/>
      <w:bookmarkStart w:id="701" w:name="_Toc277082625"/>
      <w:bookmarkStart w:id="702" w:name="_Toc287620758"/>
      <w:bookmarkStart w:id="703" w:name="_Toc22359"/>
      <w:bookmarkStart w:id="704" w:name="_Toc509218783"/>
      <w:bookmarkStart w:id="705" w:name="_Toc224103391"/>
      <w:r>
        <w:rPr>
          <w:rFonts w:ascii="宋体" w:hAnsi="宋体"/>
          <w:bCs w:val="0"/>
          <w:snapToGrid w:val="0"/>
          <w:sz w:val="24"/>
          <w:szCs w:val="24"/>
        </w:rPr>
        <w:t>3.3  投标文件的澄清和补正</w:t>
      </w:r>
      <w:bookmarkEnd w:id="698"/>
      <w:bookmarkEnd w:id="699"/>
      <w:bookmarkEnd w:id="700"/>
      <w:bookmarkEnd w:id="701"/>
      <w:bookmarkEnd w:id="702"/>
      <w:bookmarkEnd w:id="703"/>
      <w:bookmarkEnd w:id="704"/>
      <w:bookmarkEnd w:id="705"/>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3.3.1  在评标过程中，评标委员会可以书面形式要求投标人对所提交投标文件中不明确的内容进行书面澄清或说明，或者对细微偏差进行补正。评标委员会不接受投标人主动提出的澄清、说明或补正。</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3.3.2  澄清、说明和补正不得改变投标文件的实质性内容（算术性错误修正的除外）。投标人的书面澄清、说明和补正属于投标文件的组成部分。</w:t>
      </w:r>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3.3.3  评标委员会对投标人提交的澄清、说明或补正有疑问的，可以要求投标人进一步澄清、说明或补正，直至满足评标委员会的要求。</w:t>
      </w:r>
    </w:p>
    <w:p>
      <w:pPr>
        <w:pStyle w:val="5"/>
        <w:snapToGrid w:val="0"/>
        <w:spacing w:before="0" w:after="0" w:line="360" w:lineRule="auto"/>
        <w:rPr>
          <w:rFonts w:ascii="宋体" w:hAnsi="宋体"/>
          <w:bCs w:val="0"/>
          <w:snapToGrid w:val="0"/>
          <w:sz w:val="24"/>
          <w:szCs w:val="24"/>
        </w:rPr>
      </w:pPr>
      <w:bookmarkStart w:id="706" w:name="_Toc14577"/>
      <w:bookmarkStart w:id="707" w:name="_Toc509218784"/>
      <w:bookmarkStart w:id="708" w:name="_Toc287620759"/>
      <w:bookmarkStart w:id="709" w:name="_Toc277082626"/>
      <w:bookmarkStart w:id="710" w:name="_Toc430530508"/>
      <w:bookmarkStart w:id="711" w:name="_Toc287607820"/>
      <w:bookmarkStart w:id="712" w:name="_Toc200513206"/>
      <w:bookmarkStart w:id="713" w:name="_Toc224103392"/>
      <w:r>
        <w:rPr>
          <w:rFonts w:ascii="宋体" w:hAnsi="宋体"/>
          <w:bCs w:val="0"/>
          <w:snapToGrid w:val="0"/>
          <w:sz w:val="24"/>
          <w:szCs w:val="24"/>
        </w:rPr>
        <w:t>3.4  评标结果</w:t>
      </w:r>
      <w:bookmarkEnd w:id="706"/>
      <w:bookmarkEnd w:id="707"/>
      <w:bookmarkEnd w:id="708"/>
      <w:bookmarkEnd w:id="709"/>
      <w:bookmarkEnd w:id="710"/>
      <w:bookmarkEnd w:id="711"/>
      <w:bookmarkEnd w:id="712"/>
      <w:bookmarkEnd w:id="713"/>
    </w:p>
    <w:p>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w:t>
      </w:r>
      <w:r>
        <w:rPr>
          <w:rFonts w:ascii="宋体" w:hAnsi="宋体"/>
          <w:spacing w:val="-1"/>
          <w:kern w:val="0"/>
          <w:szCs w:val="21"/>
        </w:rPr>
        <w:t>4</w:t>
      </w:r>
      <w:r>
        <w:rPr>
          <w:rFonts w:ascii="宋体" w:hAnsi="宋体"/>
          <w:kern w:val="0"/>
          <w:szCs w:val="21"/>
        </w:rPr>
        <w:t xml:space="preserve">.1 </w:t>
      </w:r>
      <w:r>
        <w:rPr>
          <w:rFonts w:ascii="宋体" w:hAnsi="宋体"/>
          <w:spacing w:val="1"/>
          <w:kern w:val="0"/>
          <w:szCs w:val="21"/>
        </w:rPr>
        <w:t xml:space="preserve"> </w:t>
      </w:r>
      <w:r>
        <w:rPr>
          <w:rFonts w:ascii="宋体" w:hAnsi="宋体"/>
          <w:kern w:val="0"/>
          <w:szCs w:val="21"/>
        </w:rPr>
        <w:t>除第二章“投标</w:t>
      </w:r>
      <w:r>
        <w:rPr>
          <w:rFonts w:ascii="宋体" w:hAnsi="宋体"/>
          <w:spacing w:val="1"/>
          <w:kern w:val="0"/>
          <w:szCs w:val="21"/>
        </w:rPr>
        <w:t>人</w:t>
      </w:r>
      <w:r>
        <w:rPr>
          <w:rFonts w:ascii="宋体" w:hAnsi="宋体"/>
          <w:kern w:val="0"/>
          <w:szCs w:val="21"/>
        </w:rPr>
        <w:t>须知”前</w:t>
      </w:r>
      <w:r>
        <w:rPr>
          <w:rFonts w:ascii="宋体" w:hAnsi="宋体"/>
          <w:spacing w:val="1"/>
          <w:kern w:val="0"/>
          <w:szCs w:val="21"/>
        </w:rPr>
        <w:t>附</w:t>
      </w:r>
      <w:r>
        <w:rPr>
          <w:rFonts w:ascii="宋体" w:hAnsi="宋体"/>
          <w:kern w:val="0"/>
          <w:szCs w:val="21"/>
        </w:rPr>
        <w:t>表授权直</w:t>
      </w:r>
      <w:r>
        <w:rPr>
          <w:rFonts w:ascii="宋体" w:hAnsi="宋体"/>
          <w:spacing w:val="1"/>
          <w:kern w:val="0"/>
          <w:szCs w:val="21"/>
        </w:rPr>
        <w:t>接</w:t>
      </w:r>
      <w:r>
        <w:rPr>
          <w:rFonts w:ascii="宋体" w:hAnsi="宋体"/>
          <w:kern w:val="0"/>
          <w:szCs w:val="21"/>
        </w:rPr>
        <w:t>确定中标</w:t>
      </w:r>
      <w:r>
        <w:rPr>
          <w:rFonts w:ascii="宋体" w:hAnsi="宋体"/>
          <w:spacing w:val="1"/>
          <w:kern w:val="0"/>
          <w:szCs w:val="21"/>
        </w:rPr>
        <w:t>人</w:t>
      </w:r>
      <w:r>
        <w:rPr>
          <w:rFonts w:ascii="宋体" w:hAnsi="宋体"/>
          <w:kern w:val="0"/>
          <w:szCs w:val="21"/>
        </w:rPr>
        <w:t>外，评标</w:t>
      </w:r>
      <w:r>
        <w:rPr>
          <w:rFonts w:ascii="宋体" w:hAnsi="宋体"/>
          <w:spacing w:val="1"/>
          <w:kern w:val="0"/>
          <w:szCs w:val="21"/>
        </w:rPr>
        <w:t>委</w:t>
      </w:r>
      <w:r>
        <w:rPr>
          <w:rFonts w:ascii="宋体" w:hAnsi="宋体"/>
          <w:kern w:val="0"/>
          <w:szCs w:val="21"/>
        </w:rPr>
        <w:t>员会按照</w:t>
      </w:r>
      <w:r>
        <w:rPr>
          <w:rFonts w:ascii="宋体" w:hAnsi="宋体"/>
          <w:spacing w:val="1"/>
          <w:kern w:val="0"/>
          <w:szCs w:val="21"/>
        </w:rPr>
        <w:t>得分</w:t>
      </w:r>
      <w:r>
        <w:rPr>
          <w:rFonts w:ascii="宋体" w:hAnsi="宋体"/>
          <w:kern w:val="0"/>
          <w:szCs w:val="21"/>
        </w:rPr>
        <w:t>由高到低的顺序推荐中标候选人。</w:t>
      </w:r>
    </w:p>
    <w:p>
      <w:pPr>
        <w:autoSpaceDE w:val="0"/>
        <w:autoSpaceDN w:val="0"/>
        <w:adjustRightInd w:val="0"/>
        <w:snapToGrid w:val="0"/>
        <w:spacing w:line="360" w:lineRule="auto"/>
        <w:ind w:firstLine="424" w:firstLineChars="200"/>
        <w:rPr>
          <w:rFonts w:ascii="宋体" w:hAnsi="宋体"/>
          <w:kern w:val="0"/>
          <w:sz w:val="20"/>
          <w:szCs w:val="20"/>
        </w:rPr>
      </w:pPr>
      <w:r>
        <w:rPr>
          <w:rFonts w:ascii="宋体" w:hAnsi="宋体"/>
          <w:spacing w:val="1"/>
          <w:kern w:val="0"/>
          <w:szCs w:val="21"/>
        </w:rPr>
        <w:t>3</w:t>
      </w:r>
      <w:r>
        <w:rPr>
          <w:rFonts w:ascii="宋体" w:hAnsi="宋体"/>
          <w:kern w:val="0"/>
          <w:szCs w:val="21"/>
        </w:rPr>
        <w:t>.4.2  评标</w:t>
      </w:r>
      <w:r>
        <w:rPr>
          <w:rFonts w:ascii="宋体" w:hAnsi="宋体"/>
          <w:spacing w:val="-1"/>
          <w:kern w:val="0"/>
          <w:szCs w:val="21"/>
        </w:rPr>
        <w:t>委</w:t>
      </w:r>
      <w:r>
        <w:rPr>
          <w:rFonts w:ascii="宋体" w:hAnsi="宋体"/>
          <w:kern w:val="0"/>
          <w:szCs w:val="21"/>
        </w:rPr>
        <w:t>员会完成评标后，应当向招标人提交书面评标报告。</w:t>
      </w:r>
    </w:p>
    <w:p>
      <w:pPr>
        <w:spacing w:line="360" w:lineRule="auto"/>
        <w:rPr>
          <w:rFonts w:ascii="宋体" w:hAnsi="宋体"/>
          <w:b/>
          <w:szCs w:val="20"/>
        </w:rPr>
      </w:pPr>
      <w:r>
        <w:rPr>
          <w:rFonts w:ascii="宋体" w:hAnsi="宋体"/>
          <w:kern w:val="0"/>
          <w:sz w:val="20"/>
          <w:szCs w:val="20"/>
        </w:rPr>
        <w:br w:type="page"/>
      </w:r>
    </w:p>
    <w:p>
      <w:pPr>
        <w:pStyle w:val="34"/>
        <w:spacing w:line="360" w:lineRule="auto"/>
        <w:rPr>
          <w:rFonts w:ascii="宋体" w:hAnsi="宋体"/>
          <w:b/>
          <w:sz w:val="28"/>
          <w:szCs w:val="28"/>
          <w:u w:val="none"/>
          <w:lang w:eastAsia="zh-CN"/>
        </w:rPr>
      </w:pPr>
      <w:bookmarkStart w:id="714" w:name="招标文件04章合同条款及格式"/>
      <w:bookmarkEnd w:id="714"/>
      <w:bookmarkStart w:id="715" w:name="招标文件03章02评标办法综合评估法02附件02"/>
      <w:bookmarkEnd w:id="715"/>
      <w:bookmarkStart w:id="716" w:name="_Toc230410480"/>
      <w:bookmarkStart w:id="717" w:name="_Toc277082627"/>
      <w:r>
        <w:rPr>
          <w:rFonts w:ascii="宋体" w:hAnsi="宋体"/>
          <w:b/>
          <w:sz w:val="28"/>
          <w:szCs w:val="28"/>
          <w:u w:val="none"/>
          <w:lang w:eastAsia="zh-CN"/>
        </w:rPr>
        <w:t>附件A：综合评估法否决投标情况一览表</w:t>
      </w:r>
      <w:bookmarkEnd w:id="716"/>
    </w:p>
    <w:bookmarkEnd w:id="717"/>
    <w:p>
      <w:pPr>
        <w:pStyle w:val="34"/>
        <w:spacing w:line="360" w:lineRule="auto"/>
        <w:ind w:firstLine="420" w:firstLineChars="200"/>
        <w:jc w:val="both"/>
        <w:rPr>
          <w:rFonts w:ascii="宋体" w:hAnsi="宋体"/>
          <w:sz w:val="21"/>
          <w:szCs w:val="21"/>
          <w:u w:val="none"/>
          <w:lang w:eastAsia="zh-CN"/>
        </w:rPr>
      </w:pPr>
      <w:r>
        <w:rPr>
          <w:rFonts w:hint="eastAsia" w:ascii="宋体" w:hAnsi="宋体"/>
          <w:sz w:val="21"/>
          <w:szCs w:val="21"/>
          <w:u w:val="none"/>
          <w:lang w:eastAsia="zh-CN"/>
        </w:rPr>
        <w:t>投标文件存在本一览表下列情形之一的，投标文件视为重大偏差并作否决投标处理，否则，评标委员会不得视为重大偏差而否决投标人的投标文件</w:t>
      </w:r>
      <w:r>
        <w:rPr>
          <w:rFonts w:ascii="宋体" w:hAnsi="宋体"/>
          <w:sz w:val="21"/>
          <w:szCs w:val="21"/>
          <w:u w:val="none"/>
          <w:lang w:eastAsia="zh-CN"/>
        </w:rPr>
        <w:t>。</w:t>
      </w:r>
    </w:p>
    <w:tbl>
      <w:tblPr>
        <w:tblStyle w:val="54"/>
        <w:tblW w:w="9469"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37"/>
        <w:gridCol w:w="1899"/>
        <w:gridCol w:w="633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Align w:val="center"/>
          </w:tcPr>
          <w:p>
            <w:pPr>
              <w:spacing w:line="400" w:lineRule="exact"/>
              <w:jc w:val="center"/>
              <w:rPr>
                <w:rFonts w:ascii="宋体" w:hAnsi="宋体"/>
                <w:b/>
                <w:szCs w:val="21"/>
              </w:rPr>
            </w:pPr>
            <w:r>
              <w:rPr>
                <w:rFonts w:ascii="宋体" w:hAnsi="宋体"/>
                <w:b/>
                <w:szCs w:val="21"/>
              </w:rPr>
              <w:t>章节号</w:t>
            </w:r>
          </w:p>
        </w:tc>
        <w:tc>
          <w:tcPr>
            <w:tcW w:w="1899" w:type="dxa"/>
            <w:vAlign w:val="center"/>
          </w:tcPr>
          <w:p>
            <w:pPr>
              <w:spacing w:line="400" w:lineRule="exact"/>
              <w:jc w:val="center"/>
              <w:rPr>
                <w:rFonts w:ascii="宋体" w:hAnsi="宋体"/>
                <w:b/>
                <w:szCs w:val="21"/>
              </w:rPr>
            </w:pPr>
            <w:r>
              <w:rPr>
                <w:rFonts w:ascii="宋体" w:hAnsi="宋体"/>
                <w:b/>
                <w:szCs w:val="21"/>
              </w:rPr>
              <w:t>条款名称</w:t>
            </w:r>
          </w:p>
        </w:tc>
        <w:tc>
          <w:tcPr>
            <w:tcW w:w="6333" w:type="dxa"/>
            <w:vAlign w:val="center"/>
          </w:tcPr>
          <w:p>
            <w:pPr>
              <w:spacing w:line="400" w:lineRule="exact"/>
              <w:jc w:val="center"/>
              <w:rPr>
                <w:rFonts w:ascii="宋体" w:hAnsi="宋体"/>
                <w:b/>
                <w:szCs w:val="21"/>
              </w:rPr>
            </w:pPr>
            <w:r>
              <w:rPr>
                <w:rFonts w:ascii="宋体" w:hAnsi="宋体"/>
                <w:b/>
                <w:szCs w:val="21"/>
              </w:rPr>
              <w:t>否决投标条件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restart"/>
            <w:vAlign w:val="center"/>
          </w:tcPr>
          <w:p>
            <w:pPr>
              <w:spacing w:line="400" w:lineRule="exact"/>
              <w:jc w:val="center"/>
              <w:rPr>
                <w:rFonts w:ascii="宋体" w:hAnsi="宋体"/>
                <w:szCs w:val="21"/>
              </w:rPr>
            </w:pPr>
            <w:r>
              <w:rPr>
                <w:rFonts w:hint="eastAsia" w:ascii="宋体" w:hAnsi="宋体"/>
                <w:szCs w:val="21"/>
              </w:rPr>
              <w:t>第三章</w:t>
            </w:r>
          </w:p>
        </w:tc>
        <w:tc>
          <w:tcPr>
            <w:tcW w:w="1899" w:type="dxa"/>
            <w:vMerge w:val="restart"/>
            <w:vAlign w:val="center"/>
          </w:tcPr>
          <w:p>
            <w:pPr>
              <w:spacing w:line="400" w:lineRule="exact"/>
              <w:jc w:val="center"/>
              <w:rPr>
                <w:rFonts w:ascii="宋体" w:hAnsi="宋体"/>
                <w:szCs w:val="21"/>
              </w:rPr>
            </w:pPr>
            <w:r>
              <w:rPr>
                <w:rFonts w:hint="eastAsia" w:ascii="宋体" w:hAnsi="宋体"/>
                <w:szCs w:val="21"/>
              </w:rPr>
              <w:t>资格评审</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A-1投标人的资质条件、营业执照及安全生产条件须满足投标人须知前附表1.4.1项的要求，否则由评标委员会作否决投标处理。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A-2投标人的财务须满足投标人须知前附表第1.4.1项的要求，否则由评标委员会作否决投标处理（如有）。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A-3投标人的业绩须满足投标人须知前附表第1.4.1项的要求，否则由评标委员会作否决投标处理（如有）。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A-4投标人的投标截止日投标资格情况须满足投标人须知前附表第1.4.1项的要求，否则由评标委员会作否决投标处理。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A-5投标人的项目经理资格须满足投标人须知前附表第1.4.1项的要求，否则由评标委员会作否决投标处理。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A-6投标人的其他要求须满足投标人须知前附表1.4.1项的要求，否则由评标委员会作否决投标处理。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A-7若有联合体投标人，则：</w:t>
            </w:r>
          </w:p>
          <w:p>
            <w:pPr>
              <w:spacing w:line="400" w:lineRule="exact"/>
              <w:ind w:firstLine="420" w:firstLineChars="200"/>
              <w:rPr>
                <w:rFonts w:ascii="宋体" w:hAnsi="宋体"/>
                <w:szCs w:val="21"/>
              </w:rPr>
            </w:pPr>
            <w:r>
              <w:rPr>
                <w:rFonts w:hint="eastAsia" w:ascii="宋体" w:hAnsi="宋体"/>
                <w:szCs w:val="21"/>
              </w:rPr>
              <w:t>（1）联合体各方应按照招标文件提供的格式签订联合体协议书，明确联合体牵头人和各方权利义务；</w:t>
            </w:r>
          </w:p>
          <w:p>
            <w:pPr>
              <w:spacing w:line="400" w:lineRule="exact"/>
              <w:ind w:firstLine="420" w:firstLineChars="200"/>
              <w:rPr>
                <w:rFonts w:ascii="宋体" w:hAnsi="宋体"/>
                <w:szCs w:val="21"/>
              </w:rPr>
            </w:pPr>
            <w:r>
              <w:rPr>
                <w:rFonts w:hint="eastAsia" w:ascii="宋体" w:hAnsi="宋体"/>
                <w:szCs w:val="21"/>
              </w:rPr>
              <w:t>（2）联合体各方均应当具备承担招标项目的相应能力，联合体协议约定同一专业分工由两个及以上单位共同承担的，按照资质等级较低的单位确定资质等级；</w:t>
            </w:r>
          </w:p>
          <w:p>
            <w:pPr>
              <w:spacing w:line="400" w:lineRule="exact"/>
              <w:ind w:firstLine="420" w:firstLineChars="200"/>
              <w:rPr>
                <w:rFonts w:ascii="宋体" w:hAnsi="宋体"/>
                <w:szCs w:val="21"/>
              </w:rPr>
            </w:pPr>
            <w:r>
              <w:rPr>
                <w:rFonts w:hint="eastAsia" w:ascii="宋体" w:hAnsi="宋体"/>
                <w:szCs w:val="21"/>
              </w:rPr>
              <w:t>（3）联合体各方不得再以自己名义单独或参加其他联合体在同一标段中投标。</w:t>
            </w:r>
          </w:p>
          <w:p>
            <w:pPr>
              <w:spacing w:line="400" w:lineRule="exact"/>
              <w:ind w:firstLine="420" w:firstLineChars="200"/>
              <w:rPr>
                <w:rFonts w:ascii="宋体" w:hAnsi="宋体"/>
                <w:szCs w:val="21"/>
              </w:rPr>
            </w:pPr>
            <w:r>
              <w:rPr>
                <w:rFonts w:hint="eastAsia" w:ascii="宋体" w:hAnsi="宋体"/>
                <w:szCs w:val="21"/>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restart"/>
            <w:vAlign w:val="center"/>
          </w:tcPr>
          <w:p>
            <w:pPr>
              <w:spacing w:line="400" w:lineRule="exact"/>
              <w:jc w:val="center"/>
              <w:rPr>
                <w:rFonts w:ascii="宋体" w:hAnsi="宋体"/>
                <w:szCs w:val="21"/>
              </w:rPr>
            </w:pPr>
            <w:r>
              <w:rPr>
                <w:rFonts w:hint="eastAsia" w:ascii="宋体" w:hAnsi="宋体"/>
                <w:szCs w:val="21"/>
              </w:rPr>
              <w:t>形式评审</w:t>
            </w:r>
          </w:p>
        </w:tc>
        <w:tc>
          <w:tcPr>
            <w:tcW w:w="6333" w:type="dxa"/>
          </w:tcPr>
          <w:p>
            <w:pPr>
              <w:spacing w:line="400" w:lineRule="exact"/>
              <w:ind w:firstLine="420" w:firstLineChars="200"/>
              <w:rPr>
                <w:rFonts w:ascii="宋体" w:hAnsi="宋体"/>
                <w:szCs w:val="21"/>
              </w:rPr>
            </w:pPr>
            <w:r>
              <w:rPr>
                <w:rFonts w:hint="eastAsia" w:ascii="宋体" w:hAnsi="宋体"/>
                <w:szCs w:val="21"/>
              </w:rPr>
              <w:t>A-8投标人名称必须与营业执照、资质证书、安全生产许可证一致，依法变更名称的应提交相应证明材料，</w:t>
            </w:r>
            <w:r>
              <w:rPr>
                <w:rFonts w:ascii="宋体" w:hAnsi="宋体"/>
                <w:szCs w:val="21"/>
              </w:rPr>
              <w:t>否则</w:t>
            </w:r>
            <w:r>
              <w:rPr>
                <w:rFonts w:hint="eastAsia" w:ascii="宋体" w:hAnsi="宋体"/>
                <w:szCs w:val="21"/>
              </w:rPr>
              <w:t>由评标委员会</w:t>
            </w:r>
            <w:r>
              <w:rPr>
                <w:rFonts w:ascii="宋体" w:hAnsi="宋体"/>
                <w:szCs w:val="21"/>
              </w:rPr>
              <w:t>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A-9投标文件格式（不含投标函部分）符合第二章“投标人须知”第3.7款的要求，否则由评标委员会作否决投标处理。</w:t>
            </w:r>
          </w:p>
          <w:p>
            <w:pPr>
              <w:spacing w:line="400" w:lineRule="exact"/>
              <w:ind w:firstLine="420" w:firstLineChars="200"/>
              <w:rPr>
                <w:rFonts w:ascii="宋体" w:hAnsi="宋体"/>
                <w:szCs w:val="21"/>
              </w:rPr>
            </w:pPr>
            <w:r>
              <w:rPr>
                <w:rFonts w:hint="eastAsia" w:ascii="宋体" w:hAnsi="宋体"/>
                <w:szCs w:val="21"/>
              </w:rPr>
              <w:t>编制投标文件时不得对第八章“投标文件格式”的相应要素作实质性修改，否则视为重大偏差，由评标委员会作否决投标处理。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-10联合体参与投标的应提交联合体协议书，并明确联合体牵头人。在联合体协议书第5条联合体各成员单位内部的职责分工中填写的联合体所有成员单位名称应与其营业执照、资质证书、安全生产许可证一致，依法变更名称的应提交相应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A-11第八章 投标文件格式（不含投标函部分）要求法定代表人或其委托代理人签名（或盖章）的须齐全，要求签名的，</w:t>
            </w:r>
            <w:r>
              <w:rPr>
                <w:rFonts w:hint="eastAsia" w:ascii="宋体" w:hAnsi="宋体"/>
                <w:kern w:val="0"/>
              </w:rPr>
              <w:t>签名采用手写签名或签章或加盖CA数字证书均可，</w:t>
            </w:r>
            <w:r>
              <w:rPr>
                <w:rFonts w:hint="eastAsia" w:ascii="宋体" w:hAnsi="宋体"/>
                <w:szCs w:val="21"/>
              </w:rPr>
              <w:t>否则由评标委员会作否决投标处理。</w:t>
            </w:r>
          </w:p>
          <w:p>
            <w:pPr>
              <w:spacing w:line="400" w:lineRule="exact"/>
              <w:ind w:firstLine="420" w:firstLineChars="200"/>
              <w:rPr>
                <w:rFonts w:ascii="宋体" w:hAnsi="宋体"/>
                <w:szCs w:val="21"/>
              </w:rPr>
            </w:pPr>
            <w:r>
              <w:rPr>
                <w:rFonts w:hint="eastAsia" w:ascii="宋体" w:hAnsi="宋体"/>
                <w:szCs w:val="21"/>
              </w:rPr>
              <w:t>若投标单位为联合体，则联合体协议书中各联合体成员单位签名（或盖章）须齐全，联合体协议书以外的投标文件格式中，要求法定代表人或其委托代理人签名（或盖章）的均由联合体牵头人法定代表人或其委托代理人签名（或盖章），否则由评标委员会作否决投标处理。</w:t>
            </w:r>
          </w:p>
          <w:p>
            <w:pPr>
              <w:spacing w:line="400" w:lineRule="exact"/>
              <w:ind w:firstLine="420" w:firstLineChars="200"/>
              <w:rPr>
                <w:rFonts w:ascii="宋体" w:hAnsi="宋体"/>
                <w:szCs w:val="21"/>
              </w:rPr>
            </w:pPr>
            <w:r>
              <w:rPr>
                <w:rFonts w:hint="eastAsia" w:ascii="宋体" w:hAnsi="宋体"/>
                <w:szCs w:val="21"/>
              </w:rPr>
              <w:t>第八章 投标文件格式（不含投标函部分）要求加盖单位法人章的，应使用 CA 数字证书加盖投标人的单位电子印章，否则由评标委员会作否决投标处理。</w:t>
            </w:r>
          </w:p>
          <w:p>
            <w:pPr>
              <w:spacing w:line="400" w:lineRule="exact"/>
              <w:ind w:firstLine="420" w:firstLineChars="200"/>
              <w:rPr>
                <w:rFonts w:ascii="宋体" w:hAnsi="宋体"/>
                <w:szCs w:val="21"/>
              </w:rPr>
            </w:pPr>
            <w:r>
              <w:rPr>
                <w:rFonts w:hint="eastAsia" w:ascii="宋体" w:hAnsi="宋体"/>
                <w:szCs w:val="21"/>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A-12投标人法定代表人的委托代理人有法定代表人签署的授权委托书和投标人为其缴纳的养老保险证明材料，否则由评标委员会作否决投标处理。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restart"/>
            <w:vAlign w:val="center"/>
          </w:tcPr>
          <w:p>
            <w:pPr>
              <w:spacing w:line="400" w:lineRule="exact"/>
              <w:jc w:val="center"/>
              <w:rPr>
                <w:rFonts w:ascii="宋体" w:hAnsi="宋体"/>
                <w:szCs w:val="21"/>
              </w:rPr>
            </w:pPr>
            <w:r>
              <w:rPr>
                <w:rFonts w:hint="eastAsia" w:ascii="宋体" w:hAnsi="宋体"/>
                <w:szCs w:val="21"/>
              </w:rPr>
              <w:t>响应性评审</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A-13投标内容符合第二章“投标人须知”第1.3.1项规定，否则由评标委员会作否决投标处理。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A-14投标人应按投标人须知前附表第3.4款规定递交投标保证金，并作为其投标文件的组成部分，否则由评标委员会作否决投标处理。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A-15符合第四章“合同条款及格式”规定，投标文件不应附有招标人不能接受的条件。否则由评标委员会作否决投标处理。（由投标人承诺，承诺书格式详见第八章投标文件格式。）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A-16符合第七章“技术标准和要求”规定。否则由评标委员会作否决投标处理（如有）。（由投标人承诺，承诺书格式详见第八章投标文件格式。）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A-17投标人有以下情形之一的，其投标文件由评标委员会</w:t>
            </w:r>
            <w:r>
              <w:rPr>
                <w:rFonts w:ascii="宋体" w:hAnsi="宋体"/>
                <w:szCs w:val="21"/>
              </w:rPr>
              <w:t>作否决投标处理</w:t>
            </w:r>
            <w:r>
              <w:rPr>
                <w:rFonts w:hint="eastAsia" w:ascii="宋体" w:hAnsi="宋体"/>
                <w:szCs w:val="21"/>
              </w:rPr>
              <w:t>：</w:t>
            </w:r>
          </w:p>
          <w:p>
            <w:pPr>
              <w:spacing w:line="400" w:lineRule="exact"/>
              <w:ind w:firstLine="420" w:firstLineChars="200"/>
              <w:rPr>
                <w:rFonts w:ascii="宋体" w:hAnsi="宋体"/>
                <w:szCs w:val="21"/>
              </w:rPr>
            </w:pPr>
            <w:r>
              <w:rPr>
                <w:rFonts w:hint="eastAsia" w:ascii="宋体" w:hAnsi="宋体"/>
                <w:szCs w:val="21"/>
              </w:rPr>
              <w:t>1.第二章“投标人须知”第1.4.3项规定的任何一种情形的；</w:t>
            </w:r>
          </w:p>
          <w:p>
            <w:pPr>
              <w:spacing w:line="400" w:lineRule="exact"/>
              <w:ind w:firstLine="420" w:firstLineChars="200"/>
              <w:rPr>
                <w:rFonts w:ascii="宋体" w:hAnsi="宋体"/>
                <w:szCs w:val="21"/>
              </w:rPr>
            </w:pPr>
            <w:r>
              <w:rPr>
                <w:rFonts w:hint="eastAsia" w:ascii="宋体" w:hAnsi="宋体"/>
                <w:szCs w:val="21"/>
              </w:rPr>
              <w:t>2.本次投标有串通投标、弄虚作假等违反招投标相关法律、法规的行为的；</w:t>
            </w:r>
          </w:p>
          <w:p>
            <w:pPr>
              <w:spacing w:line="400" w:lineRule="exact"/>
              <w:ind w:firstLine="420" w:firstLineChars="200"/>
              <w:rPr>
                <w:rFonts w:ascii="宋体" w:hAnsi="宋体"/>
                <w:szCs w:val="21"/>
              </w:rPr>
            </w:pPr>
            <w:r>
              <w:rPr>
                <w:rFonts w:hint="eastAsia" w:ascii="宋体" w:hAnsi="宋体"/>
                <w:szCs w:val="21"/>
              </w:rPr>
              <w:t>3.拒绝按评标委员会要求澄清、说明或补正的。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restart"/>
            <w:vAlign w:val="center"/>
          </w:tcPr>
          <w:p>
            <w:pPr>
              <w:spacing w:line="400" w:lineRule="exact"/>
              <w:jc w:val="center"/>
              <w:rPr>
                <w:rFonts w:ascii="宋体" w:hAnsi="宋体"/>
                <w:szCs w:val="21"/>
              </w:rPr>
            </w:pPr>
            <w:r>
              <w:rPr>
                <w:rFonts w:hint="eastAsia" w:ascii="宋体" w:hAnsi="宋体"/>
                <w:szCs w:val="21"/>
              </w:rPr>
              <w:t>投标函部分及经济部分评审</w:t>
            </w:r>
          </w:p>
        </w:tc>
        <w:tc>
          <w:tcPr>
            <w:tcW w:w="6333" w:type="dxa"/>
          </w:tcPr>
          <w:p>
            <w:pPr>
              <w:spacing w:line="400" w:lineRule="exact"/>
              <w:ind w:firstLine="420" w:firstLineChars="200"/>
              <w:rPr>
                <w:rFonts w:ascii="宋体" w:hAnsi="宋体"/>
                <w:szCs w:val="21"/>
              </w:rPr>
            </w:pPr>
            <w:r>
              <w:rPr>
                <w:rFonts w:hint="eastAsia" w:ascii="宋体" w:hAnsi="宋体"/>
                <w:szCs w:val="21"/>
              </w:rPr>
              <w:t>A-18</w:t>
            </w:r>
            <w:r>
              <w:rPr>
                <w:rFonts w:hint="eastAsia" w:ascii="宋体" w:hAnsi="宋体" w:cs="宋体"/>
                <w:kern w:val="0"/>
              </w:rPr>
              <w:t>投标函部分的格式要求法定代表人或其委托代理人签名（或盖章）的须齐全，</w:t>
            </w:r>
            <w:r>
              <w:rPr>
                <w:rFonts w:hint="eastAsia" w:ascii="宋体" w:hAnsi="宋体"/>
                <w:szCs w:val="21"/>
              </w:rPr>
              <w:t>要求签名的，</w:t>
            </w:r>
            <w:r>
              <w:rPr>
                <w:rFonts w:hint="eastAsia" w:ascii="宋体" w:hAnsi="宋体"/>
                <w:kern w:val="0"/>
              </w:rPr>
              <w:t>签名采用手写签名或签章或加盖CA数字证书均可，</w:t>
            </w:r>
            <w:r>
              <w:rPr>
                <w:rFonts w:hint="eastAsia" w:ascii="宋体" w:hAnsi="宋体" w:cs="宋体"/>
                <w:kern w:val="0"/>
              </w:rPr>
              <w:t>要求加盖单位法人章的，应使用 CA 数字证书加盖投标人的单位电子印章</w:t>
            </w:r>
            <w:r>
              <w:rPr>
                <w:rFonts w:hint="eastAsia" w:ascii="宋体" w:hAnsi="宋体"/>
                <w:szCs w:val="21"/>
              </w:rPr>
              <w:t>，否则由评标委员会作否决投标处理。</w:t>
            </w:r>
          </w:p>
          <w:p>
            <w:pPr>
              <w:spacing w:line="400" w:lineRule="exact"/>
              <w:ind w:firstLine="420" w:firstLineChars="200"/>
              <w:rPr>
                <w:rFonts w:ascii="宋体" w:hAnsi="宋体"/>
                <w:i/>
                <w:szCs w:val="21"/>
              </w:rPr>
            </w:pPr>
            <w:r>
              <w:rPr>
                <w:rFonts w:hint="eastAsia" w:ascii="宋体" w:hAnsi="宋体"/>
                <w:szCs w:val="21"/>
              </w:rPr>
              <w:t>联合体投标的，投标函部分的格式中要求投标人加盖单位法人章的，均由联合体牵头人使用 CA 数字证书加盖其单位电子印章，否则由评标委员会作否决投标处理。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szCs w:val="21"/>
              </w:rPr>
              <w:t>A-19工期符合第二章“投标人须知”第1.3.2项规定，否则由评标委员会作否决投标处理。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szCs w:val="21"/>
              </w:rPr>
              <w:t>A-20工程质量符合第二章“投标人须知”第1.3.3项规定，否则由评标委员会作否决投标处理。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szCs w:val="21"/>
              </w:rPr>
              <w:t>A-21投标有效期符合第二章“投标人须知”第3.3.1项规定，否则由评标委员会作否决投标处理。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napToGrid w:val="0"/>
              <w:spacing w:line="320" w:lineRule="exact"/>
              <w:ind w:firstLine="420" w:firstLineChars="200"/>
              <w:rPr>
                <w:rFonts w:ascii="宋体" w:hAnsi="宋体"/>
                <w:i/>
                <w:szCs w:val="21"/>
              </w:rPr>
            </w:pPr>
            <w:r>
              <w:rPr>
                <w:rFonts w:hint="eastAsia" w:ascii="宋体" w:hAnsi="宋体"/>
                <w:szCs w:val="21"/>
              </w:rPr>
              <w:t>A-22. 投标函中的总报价必须与已标价工程量清单总报价一致，否则由评标委员会作否决投标处理。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napToGrid w:val="0"/>
              <w:spacing w:line="320" w:lineRule="exact"/>
              <w:ind w:firstLine="420" w:firstLineChars="200"/>
              <w:rPr>
                <w:rFonts w:ascii="宋体" w:hAnsi="宋体"/>
                <w:szCs w:val="21"/>
                <w:highlight w:val="yellow"/>
              </w:rPr>
            </w:pPr>
            <w:r>
              <w:rPr>
                <w:rFonts w:hint="eastAsia" w:ascii="宋体" w:hAnsi="宋体"/>
                <w:szCs w:val="21"/>
              </w:rPr>
              <w:t>A-23投标人的投标总报价不得超过投标总报价最高限价，否则由评标委员会作否决投标处理。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A-24只能有一个有效报价。在招标文件没有规定的情况下，不得提交选择性报价，否则由评标委员会作否决投标处理。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highlight w:val="none"/>
              </w:rPr>
            </w:pPr>
            <w:r>
              <w:rPr>
                <w:rFonts w:hint="eastAsia" w:ascii="宋体" w:hAnsi="宋体"/>
                <w:szCs w:val="21"/>
                <w:highlight w:val="none"/>
              </w:rPr>
              <w:t>A-25</w:t>
            </w:r>
            <w:r>
              <w:rPr>
                <w:rFonts w:hint="eastAsia" w:ascii="宋体" w:hAnsi="宋体"/>
                <w:kern w:val="0"/>
                <w:highlight w:val="none"/>
              </w:rPr>
              <w:t>暂定金额（暂列金）、暂估价等暂定金额必须按照招标文件给定的金额填报</w:t>
            </w:r>
            <w:r>
              <w:rPr>
                <w:rFonts w:hint="eastAsia" w:ascii="宋体" w:hAnsi="宋体"/>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i/>
                <w:szCs w:val="21"/>
                <w:highlight w:val="none"/>
              </w:rPr>
            </w:pPr>
            <w:r>
              <w:rPr>
                <w:rFonts w:hint="eastAsia" w:ascii="宋体" w:hAnsi="宋体"/>
                <w:szCs w:val="21"/>
                <w:highlight w:val="none"/>
              </w:rPr>
              <w:t>A-26投标人承诺已标价工程量清单满足第二章“投标人须知前附表”第3.2款第12条要求，如有差错则按第二章“投标人须知前附表”第3.2款第11条要求原则进行处理（或结算），承诺书格式详见第八章投标文件格式。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37" w:type="dxa"/>
            <w:vMerge w:val="continue"/>
            <w:vAlign w:val="center"/>
          </w:tcPr>
          <w:p>
            <w:pPr>
              <w:spacing w:line="400" w:lineRule="exact"/>
              <w:jc w:val="center"/>
              <w:rPr>
                <w:rFonts w:ascii="宋体" w:hAnsi="宋体"/>
                <w:szCs w:val="21"/>
              </w:rPr>
            </w:pPr>
          </w:p>
        </w:tc>
        <w:tc>
          <w:tcPr>
            <w:tcW w:w="1899"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szCs w:val="21"/>
              </w:rPr>
              <w:t>A-</w:t>
            </w:r>
            <w:r>
              <w:rPr>
                <w:rFonts w:ascii="宋体" w:hAnsi="宋体"/>
                <w:szCs w:val="21"/>
              </w:rPr>
              <w:t>2</w:t>
            </w:r>
            <w:r>
              <w:rPr>
                <w:rFonts w:hint="eastAsia" w:ascii="宋体" w:hAnsi="宋体"/>
                <w:szCs w:val="21"/>
              </w:rPr>
              <w:t>7投标报价有算术错误的，按照第三章3.评标程序第3.1.3项规定执行，否则由评标委员会作否决投标处理。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848" w:hRule="atLeast"/>
          <w:jc w:val="center"/>
        </w:trPr>
        <w:tc>
          <w:tcPr>
            <w:tcW w:w="1237" w:type="dxa"/>
            <w:vAlign w:val="center"/>
          </w:tcPr>
          <w:p>
            <w:pPr>
              <w:spacing w:line="400" w:lineRule="exact"/>
              <w:jc w:val="center"/>
              <w:rPr>
                <w:rFonts w:ascii="宋体" w:hAnsi="宋体"/>
                <w:szCs w:val="21"/>
              </w:rPr>
            </w:pPr>
            <w:r>
              <w:rPr>
                <w:rFonts w:ascii="宋体" w:hAnsi="宋体"/>
                <w:szCs w:val="21"/>
              </w:rPr>
              <w:t>其他</w:t>
            </w:r>
          </w:p>
        </w:tc>
        <w:tc>
          <w:tcPr>
            <w:tcW w:w="1899" w:type="dxa"/>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i/>
                <w:szCs w:val="21"/>
              </w:rPr>
              <w:t>[提示：招标人必须将所有否决投标条款集中罗列于此表，若无其他否决投标条款则在该条写无。]</w:t>
            </w:r>
          </w:p>
        </w:tc>
      </w:tr>
    </w:tbl>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before="340" w:after="330" w:line="360" w:lineRule="auto"/>
        <w:jc w:val="left"/>
        <w:rPr>
          <w:rFonts w:ascii="宋体" w:hAnsi="宋体"/>
          <w:kern w:val="0"/>
        </w:rPr>
      </w:pPr>
      <w:r>
        <w:rPr>
          <w:rFonts w:ascii="宋体" w:hAnsi="宋体"/>
          <w:kern w:val="0"/>
        </w:rPr>
        <w:br w:type="page"/>
      </w:r>
    </w:p>
    <w:p>
      <w:pPr>
        <w:pStyle w:val="3"/>
        <w:spacing w:line="360" w:lineRule="auto"/>
        <w:jc w:val="center"/>
        <w:rPr>
          <w:rFonts w:ascii="宋体" w:hAnsi="宋体"/>
          <w:snapToGrid w:val="0"/>
          <w:kern w:val="0"/>
        </w:rPr>
      </w:pPr>
      <w:bookmarkStart w:id="718" w:name="_Toc6571"/>
      <w:bookmarkStart w:id="719" w:name="_Toc28249"/>
      <w:bookmarkStart w:id="720" w:name="_Toc7143"/>
      <w:r>
        <w:rPr>
          <w:rFonts w:ascii="宋体" w:hAnsi="宋体"/>
          <w:snapToGrid w:val="0"/>
          <w:kern w:val="0"/>
        </w:rPr>
        <w:t xml:space="preserve">第三章 </w:t>
      </w:r>
      <w:r>
        <w:rPr>
          <w:rFonts w:hint="eastAsia" w:ascii="宋体" w:hAnsi="宋体"/>
          <w:snapToGrid w:val="0"/>
          <w:kern w:val="0"/>
        </w:rPr>
        <w:t xml:space="preserve"> </w:t>
      </w:r>
      <w:r>
        <w:rPr>
          <w:rFonts w:ascii="宋体" w:hAnsi="宋体"/>
          <w:snapToGrid w:val="0"/>
          <w:kern w:val="0"/>
        </w:rPr>
        <w:t>评标办法（</w:t>
      </w:r>
      <w:r>
        <w:rPr>
          <w:rFonts w:hint="eastAsia" w:ascii="宋体" w:hAnsi="宋体"/>
          <w:snapToGrid w:val="0"/>
          <w:kern w:val="0"/>
        </w:rPr>
        <w:t>经评审的最低投标价法</w:t>
      </w:r>
      <w:r>
        <w:rPr>
          <w:rFonts w:ascii="宋体" w:hAnsi="宋体"/>
          <w:snapToGrid w:val="0"/>
          <w:kern w:val="0"/>
        </w:rPr>
        <w:t>）</w:t>
      </w:r>
      <w:bookmarkEnd w:id="718"/>
      <w:bookmarkEnd w:id="719"/>
      <w:bookmarkEnd w:id="720"/>
    </w:p>
    <w:p>
      <w:pPr>
        <w:keepNext/>
        <w:keepLines/>
        <w:spacing w:before="100" w:after="100" w:line="360" w:lineRule="auto"/>
        <w:outlineLvl w:val="1"/>
        <w:rPr>
          <w:rFonts w:ascii="宋体" w:hAnsi="宋体"/>
          <w:b/>
          <w:sz w:val="32"/>
          <w:szCs w:val="32"/>
        </w:rPr>
      </w:pPr>
      <w:bookmarkStart w:id="721" w:name="_Toc24549"/>
      <w:bookmarkStart w:id="722" w:name="_Toc29605"/>
      <w:bookmarkStart w:id="723" w:name="_Toc24326"/>
      <w:r>
        <w:rPr>
          <w:rFonts w:hint="eastAsia" w:ascii="宋体" w:hAnsi="宋体"/>
          <w:b/>
          <w:sz w:val="32"/>
          <w:szCs w:val="32"/>
        </w:rPr>
        <w:t>评标办法前附表</w:t>
      </w:r>
      <w:bookmarkEnd w:id="721"/>
      <w:bookmarkEnd w:id="722"/>
      <w:bookmarkEnd w:id="723"/>
    </w:p>
    <w:p>
      <w:pPr>
        <w:spacing w:line="400" w:lineRule="exact"/>
        <w:ind w:firstLine="427" w:firstLineChars="196"/>
        <w:rPr>
          <w:rFonts w:ascii="宋体" w:hAnsi="宋体"/>
          <w:spacing w:val="4"/>
          <w:kern w:val="0"/>
          <w:szCs w:val="21"/>
        </w:rPr>
      </w:pPr>
      <w:bookmarkStart w:id="724" w:name="_Toc13210726"/>
      <w:r>
        <w:rPr>
          <w:rFonts w:ascii="宋体" w:hAnsi="宋体"/>
          <w:spacing w:val="4"/>
          <w:kern w:val="0"/>
          <w:szCs w:val="21"/>
        </w:rPr>
        <w:t>评标办法中的评审内容必须和投标人须知中的对应内容一致，若投标人须知中未作要求的内容，不得列入评标办法作为评定依据。</w:t>
      </w:r>
      <w:bookmarkEnd w:id="724"/>
    </w:p>
    <w:tbl>
      <w:tblPr>
        <w:tblStyle w:val="54"/>
        <w:tblW w:w="96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3"/>
        <w:gridCol w:w="1560"/>
        <w:gridCol w:w="2267"/>
        <w:gridCol w:w="46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7" w:hRule="atLeast"/>
        </w:trPr>
        <w:tc>
          <w:tcPr>
            <w:tcW w:w="1243" w:type="dxa"/>
            <w:tcBorders>
              <w:right w:val="single" w:color="auto" w:sz="4" w:space="0"/>
            </w:tcBorders>
            <w:vAlign w:val="center"/>
          </w:tcPr>
          <w:p>
            <w:pPr>
              <w:spacing w:line="400" w:lineRule="exact"/>
              <w:jc w:val="center"/>
              <w:rPr>
                <w:rFonts w:ascii="宋体" w:hAnsi="宋体"/>
                <w:b/>
                <w:kern w:val="0"/>
              </w:rPr>
            </w:pPr>
            <w:r>
              <w:rPr>
                <w:rFonts w:ascii="宋体" w:hAnsi="宋体"/>
                <w:b/>
                <w:kern w:val="0"/>
              </w:rPr>
              <w:t>条款号</w:t>
            </w:r>
          </w:p>
        </w:tc>
        <w:tc>
          <w:tcPr>
            <w:tcW w:w="1560" w:type="dxa"/>
            <w:tcBorders>
              <w:left w:val="single" w:color="auto" w:sz="4" w:space="0"/>
            </w:tcBorders>
            <w:vAlign w:val="center"/>
          </w:tcPr>
          <w:p>
            <w:pPr>
              <w:spacing w:line="400" w:lineRule="exact"/>
              <w:jc w:val="center"/>
              <w:rPr>
                <w:rFonts w:ascii="宋体" w:hAnsi="宋体"/>
                <w:b/>
                <w:kern w:val="0"/>
              </w:rPr>
            </w:pPr>
            <w:r>
              <w:rPr>
                <w:rFonts w:ascii="宋体" w:hAnsi="宋体"/>
                <w:b/>
                <w:kern w:val="0"/>
              </w:rPr>
              <w:t>评审因素</w:t>
            </w:r>
          </w:p>
        </w:tc>
        <w:tc>
          <w:tcPr>
            <w:tcW w:w="6882" w:type="dxa"/>
            <w:gridSpan w:val="2"/>
            <w:vAlign w:val="center"/>
          </w:tcPr>
          <w:p>
            <w:pPr>
              <w:spacing w:line="400" w:lineRule="exact"/>
              <w:jc w:val="center"/>
              <w:rPr>
                <w:rFonts w:ascii="宋体" w:hAnsi="宋体"/>
                <w:b/>
                <w:kern w:val="0"/>
              </w:rPr>
            </w:pPr>
            <w:r>
              <w:rPr>
                <w:rFonts w:ascii="宋体" w:hAnsi="宋体"/>
                <w:b/>
                <w:kern w:val="0"/>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42" w:hRule="atLeast"/>
        </w:trPr>
        <w:tc>
          <w:tcPr>
            <w:tcW w:w="1243" w:type="dxa"/>
            <w:tcBorders>
              <w:right w:val="single" w:color="auto" w:sz="4" w:space="0"/>
            </w:tcBorders>
            <w:vAlign w:val="center"/>
          </w:tcPr>
          <w:p>
            <w:pPr>
              <w:pStyle w:val="106"/>
              <w:spacing w:line="400" w:lineRule="exact"/>
              <w:ind w:firstLine="412"/>
              <w:rPr>
                <w:sz w:val="21"/>
                <w:szCs w:val="21"/>
              </w:rPr>
            </w:pPr>
            <w:r>
              <w:rPr>
                <w:sz w:val="21"/>
                <w:szCs w:val="21"/>
              </w:rPr>
              <w:t>1</w:t>
            </w:r>
          </w:p>
        </w:tc>
        <w:tc>
          <w:tcPr>
            <w:tcW w:w="1560" w:type="dxa"/>
            <w:tcBorders>
              <w:left w:val="single" w:color="auto" w:sz="4" w:space="0"/>
            </w:tcBorders>
            <w:vAlign w:val="center"/>
          </w:tcPr>
          <w:p>
            <w:pPr>
              <w:pStyle w:val="106"/>
              <w:spacing w:line="400" w:lineRule="exact"/>
              <w:ind w:firstLine="0" w:firstLineChars="0"/>
              <w:jc w:val="center"/>
              <w:rPr>
                <w:sz w:val="21"/>
                <w:szCs w:val="21"/>
              </w:rPr>
            </w:pPr>
            <w:r>
              <w:rPr>
                <w:rFonts w:hint="eastAsia"/>
                <w:sz w:val="21"/>
                <w:szCs w:val="21"/>
              </w:rPr>
              <w:t>评标办法</w:t>
            </w:r>
          </w:p>
        </w:tc>
        <w:tc>
          <w:tcPr>
            <w:tcW w:w="6882" w:type="dxa"/>
            <w:gridSpan w:val="2"/>
            <w:vAlign w:val="center"/>
          </w:tcPr>
          <w:p>
            <w:pPr>
              <w:spacing w:line="400" w:lineRule="exact"/>
              <w:ind w:firstLine="427" w:firstLineChars="196"/>
              <w:rPr>
                <w:rFonts w:ascii="宋体" w:hAnsi="宋体"/>
                <w:spacing w:val="4"/>
                <w:kern w:val="0"/>
                <w:szCs w:val="21"/>
              </w:rPr>
            </w:pPr>
            <w:r>
              <w:rPr>
                <w:rFonts w:hint="eastAsia" w:ascii="宋体" w:hAnsi="宋体"/>
                <w:spacing w:val="4"/>
                <w:kern w:val="0"/>
                <w:szCs w:val="21"/>
              </w:rPr>
              <w:t>本次评标采用经评审的最低投标价法，评标委员会按照本章第2.1款进行报价排序，按照本章第2.2款进行符合性审查，符合性审查合格的投标人中按报价由低到高推荐中标候选人，或根据招标人授权直接确定中标人。若出现投标人投标报价相同的，以“投标人在红名单中优先”的原则排序（联合体投标的，须联合体牵头人在红名单中），投标人是否属于红名单，以开标环节信用状况查询结果为准；投标人均在红名单中或均不在红名单中的，由评标委员会按照</w:t>
            </w:r>
            <w:r>
              <w:rPr>
                <w:rFonts w:hint="eastAsia" w:ascii="宋体" w:hAnsi="宋体"/>
                <w:spacing w:val="4"/>
                <w:kern w:val="0"/>
                <w:szCs w:val="21"/>
                <w:u w:val="single"/>
              </w:rPr>
              <w:t xml:space="preserve">         </w:t>
            </w:r>
            <w:r>
              <w:rPr>
                <w:rFonts w:hint="eastAsia" w:ascii="宋体" w:hAnsi="宋体"/>
                <w:spacing w:val="4"/>
                <w:kern w:val="0"/>
                <w:szCs w:val="21"/>
              </w:rPr>
              <w:t>原则排序。</w:t>
            </w:r>
            <w:r>
              <w:rPr>
                <w:rFonts w:hint="eastAsia" w:ascii="宋体" w:hAnsi="宋体"/>
                <w:i/>
                <w:spacing w:val="4"/>
                <w:kern w:val="0"/>
                <w:szCs w:val="21"/>
              </w:rPr>
              <w:t>[提示：由招标人事先在招标文件中按照有利于合同履行的原则确定</w:t>
            </w:r>
            <w:r>
              <w:rPr>
                <w:rFonts w:hint="eastAsia" w:asciiTheme="minorEastAsia" w:hAnsiTheme="minorEastAsia" w:eastAsiaTheme="minorEastAsia" w:cstheme="minorEastAsia"/>
                <w:i/>
                <w:spacing w:val="4"/>
                <w:kern w:val="0"/>
                <w:szCs w:val="21"/>
              </w:rPr>
              <w:t>，但不得采用抽签、摇号方式直接确定中标候选人</w:t>
            </w:r>
            <w:r>
              <w:rPr>
                <w:rFonts w:hint="eastAsia" w:ascii="宋体" w:hAnsi="宋体"/>
                <w:i/>
                <w:spacing w:val="4"/>
                <w:kern w:val="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tcBorders>
              <w:right w:val="single" w:color="auto" w:sz="4" w:space="0"/>
            </w:tcBorders>
            <w:vAlign w:val="center"/>
          </w:tcPr>
          <w:p>
            <w:pPr>
              <w:spacing w:line="400" w:lineRule="exact"/>
              <w:jc w:val="center"/>
              <w:rPr>
                <w:rFonts w:ascii="宋体" w:hAnsi="宋体"/>
                <w:kern w:val="0"/>
              </w:rPr>
            </w:pPr>
            <w:r>
              <w:rPr>
                <w:rFonts w:hint="eastAsia" w:ascii="宋体" w:hAnsi="宋体"/>
                <w:kern w:val="0"/>
              </w:rPr>
              <w:t>2.1</w:t>
            </w:r>
          </w:p>
        </w:tc>
        <w:tc>
          <w:tcPr>
            <w:tcW w:w="1560" w:type="dxa"/>
            <w:tcBorders>
              <w:left w:val="single" w:color="auto" w:sz="4" w:space="0"/>
              <w:right w:val="single" w:color="auto" w:sz="4" w:space="0"/>
            </w:tcBorders>
            <w:vAlign w:val="center"/>
          </w:tcPr>
          <w:p>
            <w:pPr>
              <w:spacing w:line="400" w:lineRule="exact"/>
              <w:jc w:val="center"/>
              <w:rPr>
                <w:rFonts w:ascii="宋体" w:hAnsi="宋体"/>
                <w:kern w:val="0"/>
              </w:rPr>
            </w:pPr>
            <w:r>
              <w:rPr>
                <w:rFonts w:ascii="宋体" w:hAnsi="宋体"/>
                <w:kern w:val="0"/>
              </w:rPr>
              <w:t>报价</w:t>
            </w:r>
            <w:r>
              <w:rPr>
                <w:rFonts w:hint="eastAsia" w:ascii="宋体" w:hAnsi="宋体"/>
                <w:kern w:val="0"/>
              </w:rPr>
              <w:t>排序</w:t>
            </w:r>
          </w:p>
        </w:tc>
        <w:tc>
          <w:tcPr>
            <w:tcW w:w="6882" w:type="dxa"/>
            <w:gridSpan w:val="2"/>
            <w:tcBorders>
              <w:left w:val="single" w:color="auto" w:sz="4" w:space="0"/>
            </w:tcBorders>
            <w:vAlign w:val="center"/>
          </w:tcPr>
          <w:p>
            <w:pPr>
              <w:spacing w:line="400" w:lineRule="exact"/>
              <w:ind w:firstLine="420" w:firstLineChars="200"/>
              <w:jc w:val="left"/>
              <w:rPr>
                <w:rFonts w:ascii="宋体" w:hAnsi="宋体"/>
                <w:kern w:val="0"/>
              </w:rPr>
            </w:pPr>
            <w:r>
              <w:rPr>
                <w:rFonts w:hint="eastAsia" w:ascii="宋体" w:hAnsi="宋体"/>
                <w:kern w:val="0"/>
              </w:rPr>
              <w:t>对报价不高于最高限价的所有投标人的投标文件，按照报价由低到高的顺序排序。需技术方案评审的，由电子评标系统对技术方案进行自动随机编号。在投标函评审前，推送给评标委员会的投标文件不得显示排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tcBorders>
              <w:right w:val="single" w:color="auto" w:sz="4" w:space="0"/>
            </w:tcBorders>
            <w:vAlign w:val="center"/>
          </w:tcPr>
          <w:p>
            <w:pPr>
              <w:spacing w:line="400" w:lineRule="exact"/>
              <w:jc w:val="center"/>
              <w:rPr>
                <w:rFonts w:ascii="宋体" w:hAnsi="宋体"/>
                <w:kern w:val="0"/>
              </w:rPr>
            </w:pPr>
            <w:r>
              <w:rPr>
                <w:rFonts w:hint="eastAsia" w:ascii="宋体" w:hAnsi="宋体"/>
                <w:kern w:val="0"/>
              </w:rPr>
              <w:t>2.2</w:t>
            </w:r>
          </w:p>
        </w:tc>
        <w:tc>
          <w:tcPr>
            <w:tcW w:w="1560" w:type="dxa"/>
            <w:tcBorders>
              <w:left w:val="single" w:color="auto" w:sz="4" w:space="0"/>
              <w:right w:val="single" w:color="auto" w:sz="4" w:space="0"/>
            </w:tcBorders>
            <w:vAlign w:val="center"/>
          </w:tcPr>
          <w:p>
            <w:pPr>
              <w:spacing w:line="400" w:lineRule="exact"/>
              <w:jc w:val="center"/>
              <w:rPr>
                <w:rFonts w:ascii="宋体" w:hAnsi="宋体"/>
                <w:kern w:val="0"/>
              </w:rPr>
            </w:pPr>
            <w:r>
              <w:rPr>
                <w:rFonts w:hint="eastAsia" w:ascii="宋体" w:hAnsi="宋体"/>
                <w:kern w:val="0"/>
              </w:rPr>
              <w:t>符合性审查</w:t>
            </w:r>
          </w:p>
        </w:tc>
        <w:tc>
          <w:tcPr>
            <w:tcW w:w="6882" w:type="dxa"/>
            <w:gridSpan w:val="2"/>
            <w:tcBorders>
              <w:left w:val="single" w:color="auto" w:sz="4" w:space="0"/>
            </w:tcBorders>
            <w:vAlign w:val="center"/>
          </w:tcPr>
          <w:p>
            <w:pPr>
              <w:spacing w:line="400" w:lineRule="exact"/>
              <w:ind w:firstLine="420" w:firstLineChars="200"/>
              <w:jc w:val="left"/>
              <w:rPr>
                <w:rFonts w:ascii="宋体" w:hAnsi="宋体"/>
                <w:kern w:val="0"/>
              </w:rPr>
            </w:pPr>
            <w:r>
              <w:rPr>
                <w:rFonts w:hint="eastAsia" w:ascii="宋体" w:hAnsi="宋体"/>
                <w:kern w:val="0"/>
              </w:rPr>
              <w:t>取报价排序前□5□6□7名（若实际投标人数量小于勾选数量，</w:t>
            </w:r>
            <w:r>
              <w:rPr>
                <w:rFonts w:hint="eastAsia" w:ascii="宋体" w:hAnsi="宋体"/>
                <w:spacing w:val="4"/>
                <w:kern w:val="0"/>
                <w:szCs w:val="21"/>
              </w:rPr>
              <w:t>则全部纳入）进行符合性审查。符合性审查内容：□技术方案评审、资格评审、形式评审、响应性评审、投标函部分及经济部分评审。符合性审查</w:t>
            </w:r>
            <w:r>
              <w:rPr>
                <w:rFonts w:hint="eastAsia" w:ascii="宋体" w:hAnsi="宋体"/>
                <w:kern w:val="0"/>
              </w:rPr>
              <w:t>合格的投标人中，报价最低的成为第一中标候选人，报价次低的成为第二中标候选人，依次类推。</w:t>
            </w:r>
          </w:p>
          <w:p>
            <w:pPr>
              <w:spacing w:line="400" w:lineRule="exact"/>
              <w:ind w:firstLine="420" w:firstLineChars="200"/>
              <w:jc w:val="left"/>
              <w:rPr>
                <w:rFonts w:ascii="宋体" w:hAnsi="宋体"/>
                <w:kern w:val="0"/>
              </w:rPr>
            </w:pPr>
            <w:r>
              <w:rPr>
                <w:rFonts w:hint="eastAsia" w:ascii="宋体" w:hAnsi="宋体"/>
                <w:i/>
                <w:kern w:val="0"/>
              </w:rPr>
              <w:t>[提示：勾选技术方案评审的，符合性审查应首先进行技术方案评审，再按照资格、形式、响应性、投标函部分及经济部分的顺序进行评审。]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restart"/>
            <w:tcBorders>
              <w:right w:val="single" w:color="auto" w:sz="4" w:space="0"/>
            </w:tcBorders>
            <w:vAlign w:val="center"/>
          </w:tcPr>
          <w:p>
            <w:pPr>
              <w:spacing w:line="400" w:lineRule="exact"/>
              <w:jc w:val="center"/>
              <w:rPr>
                <w:rFonts w:ascii="宋体" w:hAnsi="宋体"/>
                <w:kern w:val="0"/>
              </w:rPr>
            </w:pPr>
            <w:r>
              <w:rPr>
                <w:rFonts w:hint="eastAsia" w:ascii="宋体" w:hAnsi="宋体" w:cs="宋体"/>
                <w:szCs w:val="21"/>
              </w:rPr>
              <w:t>□</w:t>
            </w:r>
            <w:r>
              <w:rPr>
                <w:rFonts w:hint="eastAsia" w:ascii="宋体" w:hAnsi="宋体"/>
                <w:kern w:val="0"/>
              </w:rPr>
              <w:t>2.2.1</w:t>
            </w:r>
          </w:p>
        </w:tc>
        <w:tc>
          <w:tcPr>
            <w:tcW w:w="1560" w:type="dxa"/>
            <w:vMerge w:val="restart"/>
            <w:tcBorders>
              <w:left w:val="single" w:color="auto" w:sz="4" w:space="0"/>
              <w:right w:val="single" w:color="auto" w:sz="4" w:space="0"/>
            </w:tcBorders>
            <w:vAlign w:val="center"/>
          </w:tcPr>
          <w:p>
            <w:pPr>
              <w:spacing w:line="400" w:lineRule="exact"/>
              <w:jc w:val="center"/>
              <w:rPr>
                <w:rFonts w:ascii="宋体" w:hAnsi="宋体"/>
                <w:kern w:val="0"/>
              </w:rPr>
            </w:pPr>
            <w:r>
              <w:rPr>
                <w:rFonts w:ascii="宋体" w:hAnsi="宋体"/>
                <w:kern w:val="0"/>
              </w:rPr>
              <w:t>技术</w:t>
            </w:r>
            <w:r>
              <w:rPr>
                <w:rFonts w:hint="eastAsia" w:ascii="宋体" w:hAnsi="宋体"/>
                <w:kern w:val="0"/>
              </w:rPr>
              <w:t>方案评审</w:t>
            </w:r>
            <w:r>
              <w:rPr>
                <w:rFonts w:ascii="宋体" w:hAnsi="宋体"/>
                <w:kern w:val="0"/>
              </w:rPr>
              <w:t>标准</w:t>
            </w:r>
          </w:p>
        </w:tc>
        <w:tc>
          <w:tcPr>
            <w:tcW w:w="2267" w:type="dxa"/>
            <w:tcBorders>
              <w:left w:val="single" w:color="auto" w:sz="4" w:space="0"/>
              <w:bottom w:val="single" w:color="auto" w:sz="4" w:space="0"/>
              <w:right w:val="single" w:color="auto" w:sz="4" w:space="0"/>
            </w:tcBorders>
            <w:vAlign w:val="center"/>
          </w:tcPr>
          <w:p>
            <w:pPr>
              <w:snapToGrid w:val="0"/>
              <w:spacing w:line="400" w:lineRule="exact"/>
              <w:jc w:val="center"/>
              <w:rPr>
                <w:rFonts w:ascii="宋体" w:hAnsi="宋体" w:cs="宋体"/>
                <w:kern w:val="0"/>
              </w:rPr>
            </w:pPr>
            <w:r>
              <w:rPr>
                <w:rFonts w:hint="eastAsia"/>
              </w:rPr>
              <w:t>□</w:t>
            </w:r>
            <w:r>
              <w:rPr>
                <w:rFonts w:hint="eastAsia" w:ascii="宋体" w:hAnsi="宋体" w:cs="宋体"/>
                <w:kern w:val="0"/>
              </w:rPr>
              <w:t>技术方案形式要求</w:t>
            </w:r>
          </w:p>
          <w:p>
            <w:pPr>
              <w:snapToGrid w:val="0"/>
              <w:spacing w:line="400" w:lineRule="exact"/>
              <w:jc w:val="center"/>
              <w:rPr>
                <w:rFonts w:ascii="宋体" w:hAnsi="宋体" w:cs="宋体"/>
                <w:kern w:val="0"/>
              </w:rPr>
            </w:pPr>
            <w:r>
              <w:rPr>
                <w:rFonts w:hint="eastAsia"/>
                <w:i/>
                <w:iCs/>
              </w:rPr>
              <w:t>[提示：技术方案采用暗标评审时适用。]</w:t>
            </w:r>
          </w:p>
        </w:tc>
        <w:tc>
          <w:tcPr>
            <w:tcW w:w="4615" w:type="dxa"/>
            <w:tcBorders>
              <w:left w:val="single" w:color="auto" w:sz="4" w:space="0"/>
              <w:bottom w:val="single" w:color="auto" w:sz="4" w:space="0"/>
            </w:tcBorders>
            <w:vAlign w:val="center"/>
          </w:tcPr>
          <w:p>
            <w:pPr>
              <w:snapToGrid w:val="0"/>
              <w:spacing w:after="57" w:afterLines="10" w:line="400" w:lineRule="exact"/>
              <w:ind w:firstLine="420" w:firstLineChars="200"/>
              <w:jc w:val="left"/>
              <w:rPr>
                <w:rFonts w:ascii="宋体" w:hAnsi="宋体" w:cs="宋体"/>
                <w:kern w:val="0"/>
              </w:rPr>
            </w:pPr>
            <w:r>
              <w:rPr>
                <w:rFonts w:hint="eastAsia" w:ascii="宋体" w:hAnsi="宋体" w:cs="宋体"/>
                <w:kern w:val="0"/>
              </w:rPr>
              <w:t>是否符合第二章投标人须知前附表第3.7.5项（</w:t>
            </w:r>
            <w:r>
              <w:rPr>
                <w:rFonts w:hint="eastAsia" w:ascii="宋体" w:hAnsi="宋体" w:cs="宋体"/>
                <w:kern w:val="0"/>
                <w:lang w:val="en-US" w:eastAsia="zh-CN"/>
              </w:rPr>
              <w:t>4</w:t>
            </w:r>
            <w:r>
              <w:rPr>
                <w:rFonts w:hint="eastAsia" w:ascii="宋体" w:hAnsi="宋体" w:cs="宋体"/>
                <w:kern w:val="0"/>
              </w:rPr>
              <w:t>）技术部分的要求：符合/不符合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sym w:font="Wingdings 2" w:char="00A3"/>
            </w:r>
            <w:r>
              <w:rPr>
                <w:rFonts w:hint="eastAsia" w:ascii="宋体" w:hAnsi="宋体" w:cs="宋体"/>
                <w:szCs w:val="21"/>
                <w:u w:val="single"/>
              </w:rPr>
              <w:t>施工组织管理</w:t>
            </w:r>
          </w:p>
        </w:tc>
        <w:tc>
          <w:tcPr>
            <w:tcW w:w="4615" w:type="dxa"/>
            <w:vMerge w:val="restart"/>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评标委员会对投标人递交的技术方案进行综合性评审，综合评判是否满足本工程需求：满足/不满足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施工总平面布置</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施工方法和技术措施</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监测预警及应急抢险措施方案</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66"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质量保证体系和质量保证措施</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施工网络进度计划及保证工期的措施</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施工机械设备配置</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安全文明施工保证措施</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hint="eastAsia" w:ascii="宋体" w:hAnsi="宋体" w:cs="宋体"/>
                <w:szCs w:val="21"/>
                <w:u w:val="single"/>
              </w:rPr>
              <w:t>变更应对措施</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tcPr>
          <w:p>
            <w:pPr>
              <w:snapToGrid w:val="0"/>
              <w:spacing w:line="400" w:lineRule="exact"/>
              <w:jc w:val="left"/>
              <w:rPr>
                <w:rFonts w:ascii="宋体" w:hAnsi="宋体" w:cs="宋体"/>
                <w:kern w:val="0"/>
              </w:rPr>
            </w:pPr>
            <w:r>
              <w:rPr>
                <w:rFonts w:hint="eastAsia" w:ascii="宋体" w:hAnsi="宋体" w:cs="宋体"/>
                <w:kern w:val="0"/>
              </w:rPr>
              <w:t>□</w:t>
            </w:r>
            <w:r>
              <w:rPr>
                <w:rFonts w:ascii="宋体" w:hAnsi="宋体" w:cs="宋体"/>
                <w:kern w:val="0"/>
              </w:rPr>
              <w:t>……</w:t>
            </w:r>
          </w:p>
        </w:tc>
        <w:tc>
          <w:tcPr>
            <w:tcW w:w="4615" w:type="dxa"/>
            <w:vMerge w:val="continue"/>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restart"/>
            <w:tcBorders>
              <w:right w:val="single" w:color="auto" w:sz="4" w:space="0"/>
            </w:tcBorders>
            <w:vAlign w:val="center"/>
          </w:tcPr>
          <w:p>
            <w:pPr>
              <w:spacing w:line="400" w:lineRule="exact"/>
              <w:jc w:val="center"/>
              <w:rPr>
                <w:rFonts w:ascii="宋体" w:hAnsi="宋体" w:cs="宋体"/>
                <w:szCs w:val="21"/>
              </w:rPr>
            </w:pPr>
            <w:r>
              <w:rPr>
                <w:rFonts w:hint="eastAsia" w:ascii="宋体" w:hAnsi="宋体" w:cs="宋体"/>
                <w:szCs w:val="21"/>
              </w:rPr>
              <w:t>2.2.2</w:t>
            </w:r>
          </w:p>
        </w:tc>
        <w:tc>
          <w:tcPr>
            <w:tcW w:w="1560" w:type="dxa"/>
            <w:vMerge w:val="restart"/>
            <w:tcBorders>
              <w:left w:val="single" w:color="auto" w:sz="4" w:space="0"/>
              <w:right w:val="single" w:color="auto" w:sz="4" w:space="0"/>
            </w:tcBorders>
            <w:vAlign w:val="center"/>
          </w:tcPr>
          <w:p>
            <w:pPr>
              <w:spacing w:line="400" w:lineRule="exact"/>
              <w:jc w:val="center"/>
              <w:rPr>
                <w:rFonts w:ascii="宋体" w:hAnsi="宋体"/>
                <w:kern w:val="0"/>
              </w:rPr>
            </w:pPr>
            <w:r>
              <w:rPr>
                <w:rFonts w:hint="eastAsia" w:ascii="宋体" w:hAnsi="宋体"/>
                <w:kern w:val="0"/>
              </w:rPr>
              <w:t>资格评审标准</w:t>
            </w: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资质条件</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营业执照</w:t>
            </w:r>
          </w:p>
        </w:tc>
        <w:tc>
          <w:tcPr>
            <w:tcW w:w="4615" w:type="dxa"/>
            <w:tcBorders>
              <w:top w:val="single" w:color="auto" w:sz="4" w:space="0"/>
              <w:left w:val="single" w:color="auto" w:sz="4" w:space="0"/>
            </w:tcBorders>
            <w:vAlign w:val="center"/>
          </w:tcPr>
          <w:p>
            <w:pPr>
              <w:snapToGrid w:val="0"/>
              <w:spacing w:after="144" w:afterLines="25"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安全生产条件</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□财务要求</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after="144" w:afterLines="25" w:line="400" w:lineRule="exact"/>
              <w:jc w:val="left"/>
              <w:rPr>
                <w:rFonts w:ascii="宋体" w:hAnsi="宋体" w:cs="宋体"/>
                <w:kern w:val="0"/>
              </w:rPr>
            </w:pPr>
            <w:r>
              <w:rPr>
                <w:rFonts w:hint="eastAsia" w:ascii="宋体" w:hAnsi="宋体" w:cs="宋体"/>
                <w:kern w:val="0"/>
              </w:rPr>
              <w:t>□业绩要求</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after="144" w:afterLines="25" w:line="400" w:lineRule="exact"/>
              <w:jc w:val="left"/>
              <w:rPr>
                <w:rFonts w:ascii="宋体" w:hAnsi="宋体" w:cs="宋体"/>
                <w:kern w:val="0"/>
              </w:rPr>
            </w:pPr>
            <w:r>
              <w:rPr>
                <w:rFonts w:hint="eastAsia" w:ascii="宋体" w:hAnsi="宋体" w:cs="宋体"/>
                <w:szCs w:val="21"/>
              </w:rPr>
              <w:t>投标截止日投标资格情况</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项目经理资格要求</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其他要求</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u w:val="single"/>
              </w:rPr>
            </w:pPr>
            <w:r>
              <w:rPr>
                <w:rFonts w:hint="eastAsia" w:ascii="宋体" w:hAnsi="宋体" w:cs="宋体"/>
                <w:kern w:val="0"/>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0" w:hRule="atLeast"/>
        </w:trPr>
        <w:tc>
          <w:tcPr>
            <w:tcW w:w="1243" w:type="dxa"/>
            <w:vMerge w:val="continue"/>
            <w:tcBorders>
              <w:right w:val="single" w:color="auto" w:sz="4" w:space="0"/>
            </w:tcBorders>
            <w:vAlign w:val="center"/>
          </w:tcPr>
          <w:p>
            <w:pPr>
              <w:spacing w:line="400" w:lineRule="exact"/>
              <w:jc w:val="center"/>
              <w:rPr>
                <w:rFonts w:ascii="宋体" w:hAnsi="宋体" w:cs="宋体"/>
                <w:szCs w:val="21"/>
              </w:rPr>
            </w:pPr>
          </w:p>
        </w:tc>
        <w:tc>
          <w:tcPr>
            <w:tcW w:w="1560" w:type="dxa"/>
            <w:vMerge w:val="continue"/>
            <w:tcBorders>
              <w:left w:val="single" w:color="auto" w:sz="4" w:space="0"/>
              <w:right w:val="single" w:color="auto" w:sz="4" w:space="0"/>
            </w:tcBorders>
            <w:vAlign w:val="center"/>
          </w:tcPr>
          <w:p>
            <w:pPr>
              <w:spacing w:line="400" w:lineRule="exact"/>
              <w:jc w:val="center"/>
              <w:rPr>
                <w:rFonts w:ascii="宋体" w:hAnsi="宋体"/>
                <w:kern w:val="0"/>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□联合体投标人</w:t>
            </w:r>
          </w:p>
        </w:tc>
        <w:tc>
          <w:tcPr>
            <w:tcW w:w="4615" w:type="dxa"/>
            <w:tcBorders>
              <w:top w:val="single" w:color="auto" w:sz="4" w:space="0"/>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符合第二章“投标人须知”第1.4.2项规定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restart"/>
            <w:tcBorders>
              <w:right w:val="single" w:color="auto" w:sz="4" w:space="0"/>
            </w:tcBorders>
            <w:vAlign w:val="center"/>
          </w:tcPr>
          <w:p>
            <w:pPr>
              <w:spacing w:line="400" w:lineRule="exact"/>
              <w:jc w:val="center"/>
              <w:rPr>
                <w:rFonts w:ascii="宋体" w:hAnsi="宋体"/>
                <w:kern w:val="0"/>
              </w:rPr>
            </w:pPr>
            <w:r>
              <w:rPr>
                <w:rFonts w:ascii="宋体" w:hAnsi="宋体"/>
                <w:kern w:val="0"/>
              </w:rPr>
              <w:t>2.</w:t>
            </w:r>
            <w:r>
              <w:rPr>
                <w:rFonts w:hint="eastAsia" w:ascii="宋体" w:hAnsi="宋体"/>
                <w:kern w:val="0"/>
              </w:rPr>
              <w:t>2</w:t>
            </w:r>
            <w:r>
              <w:rPr>
                <w:rFonts w:ascii="宋体" w:hAnsi="宋体"/>
                <w:kern w:val="0"/>
              </w:rPr>
              <w:t>.</w:t>
            </w:r>
            <w:r>
              <w:rPr>
                <w:rFonts w:hint="eastAsia" w:ascii="宋体" w:hAnsi="宋体"/>
                <w:kern w:val="0"/>
              </w:rPr>
              <w:t>3</w:t>
            </w:r>
          </w:p>
        </w:tc>
        <w:tc>
          <w:tcPr>
            <w:tcW w:w="1560" w:type="dxa"/>
            <w:vMerge w:val="restart"/>
            <w:tcBorders>
              <w:left w:val="single" w:color="auto" w:sz="4" w:space="0"/>
            </w:tcBorders>
            <w:vAlign w:val="center"/>
          </w:tcPr>
          <w:p>
            <w:pPr>
              <w:spacing w:line="400" w:lineRule="exact"/>
              <w:jc w:val="center"/>
              <w:rPr>
                <w:rFonts w:ascii="宋体" w:hAnsi="宋体"/>
                <w:kern w:val="0"/>
              </w:rPr>
            </w:pPr>
            <w:r>
              <w:rPr>
                <w:rFonts w:hint="eastAsia" w:ascii="宋体" w:hAnsi="宋体"/>
                <w:kern w:val="0"/>
              </w:rPr>
              <w:t>形式评审标准</w:t>
            </w: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投标人名称</w:t>
            </w:r>
          </w:p>
        </w:tc>
        <w:tc>
          <w:tcPr>
            <w:tcW w:w="4615" w:type="dxa"/>
            <w:tcBorders>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与营业执照、资质证书、安全生产许可证一致，依法变更名称的应提交相应证明材料。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b/>
                <w:kern w:val="0"/>
              </w:rPr>
            </w:pPr>
          </w:p>
        </w:tc>
        <w:tc>
          <w:tcPr>
            <w:tcW w:w="1560" w:type="dxa"/>
            <w:vMerge w:val="continue"/>
            <w:tcBorders>
              <w:left w:val="single" w:color="auto" w:sz="4" w:space="0"/>
            </w:tcBorders>
            <w:vAlign w:val="center"/>
          </w:tcPr>
          <w:p>
            <w:pPr>
              <w:spacing w:line="400" w:lineRule="exact"/>
              <w:jc w:val="center"/>
              <w:rPr>
                <w:rFonts w:ascii="宋体" w:hAnsi="宋体"/>
                <w:b/>
                <w:kern w:val="0"/>
              </w:rPr>
            </w:pP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投标文件格式</w:t>
            </w:r>
          </w:p>
        </w:tc>
        <w:tc>
          <w:tcPr>
            <w:tcW w:w="4615" w:type="dxa"/>
            <w:tcBorders>
              <w:left w:val="single" w:color="auto" w:sz="4" w:space="0"/>
            </w:tcBorders>
            <w:vAlign w:val="center"/>
          </w:tcPr>
          <w:p>
            <w:pPr>
              <w:snapToGrid w:val="0"/>
              <w:spacing w:line="400" w:lineRule="exact"/>
              <w:ind w:firstLine="380" w:firstLineChars="181"/>
              <w:rPr>
                <w:rFonts w:ascii="宋体" w:hAnsi="宋体" w:cs="宋体"/>
                <w:kern w:val="0"/>
              </w:rPr>
            </w:pPr>
            <w:r>
              <w:rPr>
                <w:rFonts w:hint="eastAsia" w:ascii="宋体" w:hAnsi="宋体" w:cs="宋体"/>
                <w:kern w:val="0"/>
              </w:rPr>
              <w:t>符合第二章“投标人须知”第3.7款的要求（不含投标函部分）。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b/>
                <w:kern w:val="0"/>
              </w:rPr>
            </w:pPr>
          </w:p>
        </w:tc>
        <w:tc>
          <w:tcPr>
            <w:tcW w:w="1560" w:type="dxa"/>
            <w:vMerge w:val="continue"/>
            <w:tcBorders>
              <w:left w:val="single" w:color="auto" w:sz="4" w:space="0"/>
            </w:tcBorders>
            <w:vAlign w:val="center"/>
          </w:tcPr>
          <w:p>
            <w:pPr>
              <w:spacing w:line="400" w:lineRule="exact"/>
              <w:jc w:val="center"/>
              <w:rPr>
                <w:rFonts w:ascii="宋体" w:hAnsi="宋体"/>
                <w:b/>
                <w:kern w:val="0"/>
              </w:rPr>
            </w:pP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□联合体投标人</w:t>
            </w:r>
          </w:p>
        </w:tc>
        <w:tc>
          <w:tcPr>
            <w:tcW w:w="4615" w:type="dxa"/>
            <w:tcBorders>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提交联合体协议书，并明确联合体牵头人。在联合体协议书第5条联合体各成员单位内部的职责分工中填写的联合体所有成员单位名称应与其营业执照、资质证书、安全生产许可证一致，依法变更名称的应提交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b/>
                <w:kern w:val="0"/>
              </w:rPr>
            </w:pPr>
          </w:p>
        </w:tc>
        <w:tc>
          <w:tcPr>
            <w:tcW w:w="1560" w:type="dxa"/>
            <w:vMerge w:val="continue"/>
            <w:tcBorders>
              <w:left w:val="single" w:color="auto" w:sz="4" w:space="0"/>
            </w:tcBorders>
            <w:vAlign w:val="center"/>
          </w:tcPr>
          <w:p>
            <w:pPr>
              <w:spacing w:line="400" w:lineRule="exact"/>
              <w:jc w:val="center"/>
              <w:rPr>
                <w:rFonts w:ascii="宋体" w:hAnsi="宋体"/>
                <w:b/>
                <w:kern w:val="0"/>
              </w:rPr>
            </w:pP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投标文件的签署</w:t>
            </w:r>
          </w:p>
        </w:tc>
        <w:tc>
          <w:tcPr>
            <w:tcW w:w="4615" w:type="dxa"/>
            <w:tcBorders>
              <w:left w:val="single" w:color="auto" w:sz="4" w:space="0"/>
            </w:tcBorders>
            <w:vAlign w:val="center"/>
          </w:tcPr>
          <w:p>
            <w:pPr>
              <w:autoSpaceDE w:val="0"/>
              <w:autoSpaceDN w:val="0"/>
              <w:adjustRightInd w:val="0"/>
              <w:snapToGrid w:val="0"/>
              <w:spacing w:line="400" w:lineRule="exact"/>
              <w:ind w:firstLine="420" w:firstLineChars="200"/>
              <w:rPr>
                <w:rFonts w:ascii="宋体" w:hAnsi="宋体" w:cs="宋体"/>
                <w:kern w:val="0"/>
              </w:rPr>
            </w:pPr>
            <w:r>
              <w:rPr>
                <w:rFonts w:hint="eastAsia" w:ascii="宋体" w:hAnsi="宋体" w:cs="宋体"/>
                <w:kern w:val="0"/>
              </w:rPr>
              <w:t>第八章 投标文件格式（不含投标函部分）要求法定代表人或其委托代理人签名（或盖章）的须齐全</w:t>
            </w:r>
            <w:r>
              <w:rPr>
                <w:rFonts w:hint="eastAsia" w:asciiTheme="minorEastAsia" w:hAnsiTheme="minorEastAsia" w:eastAsiaTheme="minorEastAsia" w:cstheme="minorEastAsia"/>
                <w:kern w:val="0"/>
              </w:rPr>
              <w:t>，</w:t>
            </w:r>
            <w:r>
              <w:rPr>
                <w:rFonts w:hint="eastAsia" w:asciiTheme="minorEastAsia" w:hAnsiTheme="minorEastAsia" w:eastAsiaTheme="minorEastAsia" w:cstheme="minorEastAsia"/>
                <w:szCs w:val="21"/>
              </w:rPr>
              <w:t>要求签名的，</w:t>
            </w:r>
            <w:r>
              <w:rPr>
                <w:rFonts w:hint="eastAsia" w:asciiTheme="minorEastAsia" w:hAnsiTheme="minorEastAsia" w:eastAsiaTheme="minorEastAsia" w:cstheme="minorEastAsia"/>
                <w:kern w:val="0"/>
              </w:rPr>
              <w:t>签名采用手写签名或签章或加盖CA数字证书均可</w:t>
            </w:r>
            <w:r>
              <w:rPr>
                <w:rFonts w:hint="eastAsia" w:ascii="宋体" w:hAnsi="宋体" w:cs="宋体"/>
                <w:kern w:val="0"/>
              </w:rPr>
              <w:t>。</w:t>
            </w:r>
          </w:p>
          <w:p>
            <w:pPr>
              <w:autoSpaceDE w:val="0"/>
              <w:autoSpaceDN w:val="0"/>
              <w:adjustRightInd w:val="0"/>
              <w:snapToGrid w:val="0"/>
              <w:spacing w:line="400" w:lineRule="exact"/>
              <w:ind w:firstLine="420" w:firstLineChars="200"/>
              <w:rPr>
                <w:rFonts w:ascii="宋体" w:hAnsi="宋体" w:cs="宋体"/>
                <w:kern w:val="0"/>
              </w:rPr>
            </w:pPr>
            <w:r>
              <w:rPr>
                <w:rFonts w:hint="eastAsia" w:ascii="宋体" w:hAnsi="宋体" w:cs="宋体"/>
                <w:snapToGrid w:val="0"/>
                <w:kern w:val="0"/>
                <w:szCs w:val="21"/>
              </w:rPr>
              <w:t>若投标单位为联合体，则联合体协议书中各联合体成员单位签名（或盖章）须齐全，联合体协议书以外的</w:t>
            </w:r>
            <w:r>
              <w:rPr>
                <w:rFonts w:hint="eastAsia" w:ascii="宋体" w:hAnsi="宋体" w:cs="宋体"/>
                <w:kern w:val="0"/>
              </w:rPr>
              <w:t>投标文件格式中，要求法定代表人或其委托代理人签名（或盖章）的均由联合体牵头人法定代表人或其委托代理人签名（或盖章）。</w:t>
            </w:r>
          </w:p>
          <w:p>
            <w:pPr>
              <w:autoSpaceDE w:val="0"/>
              <w:autoSpaceDN w:val="0"/>
              <w:adjustRightInd w:val="0"/>
              <w:snapToGrid w:val="0"/>
              <w:spacing w:line="400" w:lineRule="exact"/>
              <w:ind w:firstLine="420" w:firstLineChars="200"/>
              <w:rPr>
                <w:rFonts w:ascii="宋体" w:hAnsi="宋体" w:cs="宋体"/>
                <w:kern w:val="0"/>
              </w:rPr>
            </w:pPr>
            <w:r>
              <w:rPr>
                <w:rFonts w:hint="eastAsia" w:ascii="宋体" w:hAnsi="宋体" w:cs="宋体"/>
                <w:kern w:val="0"/>
              </w:rPr>
              <w:t>第八章 投标文件格式（不含投标函部分）要求加盖单位法人章的，应使用 CA 数字证书加盖投标人的单位电子印章。</w:t>
            </w:r>
          </w:p>
          <w:p>
            <w:pPr>
              <w:autoSpaceDE w:val="0"/>
              <w:autoSpaceDN w:val="0"/>
              <w:adjustRightInd w:val="0"/>
              <w:snapToGrid w:val="0"/>
              <w:spacing w:line="400" w:lineRule="exact"/>
              <w:ind w:firstLine="420" w:firstLineChars="200"/>
              <w:rPr>
                <w:rFonts w:ascii="宋体" w:hAnsi="宋体" w:cs="宋体"/>
                <w:kern w:val="0"/>
              </w:rPr>
            </w:pPr>
            <w:r>
              <w:rPr>
                <w:rFonts w:hint="eastAsia" w:ascii="宋体" w:hAnsi="宋体" w:cs="宋体"/>
                <w:kern w:val="0"/>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b/>
                <w:kern w:val="0"/>
              </w:rPr>
            </w:pPr>
          </w:p>
        </w:tc>
        <w:tc>
          <w:tcPr>
            <w:tcW w:w="1560" w:type="dxa"/>
            <w:vMerge w:val="continue"/>
            <w:tcBorders>
              <w:left w:val="single" w:color="auto" w:sz="4" w:space="0"/>
            </w:tcBorders>
            <w:vAlign w:val="center"/>
          </w:tcPr>
          <w:p>
            <w:pPr>
              <w:spacing w:line="400" w:lineRule="exact"/>
              <w:jc w:val="center"/>
              <w:rPr>
                <w:rFonts w:ascii="宋体" w:hAnsi="宋体"/>
                <w:b/>
                <w:kern w:val="0"/>
              </w:rPr>
            </w:pP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委托代理人</w:t>
            </w:r>
          </w:p>
        </w:tc>
        <w:tc>
          <w:tcPr>
            <w:tcW w:w="4615" w:type="dxa"/>
            <w:tcBorders>
              <w:left w:val="single" w:color="auto" w:sz="4" w:space="0"/>
            </w:tcBorders>
            <w:vAlign w:val="center"/>
          </w:tcPr>
          <w:p>
            <w:pPr>
              <w:snapToGrid w:val="0"/>
              <w:spacing w:after="144" w:afterLines="25" w:line="400" w:lineRule="exact"/>
              <w:ind w:firstLine="420" w:firstLineChars="200"/>
              <w:rPr>
                <w:rFonts w:ascii="宋体" w:hAnsi="宋体" w:cs="宋体"/>
                <w:kern w:val="0"/>
              </w:rPr>
            </w:pPr>
            <w:r>
              <w:rPr>
                <w:rFonts w:hint="eastAsia" w:ascii="宋体" w:hAnsi="宋体" w:cs="宋体"/>
                <w:kern w:val="0"/>
              </w:rPr>
              <w:t>投标人法定代表人的委托代理人有法定代表人签署的授权委托书和投标人为其缴纳的养老保险。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restart"/>
            <w:tcBorders>
              <w:top w:val="single" w:color="auto" w:sz="4" w:space="0"/>
              <w:right w:val="single" w:color="auto" w:sz="4" w:space="0"/>
            </w:tcBorders>
            <w:vAlign w:val="center"/>
          </w:tcPr>
          <w:p>
            <w:pPr>
              <w:spacing w:line="400" w:lineRule="exact"/>
              <w:jc w:val="center"/>
              <w:rPr>
                <w:rFonts w:ascii="宋体" w:hAnsi="宋体"/>
                <w:kern w:val="0"/>
              </w:rPr>
            </w:pPr>
            <w:r>
              <w:rPr>
                <w:rFonts w:hint="eastAsia" w:ascii="宋体" w:hAnsi="宋体"/>
                <w:kern w:val="0"/>
              </w:rPr>
              <w:t>2.2.4</w:t>
            </w:r>
          </w:p>
        </w:tc>
        <w:tc>
          <w:tcPr>
            <w:tcW w:w="1560" w:type="dxa"/>
            <w:vMerge w:val="restart"/>
            <w:tcBorders>
              <w:top w:val="single" w:color="auto" w:sz="4" w:space="0"/>
              <w:left w:val="single" w:color="auto" w:sz="4" w:space="0"/>
            </w:tcBorders>
            <w:vAlign w:val="center"/>
          </w:tcPr>
          <w:p>
            <w:pPr>
              <w:spacing w:line="400" w:lineRule="exact"/>
              <w:jc w:val="center"/>
              <w:rPr>
                <w:rFonts w:ascii="宋体" w:hAnsi="宋体"/>
                <w:kern w:val="0"/>
              </w:rPr>
            </w:pPr>
            <w:r>
              <w:rPr>
                <w:rFonts w:ascii="宋体" w:hAnsi="宋体"/>
                <w:kern w:val="0"/>
              </w:rPr>
              <w:t>响应性评审标准</w:t>
            </w: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投标内容</w:t>
            </w:r>
          </w:p>
        </w:tc>
        <w:tc>
          <w:tcPr>
            <w:tcW w:w="4615" w:type="dxa"/>
            <w:tcBorders>
              <w:left w:val="single" w:color="auto" w:sz="4" w:space="0"/>
            </w:tcBorders>
            <w:vAlign w:val="center"/>
          </w:tcPr>
          <w:p>
            <w:pPr>
              <w:snapToGrid w:val="0"/>
              <w:spacing w:line="400" w:lineRule="exact"/>
              <w:ind w:firstLine="420" w:firstLineChars="200"/>
              <w:rPr>
                <w:rFonts w:ascii="宋体" w:hAnsi="宋体" w:cs="宋体"/>
                <w:kern w:val="0"/>
              </w:rPr>
            </w:pPr>
            <w:r>
              <w:rPr>
                <w:rFonts w:hint="eastAsia" w:ascii="宋体" w:hAnsi="宋体" w:cs="宋体"/>
                <w:kern w:val="0"/>
              </w:rPr>
              <w:t>符合第二章“投标人须知”第1.3.1项规定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pacing w:line="400" w:lineRule="exact"/>
              <w:jc w:val="left"/>
              <w:rPr>
                <w:rFonts w:ascii="宋体" w:hAnsi="宋体" w:cs="宋体"/>
                <w:kern w:val="0"/>
              </w:rPr>
            </w:pPr>
            <w:r>
              <w:rPr>
                <w:rFonts w:hint="eastAsia" w:ascii="宋体" w:hAnsi="宋体" w:cs="宋体"/>
                <w:kern w:val="0"/>
              </w:rPr>
              <w:t>投标保证金</w:t>
            </w:r>
          </w:p>
        </w:tc>
        <w:tc>
          <w:tcPr>
            <w:tcW w:w="4615" w:type="dxa"/>
            <w:tcBorders>
              <w:left w:val="single" w:color="auto" w:sz="4" w:space="0"/>
            </w:tcBorders>
            <w:vAlign w:val="center"/>
          </w:tcPr>
          <w:p>
            <w:pPr>
              <w:tabs>
                <w:tab w:val="left" w:pos="611"/>
                <w:tab w:val="left" w:pos="669"/>
              </w:tabs>
              <w:snapToGrid w:val="0"/>
              <w:spacing w:line="400" w:lineRule="exact"/>
              <w:ind w:firstLine="420" w:firstLineChars="200"/>
              <w:rPr>
                <w:rFonts w:ascii="宋体" w:hAnsi="宋体" w:cs="宋体"/>
                <w:kern w:val="0"/>
              </w:rPr>
            </w:pPr>
            <w:r>
              <w:rPr>
                <w:rFonts w:hint="eastAsia" w:ascii="宋体" w:hAnsi="宋体" w:cs="宋体"/>
                <w:kern w:val="0"/>
              </w:rPr>
              <w:t>符合第二章“投标人须知前附表”第3.4款规定。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权利义务</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符合第四章“合同条款及格式”规定，投标文件不应附有招标人不能接受的条件。（由投标人承诺，承诺书格式详见第八章投标文件格式。）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技术标准和要求</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符合第七章“技术标准和要求”规定。（由投标人承诺，承诺书格式详见第八章投标文件格式。）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bottom w:val="single" w:color="auto" w:sz="4" w:space="0"/>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bottom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实质性要求</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符合第二章“投标人须知”第1.4.3项规定。</w:t>
            </w:r>
          </w:p>
          <w:p>
            <w:pPr>
              <w:snapToGrid w:val="0"/>
              <w:spacing w:after="57" w:afterLines="10" w:line="400" w:lineRule="exact"/>
              <w:ind w:firstLine="420" w:firstLineChars="200"/>
              <w:rPr>
                <w:rFonts w:ascii="宋体" w:hAnsi="宋体" w:cs="宋体"/>
                <w:kern w:val="0"/>
              </w:rPr>
            </w:pPr>
            <w:r>
              <w:rPr>
                <w:rFonts w:hint="eastAsia" w:ascii="宋体" w:hAnsi="宋体" w:cs="宋体"/>
                <w:kern w:val="0"/>
              </w:rPr>
              <w:t>本次投标不得有串通投标、弄虚作假等其他违反招投标相关法律、法规行为。</w:t>
            </w:r>
          </w:p>
          <w:p>
            <w:pPr>
              <w:snapToGrid w:val="0"/>
              <w:spacing w:after="57" w:afterLines="10" w:line="400" w:lineRule="exact"/>
              <w:ind w:firstLine="420" w:firstLineChars="200"/>
              <w:rPr>
                <w:rFonts w:ascii="宋体" w:hAnsi="宋体" w:cs="宋体"/>
                <w:kern w:val="0"/>
              </w:rPr>
            </w:pPr>
            <w:r>
              <w:rPr>
                <w:rFonts w:hint="eastAsia" w:ascii="宋体" w:hAnsi="宋体" w:cs="宋体"/>
                <w:kern w:val="0"/>
              </w:rPr>
              <w:t>按评标委员会要求澄清、说明或补正。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restart"/>
            <w:tcBorders>
              <w:top w:val="single" w:color="auto" w:sz="4" w:space="0"/>
              <w:right w:val="single" w:color="auto" w:sz="4" w:space="0"/>
            </w:tcBorders>
            <w:vAlign w:val="center"/>
          </w:tcPr>
          <w:p>
            <w:pPr>
              <w:spacing w:line="400" w:lineRule="exact"/>
              <w:jc w:val="center"/>
              <w:rPr>
                <w:rFonts w:ascii="宋体" w:hAnsi="宋体"/>
                <w:kern w:val="0"/>
              </w:rPr>
            </w:pPr>
            <w:r>
              <w:rPr>
                <w:rFonts w:hint="eastAsia" w:ascii="宋体" w:hAnsi="宋体"/>
                <w:kern w:val="0"/>
              </w:rPr>
              <w:t>2.2.5</w:t>
            </w:r>
          </w:p>
        </w:tc>
        <w:tc>
          <w:tcPr>
            <w:tcW w:w="1560" w:type="dxa"/>
            <w:vMerge w:val="restart"/>
            <w:tcBorders>
              <w:top w:val="single" w:color="auto" w:sz="4" w:space="0"/>
              <w:left w:val="single" w:color="auto" w:sz="4" w:space="0"/>
            </w:tcBorders>
            <w:vAlign w:val="center"/>
          </w:tcPr>
          <w:p>
            <w:pPr>
              <w:spacing w:line="400" w:lineRule="exact"/>
              <w:jc w:val="center"/>
              <w:rPr>
                <w:rFonts w:ascii="宋体" w:hAnsi="宋体"/>
                <w:kern w:val="0"/>
              </w:rPr>
            </w:pPr>
            <w:r>
              <w:rPr>
                <w:rFonts w:hint="eastAsia" w:ascii="宋体" w:hAnsi="宋体"/>
                <w:kern w:val="0"/>
              </w:rPr>
              <w:t>投标函部分及经济部分评审标准</w:t>
            </w: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投标函部分的签名盖章</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投标函部分的格式要求法定代表人或其委托代理人签名（或盖章）的须齐全，</w:t>
            </w:r>
            <w:r>
              <w:rPr>
                <w:rFonts w:hint="eastAsia" w:asciiTheme="minorEastAsia" w:hAnsiTheme="minorEastAsia" w:eastAsiaTheme="minorEastAsia" w:cstheme="minorEastAsia"/>
                <w:szCs w:val="21"/>
              </w:rPr>
              <w:t>要求签名的，</w:t>
            </w:r>
            <w:r>
              <w:rPr>
                <w:rFonts w:hint="eastAsia" w:asciiTheme="minorEastAsia" w:hAnsiTheme="minorEastAsia" w:eastAsiaTheme="minorEastAsia" w:cstheme="minorEastAsia"/>
                <w:kern w:val="0"/>
              </w:rPr>
              <w:t>签名采用手写签名或签章或加盖CA数字证书均可，</w:t>
            </w:r>
            <w:r>
              <w:rPr>
                <w:rFonts w:hint="eastAsia" w:ascii="宋体" w:hAnsi="宋体" w:cs="宋体"/>
                <w:kern w:val="0"/>
              </w:rPr>
              <w:t>要求加盖单位法人章的，应使用 CA 数字证书加盖投标人的单位电子印章。</w:t>
            </w:r>
          </w:p>
          <w:p>
            <w:pPr>
              <w:snapToGrid w:val="0"/>
              <w:spacing w:after="57" w:afterLines="10" w:line="400" w:lineRule="exact"/>
              <w:ind w:firstLine="420" w:firstLineChars="200"/>
              <w:rPr>
                <w:rFonts w:ascii="宋体" w:hAnsi="宋体" w:cs="宋体"/>
                <w:kern w:val="0"/>
              </w:rPr>
            </w:pPr>
            <w:r>
              <w:rPr>
                <w:rFonts w:hint="eastAsia" w:ascii="宋体" w:hAnsi="宋体" w:cs="宋体"/>
                <w:kern w:val="0"/>
              </w:rPr>
              <w:t>联合体投标的，投标函部分的格式中要求投标人加盖单位法人章的，均由联合体牵头人使用 CA 数字证书加盖其单位电子印章。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工期</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符合第二章“投标人须知”第1.3.2项规定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工程质量</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符合第二章“投标人须知”第1.3.3项规定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投标有效期</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符合第二章“投标人须知”第3.3.1项规定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投标总报价</w:t>
            </w:r>
          </w:p>
        </w:tc>
        <w:tc>
          <w:tcPr>
            <w:tcW w:w="4615" w:type="dxa"/>
            <w:tcBorders>
              <w:left w:val="single" w:color="auto" w:sz="4" w:space="0"/>
            </w:tcBorders>
            <w:vAlign w:val="center"/>
          </w:tcPr>
          <w:p>
            <w:pPr>
              <w:snapToGrid w:val="0"/>
              <w:spacing w:line="320" w:lineRule="exact"/>
              <w:ind w:firstLine="420" w:firstLineChars="200"/>
              <w:rPr>
                <w:rFonts w:ascii="宋体" w:hAnsi="宋体" w:cs="宋体"/>
                <w:kern w:val="0"/>
              </w:rPr>
            </w:pPr>
            <w:r>
              <w:rPr>
                <w:rFonts w:hint="eastAsia" w:ascii="宋体" w:hAnsi="宋体" w:cs="宋体"/>
                <w:kern w:val="0"/>
              </w:rPr>
              <w:t>1.</w:t>
            </w:r>
            <w:r>
              <w:rPr>
                <w:rFonts w:hint="eastAsia"/>
              </w:rPr>
              <w:t xml:space="preserve"> </w:t>
            </w:r>
            <w:r>
              <w:rPr>
                <w:rFonts w:hint="eastAsia" w:ascii="宋体" w:hAnsi="宋体" w:cs="宋体"/>
                <w:kern w:val="0"/>
              </w:rPr>
              <w:t>投标函中的总报价必须与已标价工程量清单总报价一致，投标总报价不得高于招标人公布的投标总报价</w:t>
            </w:r>
            <w:r>
              <w:rPr>
                <w:rFonts w:hint="eastAsia" w:ascii="宋体" w:hAnsi="宋体"/>
                <w:szCs w:val="21"/>
              </w:rPr>
              <w:t>最高限价</w:t>
            </w:r>
            <w:r>
              <w:rPr>
                <w:rFonts w:hint="eastAsia" w:ascii="宋体" w:hAnsi="宋体" w:cs="宋体"/>
                <w:kern w:val="0"/>
              </w:rPr>
              <w:t>。</w:t>
            </w:r>
          </w:p>
          <w:p>
            <w:pPr>
              <w:snapToGrid w:val="0"/>
              <w:spacing w:after="57" w:afterLines="10" w:line="400" w:lineRule="exact"/>
              <w:ind w:firstLine="420" w:firstLineChars="200"/>
              <w:rPr>
                <w:rFonts w:ascii="宋体" w:hAnsi="宋体" w:cs="宋体"/>
                <w:kern w:val="0"/>
              </w:rPr>
            </w:pPr>
            <w:r>
              <w:rPr>
                <w:rFonts w:hint="eastAsia" w:ascii="宋体" w:hAnsi="宋体" w:cs="宋体"/>
                <w:kern w:val="0"/>
              </w:rPr>
              <w:t>2.投标总报价低于最高限价85%的，投标人应在编制投标文件时，在投标函部分中递交低价风险担保提交承诺书。承诺书格式详见第八章投标文件格式。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报价唯一</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只能有一个有效报价。在招标文件没有规定的情况下，不得提交选择性报价。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tabs>
                <w:tab w:val="left" w:pos="1875"/>
              </w:tabs>
              <w:spacing w:line="400" w:lineRule="exact"/>
              <w:jc w:val="left"/>
              <w:rPr>
                <w:rFonts w:ascii="宋体" w:hAnsi="宋体" w:cs="宋体"/>
                <w:kern w:val="0"/>
                <w:highlight w:val="none"/>
              </w:rPr>
            </w:pPr>
            <w:r>
              <w:rPr>
                <w:rFonts w:hint="eastAsia" w:ascii="宋体" w:hAnsi="宋体"/>
                <w:kern w:val="0"/>
                <w:highlight w:val="none"/>
              </w:rPr>
              <w:t>暂定金额（暂列金）</w:t>
            </w:r>
          </w:p>
        </w:tc>
        <w:tc>
          <w:tcPr>
            <w:tcW w:w="4615" w:type="dxa"/>
            <w:tcBorders>
              <w:left w:val="single" w:color="auto" w:sz="4" w:space="0"/>
            </w:tcBorders>
            <w:vAlign w:val="center"/>
          </w:tcPr>
          <w:p>
            <w:pPr>
              <w:snapToGrid w:val="0"/>
              <w:spacing w:line="400" w:lineRule="exact"/>
              <w:ind w:firstLine="420" w:firstLineChars="200"/>
              <w:rPr>
                <w:rFonts w:ascii="宋体" w:hAnsi="宋体" w:cs="宋体"/>
                <w:kern w:val="0"/>
                <w:highlight w:val="none"/>
              </w:rPr>
            </w:pPr>
            <w:r>
              <w:rPr>
                <w:rFonts w:hint="eastAsia" w:ascii="宋体" w:hAnsi="宋体"/>
                <w:kern w:val="0"/>
                <w:highlight w:val="none"/>
              </w:rPr>
              <w:t>暂定金额（暂列金）、暂估价等暂定金额必须按照招标文件给定的金额填报，否则由评标委员会作否决投标处理。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highlight w:val="none"/>
              </w:rPr>
            </w:pPr>
            <w:r>
              <w:rPr>
                <w:rFonts w:hint="eastAsia" w:ascii="宋体" w:hAnsi="宋体" w:cs="宋体"/>
                <w:kern w:val="0"/>
                <w:highlight w:val="none"/>
              </w:rPr>
              <w:t>已标价工程量清单</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highlight w:val="none"/>
              </w:rPr>
            </w:pPr>
            <w:r>
              <w:rPr>
                <w:rFonts w:hint="eastAsia" w:ascii="宋体" w:hAnsi="宋体"/>
                <w:kern w:val="0"/>
                <w:highlight w:val="none"/>
              </w:rPr>
              <w:t>投标人承诺已标价工程量清单满足第二章“投标人须知前附表”第3.2款第12条要求，如有差错则按第二章“投标人须知前附表”第3.2款第11条要求原则进行处理（或结算），承诺书格式详见第八章投标文件格式。否则由评标委员会作否决投标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3" w:type="dxa"/>
            <w:vMerge w:val="continue"/>
            <w:tcBorders>
              <w:right w:val="single" w:color="auto" w:sz="4" w:space="0"/>
            </w:tcBorders>
            <w:vAlign w:val="center"/>
          </w:tcPr>
          <w:p>
            <w:pPr>
              <w:spacing w:line="400" w:lineRule="exact"/>
              <w:jc w:val="center"/>
              <w:rPr>
                <w:rFonts w:ascii="宋体" w:hAnsi="宋体"/>
                <w:kern w:val="0"/>
              </w:rPr>
            </w:pPr>
          </w:p>
        </w:tc>
        <w:tc>
          <w:tcPr>
            <w:tcW w:w="1560" w:type="dxa"/>
            <w:vMerge w:val="continue"/>
            <w:tcBorders>
              <w:left w:val="single" w:color="auto" w:sz="4" w:space="0"/>
            </w:tcBorders>
            <w:vAlign w:val="center"/>
          </w:tcPr>
          <w:p>
            <w:pPr>
              <w:spacing w:line="400" w:lineRule="exact"/>
              <w:jc w:val="center"/>
              <w:rPr>
                <w:rFonts w:ascii="宋体" w:hAnsi="宋体"/>
                <w:kern w:val="0"/>
              </w:rPr>
            </w:pPr>
          </w:p>
        </w:tc>
        <w:tc>
          <w:tcPr>
            <w:tcW w:w="2267" w:type="dxa"/>
            <w:tcBorders>
              <w:right w:val="single" w:color="auto" w:sz="4" w:space="0"/>
            </w:tcBorders>
            <w:vAlign w:val="center"/>
          </w:tcPr>
          <w:p>
            <w:pPr>
              <w:snapToGrid w:val="0"/>
              <w:spacing w:line="400" w:lineRule="exact"/>
              <w:jc w:val="left"/>
              <w:rPr>
                <w:rFonts w:ascii="宋体" w:hAnsi="宋体" w:cs="宋体"/>
                <w:kern w:val="0"/>
              </w:rPr>
            </w:pPr>
            <w:r>
              <w:rPr>
                <w:rFonts w:hint="eastAsia" w:ascii="宋体" w:hAnsi="宋体" w:cs="宋体"/>
                <w:kern w:val="0"/>
              </w:rPr>
              <w:t>投标报价算术错误修正</w:t>
            </w:r>
          </w:p>
        </w:tc>
        <w:tc>
          <w:tcPr>
            <w:tcW w:w="4615" w:type="dxa"/>
            <w:tcBorders>
              <w:left w:val="single" w:color="auto" w:sz="4" w:space="0"/>
            </w:tcBorders>
            <w:vAlign w:val="center"/>
          </w:tcPr>
          <w:p>
            <w:pPr>
              <w:snapToGrid w:val="0"/>
              <w:spacing w:after="57" w:afterLines="10" w:line="400" w:lineRule="exact"/>
              <w:ind w:firstLine="420" w:firstLineChars="200"/>
              <w:rPr>
                <w:rFonts w:ascii="宋体" w:hAnsi="宋体" w:cs="宋体"/>
                <w:kern w:val="0"/>
              </w:rPr>
            </w:pPr>
            <w:r>
              <w:rPr>
                <w:rFonts w:hint="eastAsia" w:ascii="宋体" w:hAnsi="宋体" w:cs="宋体"/>
                <w:kern w:val="0"/>
              </w:rPr>
              <w:t>符合第三章</w:t>
            </w:r>
            <w:r>
              <w:rPr>
                <w:rFonts w:hint="eastAsia" w:ascii="宋体" w:hAnsi="宋体" w:cs="宋体"/>
                <w:kern w:val="0"/>
                <w:lang w:val="en-US" w:eastAsia="zh-CN"/>
              </w:rPr>
              <w:t>3.</w:t>
            </w:r>
            <w:r>
              <w:rPr>
                <w:rFonts w:hint="eastAsia" w:ascii="宋体" w:hAnsi="宋体" w:cs="宋体"/>
                <w:kern w:val="0"/>
              </w:rPr>
              <w:t>评标</w:t>
            </w:r>
            <w:r>
              <w:rPr>
                <w:rFonts w:hint="eastAsia" w:ascii="宋体" w:hAnsi="宋体" w:cs="宋体"/>
                <w:kern w:val="0"/>
                <w:lang w:val="en-US" w:eastAsia="zh-CN"/>
              </w:rPr>
              <w:t>程序</w:t>
            </w:r>
            <w:r>
              <w:rPr>
                <w:rFonts w:hint="eastAsia" w:ascii="宋体" w:hAnsi="宋体" w:cs="宋体"/>
                <w:kern w:val="0"/>
              </w:rPr>
              <w:t>第3.2.3项规定。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2" w:hRule="atLeast"/>
        </w:trPr>
        <w:tc>
          <w:tcPr>
            <w:tcW w:w="1243" w:type="dxa"/>
            <w:tcBorders>
              <w:right w:val="single" w:color="auto" w:sz="4" w:space="0"/>
            </w:tcBorders>
            <w:vAlign w:val="center"/>
          </w:tcPr>
          <w:p>
            <w:pPr>
              <w:spacing w:line="400" w:lineRule="exact"/>
              <w:jc w:val="center"/>
              <w:rPr>
                <w:rFonts w:ascii="宋体" w:hAnsi="宋体"/>
              </w:rPr>
            </w:pPr>
            <w:r>
              <w:rPr>
                <w:rFonts w:ascii="宋体" w:hAnsi="宋体"/>
              </w:rPr>
              <w:t>3</w:t>
            </w:r>
          </w:p>
        </w:tc>
        <w:tc>
          <w:tcPr>
            <w:tcW w:w="1560" w:type="dxa"/>
            <w:tcBorders>
              <w:left w:val="single" w:color="auto" w:sz="4" w:space="0"/>
              <w:right w:val="single" w:color="auto" w:sz="4" w:space="0"/>
            </w:tcBorders>
            <w:vAlign w:val="center"/>
          </w:tcPr>
          <w:p>
            <w:pPr>
              <w:spacing w:line="400" w:lineRule="exact"/>
              <w:jc w:val="center"/>
              <w:rPr>
                <w:rFonts w:ascii="宋体" w:hAnsi="宋体"/>
              </w:rPr>
            </w:pPr>
            <w:r>
              <w:rPr>
                <w:rFonts w:hint="eastAsia" w:ascii="宋体" w:hAnsi="宋体"/>
              </w:rPr>
              <w:t>评标程序</w:t>
            </w:r>
          </w:p>
        </w:tc>
        <w:tc>
          <w:tcPr>
            <w:tcW w:w="6882" w:type="dxa"/>
            <w:gridSpan w:val="2"/>
            <w:tcBorders>
              <w:left w:val="single" w:color="auto" w:sz="4" w:space="0"/>
            </w:tcBorders>
            <w:vAlign w:val="center"/>
          </w:tcPr>
          <w:p>
            <w:pPr>
              <w:spacing w:after="57" w:afterLines="10" w:line="400" w:lineRule="exact"/>
              <w:ind w:firstLine="420" w:firstLineChars="200"/>
              <w:jc w:val="left"/>
              <w:rPr>
                <w:rFonts w:ascii="宋体" w:hAnsi="宋体"/>
                <w:kern w:val="0"/>
                <w:szCs w:val="21"/>
              </w:rPr>
            </w:pPr>
            <w:r>
              <w:rPr>
                <w:rFonts w:hint="eastAsia" w:ascii="宋体" w:hAnsi="宋体"/>
                <w:kern w:val="0"/>
                <w:szCs w:val="21"/>
              </w:rPr>
              <w:t>1.对报价不高于最高限价的所有投标人的投标文件，按照报价由低到高的顺序排序。需技术方案评审的，由电子评标系统对技术方案进行自动随机编号。在投标函部分及经济部分评审前，推送给评标委员会的投标文件不得显示排序。</w:t>
            </w:r>
          </w:p>
          <w:p>
            <w:pPr>
              <w:spacing w:after="57" w:afterLines="10" w:line="400" w:lineRule="exact"/>
              <w:ind w:firstLine="420" w:firstLineChars="200"/>
              <w:jc w:val="left"/>
              <w:rPr>
                <w:rFonts w:ascii="宋体" w:hAnsi="宋体"/>
                <w:kern w:val="0"/>
                <w:szCs w:val="21"/>
              </w:rPr>
            </w:pPr>
            <w:r>
              <w:rPr>
                <w:rFonts w:hint="eastAsia" w:ascii="宋体" w:hAnsi="宋体"/>
                <w:kern w:val="0"/>
                <w:szCs w:val="21"/>
              </w:rPr>
              <w:t>2.根据本章第2.2款约定进行符合性审查</w:t>
            </w:r>
            <w:r>
              <w:rPr>
                <w:rFonts w:hint="eastAsia" w:ascii="宋体" w:hAnsi="宋体"/>
                <w:spacing w:val="4"/>
                <w:kern w:val="0"/>
                <w:szCs w:val="21"/>
              </w:rPr>
              <w:t>。符合性审查</w:t>
            </w:r>
            <w:r>
              <w:rPr>
                <w:rFonts w:hint="eastAsia" w:ascii="宋体" w:hAnsi="宋体"/>
                <w:kern w:val="0"/>
                <w:szCs w:val="21"/>
              </w:rPr>
              <w:t>合格的投标人中，报价最低的成为第一中标候选人，报价次低的成为第二中标候选人，依次类推。</w:t>
            </w:r>
          </w:p>
          <w:p>
            <w:pPr>
              <w:spacing w:after="57" w:afterLines="10" w:line="400" w:lineRule="exact"/>
              <w:ind w:firstLine="420" w:firstLineChars="200"/>
              <w:jc w:val="left"/>
              <w:rPr>
                <w:rFonts w:ascii="宋体" w:hAnsi="宋体"/>
                <w:kern w:val="0"/>
                <w:szCs w:val="21"/>
              </w:rPr>
            </w:pPr>
            <w:r>
              <w:rPr>
                <w:rFonts w:hint="eastAsia" w:ascii="宋体" w:hAnsi="宋体"/>
                <w:i/>
                <w:kern w:val="0"/>
              </w:rPr>
              <w:t>[提示：勾选技术方案评审的，符合性审查应首先进行技术方案评审，再按照资格、形式、响应性、投标函部分及经济部分的顺序进行评审。]</w:t>
            </w:r>
          </w:p>
          <w:p>
            <w:pPr>
              <w:spacing w:after="57" w:afterLines="10" w:line="400" w:lineRule="exact"/>
              <w:ind w:firstLine="420" w:firstLineChars="200"/>
              <w:jc w:val="left"/>
              <w:rPr>
                <w:rFonts w:ascii="宋体" w:hAnsi="宋体"/>
                <w:kern w:val="0"/>
                <w:szCs w:val="21"/>
              </w:rPr>
            </w:pPr>
            <w:r>
              <w:rPr>
                <w:rFonts w:hint="eastAsia" w:ascii="宋体" w:hAnsi="宋体"/>
                <w:kern w:val="0"/>
                <w:szCs w:val="21"/>
              </w:rPr>
              <w:t>3.</w:t>
            </w:r>
            <w:r>
              <w:rPr>
                <w:rFonts w:hint="eastAsia" w:ascii="宋体" w:hAnsi="宋体"/>
                <w:spacing w:val="4"/>
                <w:kern w:val="0"/>
                <w:szCs w:val="21"/>
              </w:rPr>
              <w:t>若上述程序未能评出三名中标候选人</w:t>
            </w:r>
            <w:r>
              <w:rPr>
                <w:rFonts w:hint="eastAsia" w:ascii="宋体" w:hAnsi="宋体"/>
                <w:kern w:val="0"/>
                <w:szCs w:val="21"/>
              </w:rPr>
              <w:t>，则评标委员会对剩余投标文件继续按上述第2条进行评审，直至评出三名中标候选人，或者评审完所有投标文件。</w:t>
            </w:r>
          </w:p>
          <w:p>
            <w:pPr>
              <w:spacing w:after="57" w:afterLines="10" w:line="400" w:lineRule="exact"/>
              <w:ind w:firstLine="420" w:firstLineChars="200"/>
              <w:jc w:val="left"/>
              <w:rPr>
                <w:rFonts w:ascii="宋体" w:hAnsi="宋体"/>
                <w:kern w:val="0"/>
                <w:szCs w:val="21"/>
              </w:rPr>
            </w:pPr>
            <w:r>
              <w:rPr>
                <w:rFonts w:hint="eastAsia" w:ascii="宋体" w:hAnsi="宋体"/>
                <w:kern w:val="0"/>
                <w:szCs w:val="21"/>
              </w:rPr>
              <w:t>4.</w:t>
            </w:r>
            <w:r>
              <w:rPr>
                <w:rFonts w:hint="eastAsia"/>
              </w:rPr>
              <w:t xml:space="preserve"> </w:t>
            </w:r>
            <w:r>
              <w:rPr>
                <w:rFonts w:hint="eastAsia" w:ascii="宋体" w:hAnsi="宋体"/>
                <w:kern w:val="0"/>
                <w:szCs w:val="21"/>
              </w:rPr>
              <w:t>因评标委员会作否决投标处理，导致有效投标人不足三个的，评标委员会应当否决所有投标。但是有效投标人的经济、技术等指标仍然具有市场竞争力，并满足招标文件要求的，评标委员会可以继续评标并确定中标候选人。</w:t>
            </w:r>
          </w:p>
          <w:p>
            <w:pPr>
              <w:spacing w:after="57" w:afterLines="10" w:line="400" w:lineRule="exact"/>
              <w:ind w:firstLine="420" w:firstLineChars="200"/>
              <w:jc w:val="left"/>
              <w:rPr>
                <w:rFonts w:ascii="宋体" w:hAnsi="宋体"/>
                <w:kern w:val="0"/>
                <w:szCs w:val="21"/>
              </w:rPr>
            </w:pPr>
            <w:r>
              <w:rPr>
                <w:rFonts w:hint="eastAsia" w:ascii="宋体" w:hAnsi="宋体"/>
                <w:kern w:val="0"/>
                <w:szCs w:val="21"/>
              </w:rPr>
              <w:t>注：若出现投标人投标报价相同的，以“投标人在红名单中优先”的原则排序</w:t>
            </w:r>
            <w:r>
              <w:rPr>
                <w:rFonts w:hint="eastAsia" w:ascii="宋体" w:hAnsi="宋体"/>
                <w:spacing w:val="4"/>
                <w:kern w:val="0"/>
                <w:szCs w:val="21"/>
              </w:rPr>
              <w:t>（联合体投标的，须联合体牵头人在红名单中），投标人是否属于红名单，以开标环节信用状况查询结果为准</w:t>
            </w:r>
            <w:r>
              <w:rPr>
                <w:rFonts w:hint="eastAsia" w:ascii="宋体" w:hAnsi="宋体"/>
                <w:kern w:val="0"/>
                <w:szCs w:val="21"/>
              </w:rPr>
              <w:t>；投标人均在红名单中</w:t>
            </w:r>
            <w:r>
              <w:rPr>
                <w:rFonts w:hint="eastAsia" w:ascii="宋体" w:hAnsi="宋体"/>
                <w:spacing w:val="4"/>
                <w:kern w:val="0"/>
                <w:szCs w:val="21"/>
              </w:rPr>
              <w:t>或均不在红名单中的，由评标委员会按照</w:t>
            </w:r>
            <w:r>
              <w:rPr>
                <w:rFonts w:hint="eastAsia" w:ascii="宋体" w:hAnsi="宋体"/>
                <w:spacing w:val="4"/>
                <w:kern w:val="0"/>
                <w:szCs w:val="21"/>
                <w:u w:val="single"/>
              </w:rPr>
              <w:t xml:space="preserve">         </w:t>
            </w:r>
            <w:r>
              <w:rPr>
                <w:rFonts w:hint="eastAsia" w:ascii="宋体" w:hAnsi="宋体"/>
                <w:spacing w:val="4"/>
                <w:kern w:val="0"/>
                <w:szCs w:val="21"/>
              </w:rPr>
              <w:t>原则排序。</w:t>
            </w:r>
            <w:r>
              <w:rPr>
                <w:rFonts w:hint="eastAsia" w:ascii="宋体" w:hAnsi="宋体"/>
                <w:i/>
                <w:spacing w:val="4"/>
                <w:kern w:val="0"/>
                <w:szCs w:val="21"/>
              </w:rPr>
              <w:t>[提示：由招标人事先在招标文件中按照有利于合同履行的原则确定</w:t>
            </w:r>
            <w:r>
              <w:rPr>
                <w:rFonts w:hint="eastAsia" w:asciiTheme="minorEastAsia" w:hAnsiTheme="minorEastAsia" w:eastAsiaTheme="minorEastAsia" w:cstheme="minorEastAsia"/>
                <w:i/>
                <w:spacing w:val="4"/>
                <w:kern w:val="0"/>
                <w:szCs w:val="21"/>
              </w:rPr>
              <w:t>，但不得采用抽签、摇号方式直接确定中标候选人</w:t>
            </w:r>
            <w:r>
              <w:rPr>
                <w:rFonts w:hint="eastAsia" w:ascii="宋体" w:hAnsi="宋体"/>
                <w:i/>
                <w:spacing w:val="4"/>
                <w:kern w:val="0"/>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2" w:hRule="atLeast"/>
        </w:trPr>
        <w:tc>
          <w:tcPr>
            <w:tcW w:w="1243" w:type="dxa"/>
            <w:tcBorders>
              <w:right w:val="single" w:color="auto" w:sz="4" w:space="0"/>
            </w:tcBorders>
            <w:vAlign w:val="center"/>
          </w:tcPr>
          <w:p>
            <w:pPr>
              <w:spacing w:line="400" w:lineRule="exact"/>
              <w:jc w:val="center"/>
              <w:rPr>
                <w:rFonts w:ascii="宋体" w:hAnsi="宋体"/>
              </w:rPr>
            </w:pPr>
            <w:r>
              <w:rPr>
                <w:rFonts w:hint="eastAsia" w:ascii="宋体" w:hAnsi="宋体"/>
              </w:rPr>
              <w:t>3.4</w:t>
            </w:r>
          </w:p>
        </w:tc>
        <w:tc>
          <w:tcPr>
            <w:tcW w:w="1560" w:type="dxa"/>
            <w:tcBorders>
              <w:left w:val="single" w:color="auto" w:sz="4" w:space="0"/>
              <w:right w:val="single" w:color="auto" w:sz="4" w:space="0"/>
            </w:tcBorders>
            <w:vAlign w:val="center"/>
          </w:tcPr>
          <w:p>
            <w:pPr>
              <w:spacing w:line="400" w:lineRule="exact"/>
              <w:jc w:val="center"/>
              <w:rPr>
                <w:rFonts w:ascii="宋体" w:hAnsi="宋体"/>
              </w:rPr>
            </w:pPr>
            <w:r>
              <w:rPr>
                <w:rFonts w:ascii="宋体" w:hAnsi="宋体"/>
              </w:rPr>
              <w:t>评标结果</w:t>
            </w:r>
          </w:p>
        </w:tc>
        <w:tc>
          <w:tcPr>
            <w:tcW w:w="6882" w:type="dxa"/>
            <w:gridSpan w:val="2"/>
            <w:tcBorders>
              <w:left w:val="single" w:color="auto" w:sz="4" w:space="0"/>
            </w:tcBorders>
            <w:vAlign w:val="center"/>
          </w:tcPr>
          <w:p>
            <w:pPr>
              <w:autoSpaceDE w:val="0"/>
              <w:autoSpaceDN w:val="0"/>
              <w:adjustRightInd w:val="0"/>
              <w:snapToGrid w:val="0"/>
              <w:spacing w:line="400" w:lineRule="exact"/>
              <w:ind w:firstLine="420"/>
              <w:jc w:val="left"/>
              <w:rPr>
                <w:rFonts w:ascii="宋体" w:hAnsi="宋体"/>
                <w:kern w:val="0"/>
                <w:szCs w:val="21"/>
              </w:rPr>
            </w:pPr>
            <w:r>
              <w:rPr>
                <w:rFonts w:ascii="宋体" w:hAnsi="宋体"/>
                <w:kern w:val="0"/>
                <w:szCs w:val="21"/>
              </w:rPr>
              <w:t>3.</w:t>
            </w:r>
            <w:r>
              <w:rPr>
                <w:rFonts w:ascii="宋体" w:hAnsi="宋体"/>
                <w:spacing w:val="-1"/>
                <w:kern w:val="0"/>
                <w:szCs w:val="21"/>
              </w:rPr>
              <w:t>4</w:t>
            </w:r>
            <w:r>
              <w:rPr>
                <w:rFonts w:ascii="宋体" w:hAnsi="宋体"/>
                <w:kern w:val="0"/>
                <w:szCs w:val="21"/>
              </w:rPr>
              <w:t>.1</w:t>
            </w:r>
            <w:r>
              <w:rPr>
                <w:rFonts w:hint="eastAsia" w:ascii="宋体" w:hAnsi="宋体"/>
                <w:kern w:val="0"/>
                <w:szCs w:val="21"/>
              </w:rPr>
              <w:t xml:space="preserve"> </w:t>
            </w:r>
            <w:r>
              <w:rPr>
                <w:rFonts w:ascii="宋体" w:hAnsi="宋体"/>
                <w:kern w:val="0"/>
                <w:szCs w:val="21"/>
              </w:rPr>
              <w:t>除第二章“投标</w:t>
            </w:r>
            <w:r>
              <w:rPr>
                <w:rFonts w:ascii="宋体" w:hAnsi="宋体"/>
                <w:spacing w:val="1"/>
                <w:kern w:val="0"/>
                <w:szCs w:val="21"/>
              </w:rPr>
              <w:t>人</w:t>
            </w:r>
            <w:r>
              <w:rPr>
                <w:rFonts w:ascii="宋体" w:hAnsi="宋体"/>
                <w:kern w:val="0"/>
                <w:szCs w:val="21"/>
              </w:rPr>
              <w:t>须知”前</w:t>
            </w:r>
            <w:r>
              <w:rPr>
                <w:rFonts w:ascii="宋体" w:hAnsi="宋体"/>
                <w:spacing w:val="1"/>
                <w:kern w:val="0"/>
                <w:szCs w:val="21"/>
              </w:rPr>
              <w:t>附</w:t>
            </w:r>
            <w:r>
              <w:rPr>
                <w:rFonts w:ascii="宋体" w:hAnsi="宋体"/>
                <w:kern w:val="0"/>
                <w:szCs w:val="21"/>
              </w:rPr>
              <w:t>表授权直</w:t>
            </w:r>
            <w:r>
              <w:rPr>
                <w:rFonts w:ascii="宋体" w:hAnsi="宋体"/>
                <w:spacing w:val="1"/>
                <w:kern w:val="0"/>
                <w:szCs w:val="21"/>
              </w:rPr>
              <w:t>接</w:t>
            </w:r>
            <w:r>
              <w:rPr>
                <w:rFonts w:ascii="宋体" w:hAnsi="宋体"/>
                <w:kern w:val="0"/>
                <w:szCs w:val="21"/>
              </w:rPr>
              <w:t>确定中标</w:t>
            </w:r>
            <w:r>
              <w:rPr>
                <w:rFonts w:ascii="宋体" w:hAnsi="宋体"/>
                <w:spacing w:val="1"/>
                <w:kern w:val="0"/>
                <w:szCs w:val="21"/>
              </w:rPr>
              <w:t>人</w:t>
            </w:r>
            <w:r>
              <w:rPr>
                <w:rFonts w:ascii="宋体" w:hAnsi="宋体"/>
                <w:kern w:val="0"/>
                <w:szCs w:val="21"/>
              </w:rPr>
              <w:t>外，评标</w:t>
            </w:r>
            <w:r>
              <w:rPr>
                <w:rFonts w:ascii="宋体" w:hAnsi="宋体"/>
                <w:spacing w:val="1"/>
                <w:kern w:val="0"/>
                <w:szCs w:val="21"/>
              </w:rPr>
              <w:t>委</w:t>
            </w:r>
            <w:r>
              <w:rPr>
                <w:rFonts w:ascii="宋体" w:hAnsi="宋体"/>
                <w:kern w:val="0"/>
                <w:szCs w:val="21"/>
              </w:rPr>
              <w:t>员会</w:t>
            </w:r>
            <w:r>
              <w:rPr>
                <w:rFonts w:hint="eastAsia" w:ascii="宋体" w:hAnsi="宋体"/>
                <w:kern w:val="0"/>
                <w:szCs w:val="21"/>
              </w:rPr>
              <w:t>按经评审的最低投标价法</w:t>
            </w:r>
            <w:r>
              <w:rPr>
                <w:rFonts w:ascii="宋体" w:hAnsi="宋体"/>
                <w:kern w:val="0"/>
                <w:szCs w:val="21"/>
              </w:rPr>
              <w:t>推荐中标候选人。</w:t>
            </w:r>
          </w:p>
          <w:p>
            <w:pPr>
              <w:spacing w:line="400" w:lineRule="exact"/>
              <w:ind w:firstLine="424" w:firstLineChars="200"/>
              <w:rPr>
                <w:rFonts w:ascii="宋体" w:hAnsi="宋体"/>
              </w:rPr>
            </w:pPr>
            <w:r>
              <w:rPr>
                <w:rFonts w:ascii="宋体" w:hAnsi="宋体"/>
                <w:spacing w:val="1"/>
                <w:kern w:val="0"/>
                <w:szCs w:val="21"/>
              </w:rPr>
              <w:t>3</w:t>
            </w:r>
            <w:r>
              <w:rPr>
                <w:rFonts w:ascii="宋体" w:hAnsi="宋体"/>
                <w:kern w:val="0"/>
                <w:szCs w:val="21"/>
              </w:rPr>
              <w:t>.4.2</w:t>
            </w:r>
            <w:r>
              <w:rPr>
                <w:rFonts w:hint="eastAsia" w:ascii="宋体" w:hAnsi="宋体"/>
                <w:kern w:val="0"/>
                <w:szCs w:val="21"/>
              </w:rPr>
              <w:t xml:space="preserve"> </w:t>
            </w:r>
            <w:r>
              <w:rPr>
                <w:rFonts w:ascii="宋体" w:hAnsi="宋体"/>
                <w:kern w:val="0"/>
                <w:szCs w:val="21"/>
              </w:rPr>
              <w:t>评标</w:t>
            </w:r>
            <w:r>
              <w:rPr>
                <w:rFonts w:ascii="宋体" w:hAnsi="宋体"/>
                <w:spacing w:val="-1"/>
                <w:kern w:val="0"/>
                <w:szCs w:val="21"/>
              </w:rPr>
              <w:t>委</w:t>
            </w:r>
            <w:r>
              <w:rPr>
                <w:rFonts w:ascii="宋体" w:hAnsi="宋体"/>
                <w:kern w:val="0"/>
                <w:szCs w:val="21"/>
              </w:rPr>
              <w:t>员会完成评标后，应当向招标人提交书面评标报告。</w:t>
            </w:r>
          </w:p>
        </w:tc>
      </w:tr>
    </w:tbl>
    <w:p>
      <w:pPr>
        <w:pStyle w:val="4"/>
        <w:spacing w:before="0" w:after="0" w:line="360" w:lineRule="auto"/>
        <w:rPr>
          <w:rFonts w:ascii="宋体" w:hAnsi="宋体"/>
          <w:bCs w:val="0"/>
          <w:snapToGrid w:val="0"/>
        </w:rPr>
      </w:pPr>
      <w:r>
        <w:rPr>
          <w:rFonts w:ascii="宋体" w:hAnsi="宋体"/>
          <w:bCs w:val="0"/>
          <w:snapToGrid w:val="0"/>
        </w:rPr>
        <w:br w:type="page"/>
      </w:r>
      <w:bookmarkStart w:id="725" w:name="_Toc25275"/>
      <w:bookmarkStart w:id="726" w:name="_Toc7536"/>
      <w:bookmarkStart w:id="727" w:name="_Toc32646"/>
      <w:r>
        <w:rPr>
          <w:rFonts w:ascii="宋体" w:hAnsi="宋体"/>
          <w:b w:val="0"/>
          <w:snapToGrid w:val="0"/>
        </w:rPr>
        <w:t>1.  评标方法</w:t>
      </w:r>
      <w:bookmarkEnd w:id="725"/>
      <w:bookmarkEnd w:id="726"/>
      <w:bookmarkEnd w:id="727"/>
    </w:p>
    <w:p>
      <w:pPr>
        <w:spacing w:line="360" w:lineRule="auto"/>
        <w:ind w:firstLine="420" w:firstLineChars="200"/>
        <w:rPr>
          <w:rFonts w:ascii="宋体" w:hAnsi="宋体"/>
        </w:rPr>
      </w:pPr>
      <w:r>
        <w:rPr>
          <w:rFonts w:hint="eastAsia" w:ascii="宋体" w:hAnsi="宋体"/>
        </w:rPr>
        <w:t>本次评标采用经评审的最低投标价法，评标委员会按照本章第2.1款进行报价排序，按照本章第2.2款进行符合性审查，符合性审查合格的投标人中按报价由低到高推荐中标候选人，或根据招标人授权直接确定中标人。若出现投标人投标报价相同的，以评标办法前附表约定的原则确定排序。</w:t>
      </w:r>
    </w:p>
    <w:p>
      <w:pPr>
        <w:pStyle w:val="4"/>
        <w:spacing w:before="0" w:after="0" w:line="360" w:lineRule="auto"/>
        <w:rPr>
          <w:rFonts w:ascii="宋体" w:hAnsi="宋体"/>
          <w:b w:val="0"/>
          <w:snapToGrid w:val="0"/>
        </w:rPr>
      </w:pPr>
      <w:bookmarkStart w:id="728" w:name="_Toc2555"/>
      <w:bookmarkStart w:id="729" w:name="_Toc25266"/>
      <w:bookmarkStart w:id="730" w:name="_Toc10761"/>
      <w:r>
        <w:rPr>
          <w:rFonts w:ascii="宋体" w:hAnsi="宋体"/>
          <w:b w:val="0"/>
          <w:snapToGrid w:val="0"/>
        </w:rPr>
        <w:t>2.  评审标准</w:t>
      </w:r>
      <w:bookmarkEnd w:id="728"/>
      <w:bookmarkEnd w:id="729"/>
      <w:bookmarkEnd w:id="730"/>
    </w:p>
    <w:p>
      <w:pPr>
        <w:pStyle w:val="5"/>
        <w:spacing w:before="0" w:after="0" w:line="360" w:lineRule="auto"/>
        <w:rPr>
          <w:rFonts w:ascii="宋体" w:hAnsi="宋体" w:cs="宋体"/>
          <w:sz w:val="21"/>
          <w:szCs w:val="21"/>
        </w:rPr>
      </w:pPr>
      <w:bookmarkStart w:id="731" w:name="_Toc28770"/>
      <w:r>
        <w:rPr>
          <w:rFonts w:ascii="宋体" w:hAnsi="宋体" w:cs="宋体"/>
          <w:sz w:val="21"/>
          <w:szCs w:val="21"/>
        </w:rPr>
        <w:t>2.1</w:t>
      </w:r>
      <w:r>
        <w:rPr>
          <w:rFonts w:hint="eastAsia" w:ascii="宋体" w:hAnsi="宋体" w:cs="宋体"/>
          <w:sz w:val="21"/>
          <w:szCs w:val="21"/>
        </w:rPr>
        <w:t>报价</w:t>
      </w:r>
      <w:r>
        <w:rPr>
          <w:rFonts w:ascii="宋体" w:hAnsi="宋体" w:cs="宋体"/>
          <w:sz w:val="21"/>
          <w:szCs w:val="21"/>
        </w:rPr>
        <w:t>排序</w:t>
      </w:r>
      <w:r>
        <w:rPr>
          <w:rFonts w:hint="eastAsia" w:ascii="宋体" w:hAnsi="宋体" w:cs="宋体"/>
          <w:sz w:val="21"/>
          <w:szCs w:val="21"/>
        </w:rPr>
        <w:t>标准</w:t>
      </w:r>
      <w:bookmarkEnd w:id="731"/>
    </w:p>
    <w:p>
      <w:pPr>
        <w:autoSpaceDE w:val="0"/>
        <w:autoSpaceDN w:val="0"/>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见评标办法前附表。</w:t>
      </w:r>
    </w:p>
    <w:p>
      <w:pPr>
        <w:pStyle w:val="5"/>
        <w:spacing w:before="0" w:after="0" w:line="360" w:lineRule="auto"/>
        <w:rPr>
          <w:rFonts w:ascii="宋体" w:hAnsi="宋体" w:cs="宋体"/>
          <w:sz w:val="21"/>
          <w:szCs w:val="21"/>
        </w:rPr>
      </w:pPr>
      <w:bookmarkStart w:id="732" w:name="_Toc15271"/>
      <w:r>
        <w:rPr>
          <w:rFonts w:ascii="宋体" w:hAnsi="宋体" w:cs="宋体"/>
          <w:sz w:val="21"/>
          <w:szCs w:val="21"/>
        </w:rPr>
        <w:t>2.</w:t>
      </w:r>
      <w:r>
        <w:rPr>
          <w:rFonts w:hint="eastAsia" w:ascii="宋体" w:hAnsi="宋体" w:cs="宋体"/>
          <w:sz w:val="21"/>
          <w:szCs w:val="21"/>
        </w:rPr>
        <w:t>2符合性审查标准</w:t>
      </w:r>
      <w:bookmarkEnd w:id="732"/>
    </w:p>
    <w:p>
      <w:pPr>
        <w:autoSpaceDE w:val="0"/>
        <w:autoSpaceDN w:val="0"/>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按评标办法前附表约定的投标单位报价排序数量进行符合性审查</w:t>
      </w:r>
      <w:r>
        <w:rPr>
          <w:rFonts w:hint="eastAsia" w:ascii="宋体" w:hAnsi="宋体"/>
          <w:spacing w:val="4"/>
          <w:kern w:val="0"/>
          <w:szCs w:val="21"/>
        </w:rPr>
        <w:t>。符合性审查内容：技术方案评审（如有）、资格评审、形式评审、响应性、投标函部分及经济部分评审</w:t>
      </w:r>
      <w:r>
        <w:rPr>
          <w:rFonts w:hint="eastAsia" w:ascii="宋体" w:hAnsi="宋体" w:cs="宋体"/>
          <w:szCs w:val="21"/>
        </w:rPr>
        <w:t>。</w:t>
      </w:r>
    </w:p>
    <w:p>
      <w:pPr>
        <w:autoSpaceDE w:val="0"/>
        <w:autoSpaceDN w:val="0"/>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2.2.1  技术方案评审标准：见评标办法前附表。</w:t>
      </w:r>
    </w:p>
    <w:p>
      <w:pPr>
        <w:autoSpaceDE w:val="0"/>
        <w:autoSpaceDN w:val="0"/>
        <w:adjustRightInd w:val="0"/>
        <w:snapToGrid w:val="0"/>
        <w:spacing w:line="360" w:lineRule="auto"/>
        <w:ind w:firstLine="420" w:firstLineChars="200"/>
        <w:jc w:val="left"/>
        <w:rPr>
          <w:rFonts w:ascii="宋体" w:hAnsi="宋体" w:cs="宋体"/>
          <w:szCs w:val="21"/>
        </w:rPr>
      </w:pPr>
      <w:r>
        <w:rPr>
          <w:rFonts w:ascii="宋体" w:hAnsi="宋体" w:cs="宋体"/>
          <w:szCs w:val="21"/>
        </w:rPr>
        <w:t>2.</w:t>
      </w:r>
      <w:r>
        <w:rPr>
          <w:rFonts w:hint="eastAsia" w:ascii="宋体" w:hAnsi="宋体" w:cs="宋体"/>
          <w:szCs w:val="21"/>
        </w:rPr>
        <w:t>2</w:t>
      </w:r>
      <w:r>
        <w:rPr>
          <w:rFonts w:ascii="宋体" w:hAnsi="宋体" w:cs="宋体"/>
          <w:szCs w:val="21"/>
        </w:rPr>
        <w:t>.</w:t>
      </w:r>
      <w:r>
        <w:rPr>
          <w:rFonts w:hint="eastAsia" w:ascii="宋体" w:hAnsi="宋体" w:cs="宋体"/>
          <w:szCs w:val="21"/>
        </w:rPr>
        <w:t>2B  资格评审标准：见评标办法前附表。</w:t>
      </w:r>
    </w:p>
    <w:p>
      <w:pPr>
        <w:autoSpaceDE w:val="0"/>
        <w:autoSpaceDN w:val="0"/>
        <w:adjustRightInd w:val="0"/>
        <w:snapToGrid w:val="0"/>
        <w:spacing w:line="360" w:lineRule="auto"/>
        <w:ind w:firstLine="420" w:firstLineChars="200"/>
        <w:jc w:val="left"/>
        <w:rPr>
          <w:rFonts w:ascii="宋体" w:hAnsi="宋体" w:cs="宋体"/>
          <w:szCs w:val="21"/>
        </w:rPr>
      </w:pPr>
      <w:r>
        <w:rPr>
          <w:rFonts w:ascii="宋体" w:hAnsi="宋体" w:cs="宋体"/>
          <w:szCs w:val="21"/>
        </w:rPr>
        <w:t>2.</w:t>
      </w:r>
      <w:r>
        <w:rPr>
          <w:rFonts w:hint="eastAsia" w:ascii="宋体" w:hAnsi="宋体" w:cs="宋体"/>
          <w:szCs w:val="21"/>
        </w:rPr>
        <w:t>2</w:t>
      </w:r>
      <w:r>
        <w:rPr>
          <w:rFonts w:ascii="宋体" w:hAnsi="宋体" w:cs="宋体"/>
          <w:szCs w:val="21"/>
        </w:rPr>
        <w:t>.</w:t>
      </w:r>
      <w:r>
        <w:rPr>
          <w:rFonts w:hint="eastAsia" w:ascii="宋体" w:hAnsi="宋体" w:cs="宋体"/>
          <w:szCs w:val="21"/>
        </w:rPr>
        <w:t>3  形式评审标准：见评标办法前附表。</w:t>
      </w:r>
    </w:p>
    <w:p>
      <w:pPr>
        <w:autoSpaceDE w:val="0"/>
        <w:autoSpaceDN w:val="0"/>
        <w:adjustRightInd w:val="0"/>
        <w:snapToGrid w:val="0"/>
        <w:spacing w:line="360" w:lineRule="auto"/>
        <w:ind w:firstLine="420" w:firstLineChars="200"/>
        <w:jc w:val="left"/>
        <w:rPr>
          <w:rFonts w:ascii="宋体" w:hAnsi="宋体" w:cs="宋体"/>
          <w:szCs w:val="21"/>
        </w:rPr>
      </w:pPr>
      <w:r>
        <w:rPr>
          <w:rFonts w:ascii="宋体" w:hAnsi="宋体" w:cs="宋体"/>
          <w:szCs w:val="21"/>
        </w:rPr>
        <w:t>2.</w:t>
      </w:r>
      <w:r>
        <w:rPr>
          <w:rFonts w:hint="eastAsia" w:ascii="宋体" w:hAnsi="宋体" w:cs="宋体"/>
          <w:szCs w:val="21"/>
        </w:rPr>
        <w:t>2</w:t>
      </w:r>
      <w:r>
        <w:rPr>
          <w:rFonts w:ascii="宋体" w:hAnsi="宋体" w:cs="宋体"/>
          <w:szCs w:val="21"/>
        </w:rPr>
        <w:t>.</w:t>
      </w:r>
      <w:r>
        <w:rPr>
          <w:rFonts w:hint="eastAsia" w:ascii="宋体" w:hAnsi="宋体" w:cs="宋体"/>
          <w:szCs w:val="21"/>
        </w:rPr>
        <w:t>4  响应性评审标准：见评标办法前附表。</w:t>
      </w:r>
    </w:p>
    <w:p>
      <w:pPr>
        <w:autoSpaceDE w:val="0"/>
        <w:autoSpaceDN w:val="0"/>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2.2.5  投标函部分及经济部分评审标准：见评标办法前附表。</w:t>
      </w:r>
    </w:p>
    <w:p>
      <w:pPr>
        <w:pStyle w:val="4"/>
        <w:spacing w:before="0" w:after="0" w:line="360" w:lineRule="auto"/>
        <w:rPr>
          <w:rFonts w:ascii="宋体" w:hAnsi="宋体"/>
          <w:b w:val="0"/>
          <w:snapToGrid w:val="0"/>
        </w:rPr>
      </w:pPr>
      <w:bookmarkStart w:id="733" w:name="_Toc19866"/>
      <w:bookmarkStart w:id="734" w:name="_Toc7105"/>
      <w:bookmarkStart w:id="735" w:name="_Toc26015"/>
      <w:r>
        <w:rPr>
          <w:rFonts w:ascii="宋体" w:hAnsi="宋体"/>
          <w:b w:val="0"/>
          <w:snapToGrid w:val="0"/>
        </w:rPr>
        <w:t>3.  评标程序</w:t>
      </w:r>
      <w:bookmarkEnd w:id="733"/>
      <w:bookmarkEnd w:id="734"/>
      <w:bookmarkEnd w:id="735"/>
    </w:p>
    <w:p>
      <w:pPr>
        <w:pStyle w:val="5"/>
        <w:spacing w:before="0" w:after="0" w:line="360" w:lineRule="auto"/>
        <w:rPr>
          <w:rFonts w:ascii="宋体" w:hAnsi="宋体" w:cs="宋体"/>
          <w:sz w:val="21"/>
          <w:szCs w:val="21"/>
        </w:rPr>
      </w:pPr>
      <w:bookmarkStart w:id="736" w:name="_Toc28367"/>
      <w:r>
        <w:rPr>
          <w:rFonts w:ascii="宋体" w:hAnsi="宋体" w:cs="宋体"/>
          <w:sz w:val="21"/>
          <w:szCs w:val="21"/>
        </w:rPr>
        <w:t>3.1</w:t>
      </w:r>
      <w:r>
        <w:rPr>
          <w:rFonts w:hint="eastAsia" w:ascii="宋体" w:hAnsi="宋体" w:cs="宋体"/>
          <w:sz w:val="21"/>
          <w:szCs w:val="21"/>
        </w:rPr>
        <w:t>报价排序</w:t>
      </w:r>
      <w:bookmarkEnd w:id="736"/>
    </w:p>
    <w:p>
      <w:pPr>
        <w:spacing w:line="360" w:lineRule="auto"/>
        <w:ind w:firstLine="413" w:firstLineChars="197"/>
        <w:rPr>
          <w:rFonts w:ascii="宋体" w:hAnsi="宋体" w:cs="宋体"/>
          <w:szCs w:val="21"/>
        </w:rPr>
      </w:pPr>
      <w:r>
        <w:rPr>
          <w:rFonts w:hint="eastAsia" w:ascii="宋体" w:hAnsi="宋体" w:cs="宋体"/>
          <w:szCs w:val="21"/>
        </w:rPr>
        <w:t>对报价不高于最高限价的所有投标人的投标文件，按照报价由低到高的顺序排序。需技术方案评审的，由电子评标系统对技术方案进行自动随机编号。在投标函部分及经济部分评审前，推送给评标委员会的投标文件不得显示排序。</w:t>
      </w:r>
    </w:p>
    <w:p>
      <w:pPr>
        <w:pStyle w:val="5"/>
        <w:spacing w:before="0" w:after="0" w:line="360" w:lineRule="auto"/>
        <w:rPr>
          <w:rFonts w:ascii="宋体" w:hAnsi="宋体" w:cs="宋体"/>
          <w:sz w:val="21"/>
          <w:szCs w:val="21"/>
        </w:rPr>
      </w:pPr>
      <w:bookmarkStart w:id="737" w:name="_Toc19164"/>
      <w:r>
        <w:rPr>
          <w:rFonts w:ascii="宋体" w:hAnsi="宋体" w:cs="宋体"/>
          <w:sz w:val="21"/>
          <w:szCs w:val="21"/>
        </w:rPr>
        <w:t>3.</w:t>
      </w:r>
      <w:r>
        <w:rPr>
          <w:rFonts w:hint="eastAsia" w:ascii="宋体" w:hAnsi="宋体" w:cs="宋体"/>
          <w:sz w:val="21"/>
          <w:szCs w:val="21"/>
        </w:rPr>
        <w:t>2符合性审查</w:t>
      </w:r>
      <w:bookmarkEnd w:id="737"/>
    </w:p>
    <w:p>
      <w:pPr>
        <w:spacing w:line="360" w:lineRule="auto"/>
        <w:ind w:firstLine="413" w:firstLineChars="197"/>
        <w:rPr>
          <w:rFonts w:ascii="宋体" w:hAnsi="宋体" w:cs="宋体"/>
          <w:szCs w:val="21"/>
        </w:rPr>
      </w:pPr>
      <w:r>
        <w:rPr>
          <w:rFonts w:ascii="宋体" w:hAnsi="宋体" w:cs="宋体"/>
          <w:szCs w:val="21"/>
        </w:rPr>
        <w:t>3.</w:t>
      </w:r>
      <w:r>
        <w:rPr>
          <w:rFonts w:hint="eastAsia" w:ascii="宋体" w:hAnsi="宋体" w:cs="宋体"/>
          <w:szCs w:val="21"/>
        </w:rPr>
        <w:t>2</w:t>
      </w:r>
      <w:r>
        <w:rPr>
          <w:rFonts w:ascii="宋体" w:hAnsi="宋体" w:cs="宋体"/>
          <w:szCs w:val="21"/>
        </w:rPr>
        <w:t>.1评标委员会依据本章第2.</w:t>
      </w:r>
      <w:r>
        <w:rPr>
          <w:rFonts w:hint="eastAsia" w:ascii="宋体" w:hAnsi="宋体" w:cs="宋体"/>
          <w:szCs w:val="21"/>
        </w:rPr>
        <w:t>2</w:t>
      </w:r>
      <w:r>
        <w:rPr>
          <w:rFonts w:ascii="宋体" w:hAnsi="宋体" w:cs="宋体"/>
          <w:szCs w:val="21"/>
        </w:rPr>
        <w:t xml:space="preserve"> </w:t>
      </w:r>
      <w:r>
        <w:rPr>
          <w:rFonts w:hint="eastAsia" w:ascii="宋体" w:hAnsi="宋体" w:cs="宋体"/>
          <w:szCs w:val="21"/>
        </w:rPr>
        <w:t>款规定的标准对投标文件进行符合性审查。符合性审查顺序：技术方案评审（如有）、资格评审、形式评审、响应性、投标函部分及经济部分评审。</w:t>
      </w:r>
    </w:p>
    <w:p>
      <w:pPr>
        <w:spacing w:line="360" w:lineRule="auto"/>
        <w:ind w:firstLine="413" w:firstLineChars="197"/>
        <w:rPr>
          <w:rFonts w:ascii="宋体" w:hAnsi="宋体" w:cs="宋体"/>
          <w:szCs w:val="21"/>
        </w:rPr>
      </w:pPr>
      <w:r>
        <w:rPr>
          <w:rFonts w:hint="eastAsia" w:ascii="宋体" w:hAnsi="宋体" w:cs="宋体"/>
          <w:szCs w:val="21"/>
        </w:rPr>
        <w:t>勾选技术方案评审的，符合性审查应首先进行技术方案审查，再按照资格、形式、响应性、投标函部分及经济部分的顺序进行评审。有一项不符合评审标准的，作否决投标处理。</w:t>
      </w:r>
    </w:p>
    <w:p>
      <w:pPr>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2</w:t>
      </w:r>
      <w:r>
        <w:rPr>
          <w:rFonts w:ascii="宋体" w:hAnsi="宋体" w:cs="宋体"/>
          <w:szCs w:val="21"/>
        </w:rPr>
        <w:t>.2 投标人有以下情形之一的，</w:t>
      </w:r>
      <w:r>
        <w:rPr>
          <w:rFonts w:hint="eastAsia" w:ascii="宋体" w:hAnsi="宋体" w:cs="宋体"/>
          <w:szCs w:val="21"/>
        </w:rPr>
        <w:t>其投标文件将被否决：</w:t>
      </w:r>
    </w:p>
    <w:p>
      <w:pPr>
        <w:spacing w:line="360" w:lineRule="auto"/>
        <w:ind w:firstLine="405" w:firstLineChars="193"/>
        <w:rPr>
          <w:rFonts w:ascii="宋体" w:hAnsi="宋体" w:cs="宋体"/>
          <w:szCs w:val="21"/>
        </w:rPr>
      </w:pPr>
      <w:r>
        <w:rPr>
          <w:rFonts w:hint="eastAsia" w:ascii="宋体" w:hAnsi="宋体" w:cs="宋体"/>
          <w:szCs w:val="21"/>
        </w:rPr>
        <w:t>（1</w:t>
      </w:r>
      <w:r>
        <w:rPr>
          <w:rFonts w:ascii="宋体" w:hAnsi="宋体" w:cs="宋体"/>
          <w:szCs w:val="21"/>
        </w:rPr>
        <w:t xml:space="preserve">）第二章“投标人须知”第1.4.3 </w:t>
      </w:r>
      <w:r>
        <w:rPr>
          <w:rFonts w:hint="eastAsia" w:ascii="宋体" w:hAnsi="宋体" w:cs="宋体"/>
          <w:szCs w:val="21"/>
        </w:rPr>
        <w:t>项</w:t>
      </w:r>
      <w:r>
        <w:rPr>
          <w:rFonts w:ascii="宋体" w:hAnsi="宋体" w:cs="宋体"/>
          <w:szCs w:val="21"/>
        </w:rPr>
        <w:t>规定的任何一种情形的；</w:t>
      </w:r>
    </w:p>
    <w:p>
      <w:pPr>
        <w:spacing w:line="360" w:lineRule="auto"/>
        <w:ind w:firstLine="420" w:firstLineChars="200"/>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本次投标有串通投标、弄虚作假等其他违反招投标相关法律、法规行为的；</w:t>
      </w:r>
    </w:p>
    <w:p>
      <w:pPr>
        <w:spacing w:line="360" w:lineRule="auto"/>
        <w:ind w:firstLine="420" w:firstLineChars="200"/>
        <w:rPr>
          <w:rFonts w:ascii="宋体" w:hAnsi="宋体" w:cs="宋体"/>
          <w:szCs w:val="21"/>
        </w:rPr>
      </w:pPr>
      <w:r>
        <w:rPr>
          <w:rFonts w:hint="eastAsia" w:ascii="宋体" w:hAnsi="宋体" w:cs="宋体"/>
          <w:szCs w:val="21"/>
        </w:rPr>
        <w:t>（3）拒绝按评标委员会要求澄清、说明或补正的。</w:t>
      </w:r>
    </w:p>
    <w:p>
      <w:pPr>
        <w:spacing w:line="360" w:lineRule="auto"/>
        <w:ind w:firstLine="420" w:firstLineChars="200"/>
        <w:rPr>
          <w:rFonts w:ascii="宋体" w:hAnsi="宋体" w:cs="宋体"/>
          <w:szCs w:val="21"/>
        </w:rPr>
      </w:pPr>
      <w:r>
        <w:rPr>
          <w:rFonts w:hint="eastAsia" w:ascii="宋体" w:hAnsi="宋体" w:cs="宋体"/>
          <w:szCs w:val="21"/>
        </w:rPr>
        <w:t>3.2.3 投标报价有算术错误的，评标委员会按以下原则对投标报价进行修正，修正的价格经投标人书面确认后具有约束力，修正原则如下：</w:t>
      </w:r>
    </w:p>
    <w:p>
      <w:pPr>
        <w:spacing w:line="360" w:lineRule="auto"/>
        <w:ind w:firstLine="420" w:firstLineChars="200"/>
        <w:rPr>
          <w:rFonts w:ascii="宋体" w:hAnsi="宋体" w:cs="宋体"/>
          <w:szCs w:val="21"/>
        </w:rPr>
      </w:pPr>
      <w:r>
        <w:rPr>
          <w:rFonts w:hint="eastAsia" w:ascii="宋体" w:hAnsi="宋体" w:cs="宋体"/>
          <w:szCs w:val="21"/>
        </w:rPr>
        <w:t>（1）投标文件中的大写金额与小写金额不一致的，以大写金额为准；</w:t>
      </w:r>
    </w:p>
    <w:p>
      <w:pPr>
        <w:pStyle w:val="5"/>
        <w:spacing w:before="0" w:after="0" w:line="360" w:lineRule="auto"/>
        <w:rPr>
          <w:rFonts w:ascii="宋体" w:hAnsi="宋体" w:cs="宋体"/>
          <w:sz w:val="21"/>
          <w:szCs w:val="21"/>
        </w:rPr>
      </w:pPr>
      <w:bookmarkStart w:id="738" w:name="_Toc14647"/>
      <w:r>
        <w:rPr>
          <w:rFonts w:ascii="宋体" w:hAnsi="宋体" w:cs="宋体"/>
          <w:sz w:val="21"/>
          <w:szCs w:val="21"/>
        </w:rPr>
        <w:t>3.</w:t>
      </w:r>
      <w:r>
        <w:rPr>
          <w:rFonts w:hint="eastAsia" w:ascii="宋体" w:hAnsi="宋体" w:cs="宋体"/>
          <w:sz w:val="21"/>
          <w:szCs w:val="21"/>
        </w:rPr>
        <w:t>3</w:t>
      </w:r>
      <w:r>
        <w:rPr>
          <w:rFonts w:ascii="宋体" w:hAnsi="宋体" w:cs="宋体"/>
          <w:sz w:val="21"/>
          <w:szCs w:val="21"/>
        </w:rPr>
        <w:t xml:space="preserve"> </w:t>
      </w:r>
      <w:r>
        <w:rPr>
          <w:rFonts w:hint="eastAsia" w:ascii="宋体" w:hAnsi="宋体" w:cs="宋体"/>
          <w:sz w:val="21"/>
          <w:szCs w:val="21"/>
        </w:rPr>
        <w:t>投标文件的澄清和补正</w:t>
      </w:r>
      <w:bookmarkEnd w:id="738"/>
    </w:p>
    <w:p>
      <w:pPr>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3</w:t>
      </w:r>
      <w:r>
        <w:rPr>
          <w:rFonts w:ascii="宋体" w:hAnsi="宋体" w:cs="宋体"/>
          <w:szCs w:val="21"/>
        </w:rPr>
        <w:t xml:space="preserve">.1 </w:t>
      </w:r>
      <w:r>
        <w:rPr>
          <w:rFonts w:hint="eastAsia" w:ascii="宋体" w:hAnsi="宋体" w:cs="宋体"/>
          <w:szCs w:val="21"/>
        </w:rPr>
        <w:t>在评标过程中，评标委员会可以书面形式要求投标人对所提交投标文件中不明确的内容进行书面澄清或说明，或者对细微偏差进行补正。评标委员会不接受投标人主动提出的澄清、说明或补正。</w:t>
      </w:r>
    </w:p>
    <w:p>
      <w:pPr>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3</w:t>
      </w:r>
      <w:r>
        <w:rPr>
          <w:rFonts w:ascii="宋体" w:hAnsi="宋体" w:cs="宋体"/>
          <w:szCs w:val="21"/>
        </w:rPr>
        <w:t xml:space="preserve">.2 </w:t>
      </w:r>
      <w:r>
        <w:rPr>
          <w:rFonts w:hint="eastAsia" w:ascii="宋体" w:hAnsi="宋体" w:cs="宋体"/>
          <w:szCs w:val="21"/>
        </w:rPr>
        <w:t>澄清、说明和补正不得改变投标文件的实质性内容（算术性错误修正的除外）。投标人的书面澄清、说明和补正属于投标文件的组成部分。</w:t>
      </w:r>
    </w:p>
    <w:p>
      <w:pPr>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3</w:t>
      </w:r>
      <w:r>
        <w:rPr>
          <w:rFonts w:ascii="宋体" w:hAnsi="宋体" w:cs="宋体"/>
          <w:szCs w:val="21"/>
        </w:rPr>
        <w:t xml:space="preserve">.3 </w:t>
      </w:r>
      <w:r>
        <w:rPr>
          <w:rFonts w:hint="eastAsia" w:ascii="宋体" w:hAnsi="宋体" w:cs="宋体"/>
          <w:szCs w:val="21"/>
        </w:rPr>
        <w:t>评标委员会对投标人提交的澄清、说明或补正有疑问的，可以要求投标人进一步澄清、说明或补正，直至满足评标委员会的要求。</w:t>
      </w:r>
    </w:p>
    <w:p>
      <w:pPr>
        <w:pStyle w:val="5"/>
        <w:spacing w:before="0" w:after="0" w:line="360" w:lineRule="auto"/>
        <w:rPr>
          <w:rFonts w:ascii="宋体" w:hAnsi="宋体" w:cs="宋体"/>
          <w:sz w:val="21"/>
          <w:szCs w:val="21"/>
        </w:rPr>
      </w:pPr>
      <w:bookmarkStart w:id="739" w:name="_Toc25249"/>
      <w:bookmarkStart w:id="740" w:name="_Toc484465184"/>
      <w:bookmarkStart w:id="741" w:name="_Toc479262406"/>
      <w:r>
        <w:rPr>
          <w:rFonts w:ascii="宋体" w:hAnsi="宋体" w:cs="宋体"/>
          <w:sz w:val="21"/>
          <w:szCs w:val="21"/>
        </w:rPr>
        <w:t>3.</w:t>
      </w:r>
      <w:r>
        <w:rPr>
          <w:rFonts w:hint="eastAsia" w:ascii="宋体" w:hAnsi="宋体" w:cs="宋体"/>
          <w:sz w:val="21"/>
          <w:szCs w:val="21"/>
        </w:rPr>
        <w:t>4</w:t>
      </w:r>
      <w:r>
        <w:rPr>
          <w:rFonts w:ascii="宋体" w:hAnsi="宋体" w:cs="宋体"/>
          <w:sz w:val="21"/>
          <w:szCs w:val="21"/>
        </w:rPr>
        <w:t xml:space="preserve"> </w:t>
      </w:r>
      <w:r>
        <w:rPr>
          <w:rFonts w:hint="eastAsia" w:ascii="宋体" w:hAnsi="宋体" w:cs="宋体"/>
          <w:sz w:val="21"/>
          <w:szCs w:val="21"/>
        </w:rPr>
        <w:t>评标结果</w:t>
      </w:r>
      <w:bookmarkEnd w:id="739"/>
      <w:bookmarkEnd w:id="740"/>
      <w:bookmarkEnd w:id="741"/>
    </w:p>
    <w:p>
      <w:pPr>
        <w:autoSpaceDE w:val="0"/>
        <w:autoSpaceDN w:val="0"/>
        <w:adjustRightInd w:val="0"/>
        <w:spacing w:line="360" w:lineRule="auto"/>
        <w:ind w:firstLine="420" w:firstLineChars="200"/>
        <w:jc w:val="left"/>
        <w:rPr>
          <w:rFonts w:ascii="宋体" w:hAnsi="宋体" w:cs="宋体"/>
          <w:kern w:val="0"/>
          <w:szCs w:val="21"/>
        </w:rPr>
      </w:pPr>
      <w:r>
        <w:rPr>
          <w:rFonts w:ascii="宋体" w:hAnsi="宋体" w:cs="宋体"/>
          <w:szCs w:val="21"/>
        </w:rPr>
        <w:t>3.</w:t>
      </w:r>
      <w:r>
        <w:rPr>
          <w:rFonts w:hint="eastAsia" w:ascii="宋体" w:hAnsi="宋体" w:cs="宋体"/>
          <w:szCs w:val="21"/>
        </w:rPr>
        <w:t>4</w:t>
      </w:r>
      <w:r>
        <w:rPr>
          <w:rFonts w:ascii="宋体" w:hAnsi="宋体" w:cs="宋体"/>
          <w:szCs w:val="21"/>
        </w:rPr>
        <w:t>.1</w:t>
      </w:r>
      <w:r>
        <w:rPr>
          <w:rFonts w:hint="eastAsia" w:ascii="宋体" w:hAnsi="宋体" w:cs="宋体"/>
          <w:szCs w:val="21"/>
        </w:rPr>
        <w:t xml:space="preserve"> 除第二章“投标人须知”前附表授权直接确定中标人外，评标委员会按经评审的最低投标价法推荐中标候选人。</w:t>
      </w:r>
    </w:p>
    <w:p>
      <w:pPr>
        <w:spacing w:line="360" w:lineRule="auto"/>
        <w:ind w:firstLine="420" w:firstLineChars="200"/>
        <w:jc w:val="left"/>
        <w:rPr>
          <w:rFonts w:ascii="宋体" w:hAnsi="宋体" w:cs="宋体"/>
          <w:szCs w:val="21"/>
        </w:rPr>
      </w:pPr>
      <w:r>
        <w:rPr>
          <w:rFonts w:ascii="宋体" w:hAnsi="宋体" w:cs="宋体"/>
          <w:szCs w:val="21"/>
        </w:rPr>
        <w:t>3.</w:t>
      </w:r>
      <w:r>
        <w:rPr>
          <w:rFonts w:hint="eastAsia" w:ascii="宋体" w:hAnsi="宋体" w:cs="宋体"/>
          <w:szCs w:val="21"/>
        </w:rPr>
        <w:t>4</w:t>
      </w:r>
      <w:r>
        <w:rPr>
          <w:rFonts w:ascii="宋体" w:hAnsi="宋体" w:cs="宋体"/>
          <w:szCs w:val="21"/>
        </w:rPr>
        <w:t>.2</w:t>
      </w:r>
      <w:r>
        <w:rPr>
          <w:rFonts w:hint="eastAsia" w:ascii="宋体" w:hAnsi="宋体" w:cs="宋体"/>
          <w:szCs w:val="21"/>
        </w:rPr>
        <w:t xml:space="preserve"> 评标委员会完成评标后，应当向招标人提交书面评标报告和中标候选人名单。</w:t>
      </w:r>
    </w:p>
    <w:p>
      <w:pPr>
        <w:pStyle w:val="34"/>
        <w:spacing w:line="360" w:lineRule="auto"/>
        <w:rPr>
          <w:rFonts w:ascii="宋体" w:hAnsi="宋体"/>
          <w:b/>
          <w:sz w:val="28"/>
          <w:szCs w:val="28"/>
          <w:u w:val="none"/>
          <w:lang w:eastAsia="zh-CN"/>
        </w:rPr>
      </w:pPr>
      <w:r>
        <w:rPr>
          <w:rFonts w:ascii="宋体" w:hAnsi="宋体" w:cs="宋体"/>
          <w:szCs w:val="21"/>
          <w:lang w:eastAsia="zh-CN"/>
        </w:rPr>
        <w:br w:type="page"/>
      </w:r>
      <w:r>
        <w:rPr>
          <w:rFonts w:ascii="宋体" w:hAnsi="宋体"/>
          <w:b/>
          <w:sz w:val="28"/>
          <w:szCs w:val="28"/>
          <w:u w:val="none"/>
          <w:lang w:eastAsia="zh-CN"/>
        </w:rPr>
        <w:t>附件A：</w:t>
      </w:r>
      <w:r>
        <w:rPr>
          <w:rFonts w:hint="eastAsia" w:ascii="宋体" w:hAnsi="宋体"/>
          <w:b/>
          <w:sz w:val="28"/>
          <w:szCs w:val="28"/>
          <w:u w:val="none"/>
          <w:lang w:eastAsia="zh-CN"/>
        </w:rPr>
        <w:t>经评审的最低投标价法</w:t>
      </w:r>
      <w:r>
        <w:rPr>
          <w:rFonts w:ascii="宋体" w:hAnsi="宋体"/>
          <w:b/>
          <w:sz w:val="28"/>
          <w:szCs w:val="28"/>
          <w:u w:val="none"/>
          <w:lang w:eastAsia="zh-CN"/>
        </w:rPr>
        <w:t>否决投标情况一览表</w:t>
      </w:r>
    </w:p>
    <w:p>
      <w:pPr>
        <w:pStyle w:val="34"/>
        <w:spacing w:line="360" w:lineRule="auto"/>
        <w:ind w:firstLine="420" w:firstLineChars="200"/>
        <w:jc w:val="both"/>
        <w:rPr>
          <w:rFonts w:ascii="宋体" w:hAnsi="宋体"/>
          <w:sz w:val="21"/>
          <w:szCs w:val="21"/>
          <w:u w:val="none"/>
          <w:lang w:eastAsia="zh-CN"/>
        </w:rPr>
      </w:pPr>
      <w:r>
        <w:rPr>
          <w:rFonts w:hint="eastAsia" w:ascii="宋体" w:hAnsi="宋体"/>
          <w:sz w:val="21"/>
          <w:szCs w:val="21"/>
          <w:u w:val="none"/>
          <w:lang w:eastAsia="zh-CN"/>
        </w:rPr>
        <w:t>投标文件存在本一览表下列情形之一的，投标文件视为重大偏差并作否决投标处理，否则，评标委员会不得视为重大偏差而否决投标人的投标文件</w:t>
      </w:r>
      <w:r>
        <w:rPr>
          <w:rFonts w:ascii="宋体" w:hAnsi="宋体"/>
          <w:sz w:val="21"/>
          <w:szCs w:val="21"/>
          <w:u w:val="none"/>
          <w:lang w:eastAsia="zh-CN"/>
        </w:rPr>
        <w:t>。</w:t>
      </w:r>
    </w:p>
    <w:tbl>
      <w:tblPr>
        <w:tblStyle w:val="54"/>
        <w:tblW w:w="8809"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961"/>
        <w:gridCol w:w="1515"/>
        <w:gridCol w:w="633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Align w:val="center"/>
          </w:tcPr>
          <w:p>
            <w:pPr>
              <w:spacing w:line="400" w:lineRule="exact"/>
              <w:jc w:val="center"/>
              <w:rPr>
                <w:rFonts w:ascii="宋体" w:hAnsi="宋体"/>
                <w:b/>
                <w:szCs w:val="21"/>
              </w:rPr>
            </w:pPr>
            <w:r>
              <w:rPr>
                <w:rFonts w:ascii="宋体" w:hAnsi="宋体"/>
                <w:b/>
                <w:szCs w:val="21"/>
              </w:rPr>
              <w:t>章节号</w:t>
            </w:r>
          </w:p>
        </w:tc>
        <w:tc>
          <w:tcPr>
            <w:tcW w:w="1515" w:type="dxa"/>
            <w:vAlign w:val="center"/>
          </w:tcPr>
          <w:p>
            <w:pPr>
              <w:spacing w:line="400" w:lineRule="exact"/>
              <w:jc w:val="center"/>
              <w:rPr>
                <w:rFonts w:ascii="宋体" w:hAnsi="宋体"/>
                <w:b/>
                <w:szCs w:val="21"/>
              </w:rPr>
            </w:pPr>
            <w:r>
              <w:rPr>
                <w:rFonts w:ascii="宋体" w:hAnsi="宋体"/>
                <w:b/>
                <w:szCs w:val="21"/>
              </w:rPr>
              <w:t>条款名称</w:t>
            </w:r>
          </w:p>
        </w:tc>
        <w:tc>
          <w:tcPr>
            <w:tcW w:w="6333" w:type="dxa"/>
            <w:vAlign w:val="center"/>
          </w:tcPr>
          <w:p>
            <w:pPr>
              <w:spacing w:line="400" w:lineRule="exact"/>
              <w:jc w:val="center"/>
              <w:rPr>
                <w:rFonts w:ascii="宋体" w:hAnsi="宋体"/>
                <w:b/>
                <w:szCs w:val="21"/>
              </w:rPr>
            </w:pPr>
            <w:r>
              <w:rPr>
                <w:rFonts w:ascii="宋体" w:hAnsi="宋体"/>
                <w:b/>
                <w:szCs w:val="21"/>
              </w:rPr>
              <w:t>否决投标条件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restart"/>
            <w:vAlign w:val="center"/>
          </w:tcPr>
          <w:p>
            <w:pPr>
              <w:spacing w:line="400" w:lineRule="exact"/>
              <w:jc w:val="center"/>
              <w:rPr>
                <w:rFonts w:ascii="宋体" w:hAnsi="宋体"/>
                <w:szCs w:val="21"/>
              </w:rPr>
            </w:pPr>
            <w:r>
              <w:rPr>
                <w:rFonts w:hint="eastAsia" w:ascii="宋体" w:hAnsi="宋体"/>
                <w:szCs w:val="21"/>
              </w:rPr>
              <w:t>第三章</w:t>
            </w:r>
          </w:p>
        </w:tc>
        <w:tc>
          <w:tcPr>
            <w:tcW w:w="1515" w:type="dxa"/>
            <w:tcBorders>
              <w:bottom w:val="single" w:color="auto" w:sz="4" w:space="0"/>
            </w:tcBorders>
            <w:vAlign w:val="center"/>
          </w:tcPr>
          <w:p>
            <w:pPr>
              <w:spacing w:line="400" w:lineRule="exact"/>
              <w:jc w:val="center"/>
              <w:rPr>
                <w:rFonts w:ascii="宋体" w:hAnsi="宋体"/>
                <w:szCs w:val="21"/>
              </w:rPr>
            </w:pPr>
            <w:r>
              <w:rPr>
                <w:rFonts w:hint="eastAsia" w:ascii="宋体" w:hAnsi="宋体"/>
                <w:szCs w:val="21"/>
              </w:rPr>
              <w:t>技术方案评审</w:t>
            </w:r>
          </w:p>
          <w:p>
            <w:pPr>
              <w:spacing w:line="400" w:lineRule="exact"/>
              <w:jc w:val="center"/>
              <w:rPr>
                <w:rFonts w:ascii="宋体" w:hAnsi="宋体"/>
                <w:szCs w:val="21"/>
              </w:rPr>
            </w:pPr>
            <w:r>
              <w:rPr>
                <w:rFonts w:hint="eastAsia" w:ascii="宋体" w:hAnsi="宋体"/>
                <w:szCs w:val="21"/>
              </w:rPr>
              <w:t>（如有）</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A-1投标人的技术方案综合性评审不合格，由评标委员会作否决投标处理。技术方案采用暗标评审时，其形式应符合第二章投标人须知前附表第3.7.5项（3）技术部分的要求，否则由评标委员会作否决投标处理。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restart"/>
            <w:tcBorders>
              <w:top w:val="single" w:color="auto" w:sz="4" w:space="0"/>
            </w:tcBorders>
            <w:vAlign w:val="center"/>
          </w:tcPr>
          <w:p>
            <w:pPr>
              <w:spacing w:line="400" w:lineRule="exact"/>
              <w:jc w:val="center"/>
              <w:rPr>
                <w:rFonts w:ascii="宋体" w:hAnsi="宋体"/>
                <w:szCs w:val="21"/>
              </w:rPr>
            </w:pPr>
            <w:r>
              <w:rPr>
                <w:rFonts w:hint="eastAsia" w:ascii="宋体" w:hAnsi="宋体"/>
                <w:szCs w:val="21"/>
              </w:rPr>
              <w:t>资格评审</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A-2投标人的资质条件、营业执照及安全生产条件须满足投标人须知前附表第1.4.1项的要求，否则由评标委员会作否决投标处理。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A-3投标人的财务须满足投标人须知前附表第1.4.1项的要求，否则由评标委员会作否决投标处理（如有）。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A-4投标人的业绩须满足投标人须知前附表第1.4.1项的要求，否则由评标委员会作否决投标处理（如有）。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A-5投标人的投标截止日投标资格情况须满足投标人须知前附表第1.4.1项的要求，否则由评标委员会作否决投标处理。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A-6投标人的项目经理资格须满足投标人须知前附表第1.4.1项的要求，否则由评标委员会作否决投标处理。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A-7投标人的其他要求须满足投标人须知前附表第1.4.1项的要求，否则由评标委员会作否决投标处理。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A-8若有联合体投标人，则：</w:t>
            </w:r>
          </w:p>
          <w:p>
            <w:pPr>
              <w:spacing w:line="400" w:lineRule="exact"/>
              <w:ind w:firstLine="420" w:firstLineChars="200"/>
              <w:rPr>
                <w:rFonts w:ascii="宋体" w:hAnsi="宋体"/>
                <w:szCs w:val="21"/>
              </w:rPr>
            </w:pPr>
            <w:r>
              <w:rPr>
                <w:rFonts w:hint="eastAsia" w:ascii="宋体" w:hAnsi="宋体"/>
                <w:szCs w:val="21"/>
              </w:rPr>
              <w:t>（1）联合体各方应按照招标文件提供的格式签订联合体协议书，明确联合体牵头人和各方权利义务；</w:t>
            </w:r>
          </w:p>
          <w:p>
            <w:pPr>
              <w:spacing w:line="400" w:lineRule="exact"/>
              <w:ind w:firstLine="420" w:firstLineChars="200"/>
              <w:rPr>
                <w:rFonts w:ascii="宋体" w:hAnsi="宋体"/>
                <w:szCs w:val="21"/>
              </w:rPr>
            </w:pPr>
            <w:r>
              <w:rPr>
                <w:rFonts w:hint="eastAsia" w:ascii="宋体" w:hAnsi="宋体"/>
                <w:szCs w:val="21"/>
              </w:rPr>
              <w:t>（2）联合体各方均应当具备承担招标项目的相应能力，联合体协议约定同一专业分工由两个及以上单位共同承担的，按照资质等级较低的单位确定资质等级；</w:t>
            </w:r>
          </w:p>
          <w:p>
            <w:pPr>
              <w:spacing w:line="400" w:lineRule="exact"/>
              <w:ind w:firstLine="420" w:firstLineChars="200"/>
              <w:rPr>
                <w:rFonts w:ascii="宋体" w:hAnsi="宋体"/>
                <w:szCs w:val="21"/>
              </w:rPr>
            </w:pPr>
            <w:r>
              <w:rPr>
                <w:rFonts w:hint="eastAsia" w:ascii="宋体" w:hAnsi="宋体"/>
                <w:szCs w:val="21"/>
              </w:rPr>
              <w:t>（3）联合体各方不得再以自己名义单独或参加其他联合体在同一标段中投标。</w:t>
            </w:r>
          </w:p>
          <w:p>
            <w:pPr>
              <w:spacing w:line="400" w:lineRule="exact"/>
              <w:ind w:firstLine="420" w:firstLineChars="200"/>
              <w:rPr>
                <w:rFonts w:ascii="宋体" w:hAnsi="宋体"/>
                <w:szCs w:val="21"/>
              </w:rPr>
            </w:pPr>
            <w:r>
              <w:rPr>
                <w:rFonts w:hint="eastAsia" w:ascii="宋体" w:hAnsi="宋体"/>
                <w:szCs w:val="21"/>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restart"/>
            <w:vAlign w:val="center"/>
          </w:tcPr>
          <w:p>
            <w:pPr>
              <w:spacing w:line="400" w:lineRule="exact"/>
              <w:jc w:val="center"/>
              <w:rPr>
                <w:rFonts w:ascii="宋体" w:hAnsi="宋体"/>
                <w:szCs w:val="21"/>
              </w:rPr>
            </w:pPr>
            <w:r>
              <w:rPr>
                <w:rFonts w:hint="eastAsia" w:ascii="宋体" w:hAnsi="宋体"/>
                <w:szCs w:val="21"/>
              </w:rPr>
              <w:t>形式评审</w:t>
            </w:r>
          </w:p>
        </w:tc>
        <w:tc>
          <w:tcPr>
            <w:tcW w:w="6333" w:type="dxa"/>
          </w:tcPr>
          <w:p>
            <w:pPr>
              <w:spacing w:line="400" w:lineRule="exact"/>
              <w:ind w:firstLine="420" w:firstLineChars="200"/>
              <w:rPr>
                <w:rFonts w:ascii="宋体" w:hAnsi="宋体"/>
                <w:szCs w:val="21"/>
              </w:rPr>
            </w:pPr>
            <w:r>
              <w:rPr>
                <w:rFonts w:hint="eastAsia" w:ascii="宋体" w:hAnsi="宋体"/>
                <w:szCs w:val="21"/>
              </w:rPr>
              <w:t>A-9投标人名称必须与营业执照、资质证书、安全生产许可证一致，依法变更名称的应提交相应证明材料，</w:t>
            </w:r>
            <w:r>
              <w:rPr>
                <w:rFonts w:ascii="宋体" w:hAnsi="宋体"/>
                <w:szCs w:val="21"/>
              </w:rPr>
              <w:t>否则</w:t>
            </w:r>
            <w:r>
              <w:rPr>
                <w:rFonts w:hint="eastAsia" w:ascii="宋体" w:hAnsi="宋体"/>
                <w:szCs w:val="21"/>
              </w:rPr>
              <w:t>由评标委员会</w:t>
            </w:r>
            <w:r>
              <w:rPr>
                <w:rFonts w:ascii="宋体" w:hAnsi="宋体"/>
                <w:szCs w:val="21"/>
              </w:rPr>
              <w:t>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A-10投标文件格式（不含投标函部分）符合第二章“投标人须知”第3.7款的要求，否则由评标委员会作否决投标处理。</w:t>
            </w:r>
          </w:p>
          <w:p>
            <w:pPr>
              <w:spacing w:line="400" w:lineRule="exact"/>
              <w:ind w:firstLine="420" w:firstLineChars="200"/>
              <w:rPr>
                <w:rFonts w:ascii="宋体" w:hAnsi="宋体"/>
                <w:szCs w:val="21"/>
              </w:rPr>
            </w:pPr>
            <w:r>
              <w:rPr>
                <w:rFonts w:hint="eastAsia" w:ascii="宋体" w:hAnsi="宋体"/>
                <w:kern w:val="0"/>
                <w:szCs w:val="21"/>
              </w:rPr>
              <w:t>编制投标文件时不得对第八章“投标文件格式”的相应要素作实质性修改，否则</w:t>
            </w:r>
            <w:r>
              <w:rPr>
                <w:rFonts w:hint="eastAsia" w:ascii="宋体" w:hAnsi="宋体"/>
                <w:szCs w:val="21"/>
              </w:rPr>
              <w:t>视为重大偏差，</w:t>
            </w:r>
            <w:r>
              <w:rPr>
                <w:rFonts w:hint="eastAsia" w:ascii="宋体" w:hAnsi="宋体"/>
                <w:kern w:val="0"/>
                <w:szCs w:val="21"/>
              </w:rPr>
              <w:t>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-11联合体参与投标的应提交联合体协议书，并明确联合体牵头人。在联合体协议书第5条联合体各成员单位内部的职责分工中填写的联合体所有成员单位名称应与其营业执照、资质证书、安全生产许可证一致，依法变更名称的应提交相应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A-12第八章 投标文件格式（不含投标函部分）要求法定代表人或其委托代理人签名（或盖章）的须齐全，要求签名的，</w:t>
            </w:r>
            <w:r>
              <w:rPr>
                <w:rFonts w:hint="eastAsia" w:ascii="宋体" w:hAnsi="宋体"/>
                <w:kern w:val="0"/>
              </w:rPr>
              <w:t>签名采用手写签名或签章或加盖CA数字证书均可，</w:t>
            </w:r>
            <w:r>
              <w:rPr>
                <w:rFonts w:hint="eastAsia" w:ascii="宋体" w:hAnsi="宋体"/>
                <w:szCs w:val="21"/>
              </w:rPr>
              <w:t>否则由评标委员会作否决投标处理。</w:t>
            </w:r>
          </w:p>
          <w:p>
            <w:pPr>
              <w:spacing w:line="400" w:lineRule="exact"/>
              <w:ind w:firstLine="420" w:firstLineChars="200"/>
              <w:rPr>
                <w:rFonts w:ascii="宋体" w:hAnsi="宋体"/>
                <w:szCs w:val="21"/>
              </w:rPr>
            </w:pPr>
            <w:r>
              <w:rPr>
                <w:rFonts w:hint="eastAsia" w:ascii="宋体" w:hAnsi="宋体"/>
                <w:szCs w:val="21"/>
              </w:rPr>
              <w:t>若投标单位为联合体，则联合体协议书中各联合体成员单位签名（或盖章）须齐全，联合体协议书以外的投标文件格式中，要求法定代表人或其委托代理人签名（或盖章）的均由联合体牵头人法定代表人或其委托代理人签名（或盖章），否则由评标委员会作否决投标处理。</w:t>
            </w:r>
          </w:p>
          <w:p>
            <w:pPr>
              <w:spacing w:line="400" w:lineRule="exact"/>
              <w:ind w:firstLine="420" w:firstLineChars="200"/>
              <w:rPr>
                <w:rFonts w:ascii="宋体" w:hAnsi="宋体"/>
                <w:szCs w:val="21"/>
              </w:rPr>
            </w:pPr>
            <w:r>
              <w:rPr>
                <w:rFonts w:hint="eastAsia" w:ascii="宋体" w:hAnsi="宋体"/>
                <w:szCs w:val="21"/>
              </w:rPr>
              <w:t>第八章 投标文件格式（不含投标函部分）要求加盖单位法人章的，应使用 CA 数字证书加盖投标人的单位电子印章，否则由评标委员会作否决投标处理。</w:t>
            </w:r>
          </w:p>
          <w:p>
            <w:pPr>
              <w:spacing w:line="400" w:lineRule="exact"/>
              <w:ind w:firstLine="420" w:firstLineChars="200"/>
              <w:rPr>
                <w:rFonts w:ascii="宋体" w:hAnsi="宋体"/>
                <w:szCs w:val="21"/>
              </w:rPr>
            </w:pPr>
            <w:r>
              <w:rPr>
                <w:rFonts w:hint="eastAsia" w:ascii="宋体" w:hAnsi="宋体"/>
                <w:szCs w:val="21"/>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szCs w:val="21"/>
              </w:rPr>
            </w:pPr>
            <w:r>
              <w:rPr>
                <w:rFonts w:hint="eastAsia" w:ascii="宋体" w:hAnsi="宋体"/>
                <w:szCs w:val="21"/>
              </w:rPr>
              <w:t>A-13投标人法定代表人的委托代理人有法定代表人签署的授权委托书和投标人为其缴纳的养老保险证明材料。否则由评标委员会作否决投标处理。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restart"/>
            <w:vAlign w:val="center"/>
          </w:tcPr>
          <w:p>
            <w:pPr>
              <w:spacing w:line="400" w:lineRule="exact"/>
              <w:jc w:val="center"/>
              <w:rPr>
                <w:rFonts w:ascii="宋体" w:hAnsi="宋体"/>
                <w:szCs w:val="21"/>
              </w:rPr>
            </w:pPr>
            <w:r>
              <w:rPr>
                <w:rFonts w:hint="eastAsia" w:ascii="宋体" w:hAnsi="宋体"/>
                <w:szCs w:val="21"/>
              </w:rPr>
              <w:t>响应性评审</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A-14投标内容符合第二章“投标人须知”第1.3.1项规定，否则由评标委员会作否决投标处理。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A-15投标人应按投标人须知前附表第3.4款规定递交投标保证金，并作为其投标文件的组成部分，否则由评标委员会作否决投标处理。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A-16符合第四章“合同条款及格式”规定，投标文件不应附有招标人不能接受的条件。否则由评标委员会作否决投标处理。（由投标人承诺，承诺书格式详见第八章投标文件格式。）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A-17符合第七章“技术标准和要求”规定。否则由评标委员会作否决投标处理（如有）。（由投标人承诺，承诺书格式详见第八章投标文件格式。）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A-18投标人有以下情形之一的，其投标文件由评标委员会</w:t>
            </w:r>
            <w:r>
              <w:rPr>
                <w:rFonts w:ascii="宋体" w:hAnsi="宋体"/>
                <w:szCs w:val="21"/>
              </w:rPr>
              <w:t>作否决投标处理</w:t>
            </w:r>
            <w:r>
              <w:rPr>
                <w:rFonts w:hint="eastAsia" w:ascii="宋体" w:hAnsi="宋体"/>
                <w:szCs w:val="21"/>
              </w:rPr>
              <w:t>：</w:t>
            </w:r>
          </w:p>
          <w:p>
            <w:pPr>
              <w:spacing w:line="400" w:lineRule="exact"/>
              <w:ind w:firstLine="420" w:firstLineChars="200"/>
              <w:rPr>
                <w:rFonts w:ascii="宋体" w:hAnsi="宋体"/>
                <w:szCs w:val="21"/>
              </w:rPr>
            </w:pPr>
            <w:r>
              <w:rPr>
                <w:rFonts w:hint="eastAsia" w:ascii="宋体" w:hAnsi="宋体"/>
                <w:szCs w:val="21"/>
              </w:rPr>
              <w:t>1.第二章“投标人须知”第1.4.3项规定的任何一种情形的；</w:t>
            </w:r>
          </w:p>
          <w:p>
            <w:pPr>
              <w:spacing w:line="400" w:lineRule="exact"/>
              <w:ind w:firstLine="420" w:firstLineChars="200"/>
              <w:rPr>
                <w:rFonts w:ascii="宋体" w:hAnsi="宋体"/>
                <w:szCs w:val="21"/>
              </w:rPr>
            </w:pPr>
            <w:r>
              <w:rPr>
                <w:rFonts w:hint="eastAsia" w:ascii="宋体" w:hAnsi="宋体"/>
                <w:szCs w:val="21"/>
              </w:rPr>
              <w:t>2.本次投标有串通投标、弄虚作假等违反招投标相关法律、法规的行为的；</w:t>
            </w:r>
          </w:p>
          <w:p>
            <w:pPr>
              <w:spacing w:line="400" w:lineRule="exact"/>
              <w:ind w:firstLine="420" w:firstLineChars="200"/>
              <w:rPr>
                <w:rFonts w:ascii="宋体" w:hAnsi="宋体"/>
                <w:szCs w:val="21"/>
              </w:rPr>
            </w:pPr>
            <w:r>
              <w:rPr>
                <w:rFonts w:hint="eastAsia" w:ascii="宋体" w:hAnsi="宋体"/>
                <w:szCs w:val="21"/>
              </w:rPr>
              <w:t>3.拒绝按评标委员会要求澄清、说明或补正的。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restart"/>
            <w:vAlign w:val="center"/>
          </w:tcPr>
          <w:p>
            <w:pPr>
              <w:spacing w:line="400" w:lineRule="exact"/>
              <w:jc w:val="center"/>
              <w:rPr>
                <w:rFonts w:ascii="宋体" w:hAnsi="宋体"/>
                <w:szCs w:val="21"/>
              </w:rPr>
            </w:pPr>
            <w:r>
              <w:rPr>
                <w:rFonts w:ascii="宋体" w:hAnsi="宋体"/>
                <w:szCs w:val="21"/>
              </w:rPr>
              <w:t>投标函部分及经济部分评审</w:t>
            </w: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A-19</w:t>
            </w:r>
            <w:r>
              <w:rPr>
                <w:rFonts w:hint="eastAsia" w:ascii="宋体" w:hAnsi="宋体" w:cs="宋体"/>
                <w:kern w:val="0"/>
              </w:rPr>
              <w:t>投标函部分的格式要求法定代表人或其委托代理人签名（或盖章）的须齐全，</w:t>
            </w:r>
            <w:r>
              <w:rPr>
                <w:rFonts w:hint="eastAsia" w:ascii="宋体" w:hAnsi="宋体"/>
                <w:szCs w:val="21"/>
              </w:rPr>
              <w:t>要求签名的，</w:t>
            </w:r>
            <w:r>
              <w:rPr>
                <w:rFonts w:hint="eastAsia" w:ascii="宋体" w:hAnsi="宋体"/>
                <w:kern w:val="0"/>
              </w:rPr>
              <w:t>签名采用手写签名或签章或加盖CA数字证书均可，</w:t>
            </w:r>
            <w:r>
              <w:rPr>
                <w:rFonts w:hint="eastAsia" w:ascii="宋体" w:hAnsi="宋体" w:cs="宋体"/>
                <w:kern w:val="0"/>
              </w:rPr>
              <w:t>要求加盖单位法人章的，应使用 CA 数字证书加盖投标人的单位电子印章</w:t>
            </w:r>
            <w:r>
              <w:rPr>
                <w:rFonts w:hint="eastAsia" w:ascii="宋体" w:hAnsi="宋体"/>
                <w:szCs w:val="21"/>
              </w:rPr>
              <w:t>，否则由评标委员会作否决投标处理。</w:t>
            </w:r>
          </w:p>
          <w:p>
            <w:pPr>
              <w:spacing w:line="400" w:lineRule="exact"/>
              <w:ind w:firstLine="420" w:firstLineChars="200"/>
              <w:rPr>
                <w:rFonts w:ascii="宋体" w:hAnsi="宋体"/>
                <w:szCs w:val="21"/>
              </w:rPr>
            </w:pPr>
            <w:r>
              <w:rPr>
                <w:rFonts w:hint="eastAsia" w:ascii="宋体" w:hAnsi="宋体"/>
                <w:szCs w:val="21"/>
              </w:rPr>
              <w:t>联合体投标的，投标函部分的格式中要求投标人加盖单位法人章的，均由联合体牵头人使用 CA 数字证书加盖其单位电子印章，否则由评标委员会作否决投标处理。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A-20工期符合第二章“投标人须知”第1.3.2项规定，否则由评标委员会作否决投标处理。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A-21工程质量符合第二章“投标人须知”第1.3.3项规定，否则由评标委员会作否决投标处理。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A-22投标有效期符合第二章“投标人须知”第3.3.1项规定，否则由评标委员会作否决投标处理。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napToGrid w:val="0"/>
              <w:spacing w:line="320" w:lineRule="exact"/>
              <w:ind w:firstLine="420" w:firstLineChars="200"/>
              <w:rPr>
                <w:rFonts w:ascii="宋体" w:hAnsi="宋体"/>
                <w:szCs w:val="21"/>
              </w:rPr>
            </w:pPr>
            <w:r>
              <w:rPr>
                <w:rFonts w:hint="eastAsia" w:ascii="宋体" w:hAnsi="宋体"/>
                <w:szCs w:val="21"/>
              </w:rPr>
              <w:t>A-23</w:t>
            </w:r>
            <w:r>
              <w:rPr>
                <w:rFonts w:hint="eastAsia" w:ascii="宋体" w:hAnsi="宋体" w:cs="宋体"/>
                <w:kern w:val="0"/>
              </w:rPr>
              <w:t>.</w:t>
            </w:r>
            <w:r>
              <w:rPr>
                <w:rFonts w:hint="eastAsia" w:ascii="宋体" w:hAnsi="宋体" w:cs="宋体"/>
                <w:szCs w:val="21"/>
              </w:rPr>
              <w:t xml:space="preserve"> 投标函中的总报价必须与已标价工程量清单总报价一致，否则</w:t>
            </w:r>
            <w:r>
              <w:rPr>
                <w:rFonts w:hint="eastAsia" w:ascii="宋体" w:hAnsi="宋体"/>
                <w:szCs w:val="21"/>
              </w:rPr>
              <w:t>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napToGrid w:val="0"/>
              <w:spacing w:line="320" w:lineRule="exact"/>
              <w:ind w:firstLine="420" w:firstLineChars="200"/>
              <w:rPr>
                <w:rFonts w:ascii="宋体" w:hAnsi="宋体"/>
                <w:szCs w:val="21"/>
              </w:rPr>
            </w:pPr>
            <w:r>
              <w:rPr>
                <w:rFonts w:hint="eastAsia" w:ascii="宋体" w:hAnsi="宋体"/>
                <w:szCs w:val="21"/>
              </w:rPr>
              <w:t>A-24 投标函中的总报价不得高于招标人公布的投标总报价最高限价，否则由评标委员会作否决投标处理。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A-25 投标总报价低于最高限价85%的，投标人应在编制投标文件时，在投标函部分中递交低价风险担保提交承诺书。承诺书格式详见第八章投标文件格式,否则由评标委员会作否决投标处理。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A-26只能有一个有效报价。在招标文件没有规定的情况下，不得提交选择性报价，否则由评标委员会作否决投标处理。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highlight w:val="none"/>
              </w:rPr>
            </w:pPr>
            <w:r>
              <w:rPr>
                <w:rFonts w:hint="eastAsia" w:ascii="宋体" w:hAnsi="宋体"/>
                <w:szCs w:val="21"/>
                <w:highlight w:val="none"/>
              </w:rPr>
              <w:t>A-27</w:t>
            </w:r>
            <w:r>
              <w:rPr>
                <w:rFonts w:hint="eastAsia" w:ascii="宋体" w:hAnsi="宋体"/>
                <w:kern w:val="0"/>
                <w:highlight w:val="none"/>
              </w:rPr>
              <w:t>暂定金额（暂列金）、暂估价等暂定金额必须按照招标文件给定的金额填报</w:t>
            </w:r>
            <w:r>
              <w:rPr>
                <w:rFonts w:hint="eastAsia" w:ascii="宋体" w:hAnsi="宋体"/>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napToGrid w:val="0"/>
              <w:spacing w:after="57" w:afterLines="10" w:line="400" w:lineRule="exact"/>
              <w:ind w:firstLine="420" w:firstLineChars="200"/>
              <w:rPr>
                <w:rFonts w:ascii="宋体" w:hAnsi="宋体"/>
                <w:szCs w:val="21"/>
                <w:highlight w:val="none"/>
              </w:rPr>
            </w:pPr>
            <w:r>
              <w:rPr>
                <w:rFonts w:hint="eastAsia" w:ascii="宋体" w:hAnsi="宋体"/>
                <w:szCs w:val="21"/>
                <w:highlight w:val="none"/>
              </w:rPr>
              <w:t>A-28投标人承诺已标价工程量清单满足第二章“投标人须知前附表”第3.2款第12条要求，如有差错则按第二章“投标人须知前附表”第3.2款第11条要求原则进行处理（或结算），承诺书格式详见第八章投标文件格式。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Merge w:val="continue"/>
            <w:vAlign w:val="center"/>
          </w:tcPr>
          <w:p>
            <w:pPr>
              <w:spacing w:line="400" w:lineRule="exact"/>
              <w:jc w:val="center"/>
              <w:rPr>
                <w:rFonts w:ascii="宋体" w:hAnsi="宋体"/>
                <w:szCs w:val="21"/>
              </w:rPr>
            </w:pPr>
          </w:p>
        </w:tc>
        <w:tc>
          <w:tcPr>
            <w:tcW w:w="1515" w:type="dxa"/>
            <w:vMerge w:val="continue"/>
            <w:vAlign w:val="center"/>
          </w:tcPr>
          <w:p>
            <w:pPr>
              <w:spacing w:line="400" w:lineRule="exact"/>
              <w:jc w:val="center"/>
              <w:rPr>
                <w:rFonts w:ascii="宋体" w:hAnsi="宋体"/>
                <w:szCs w:val="21"/>
              </w:rPr>
            </w:pPr>
          </w:p>
        </w:tc>
        <w:tc>
          <w:tcPr>
            <w:tcW w:w="6333" w:type="dxa"/>
            <w:vAlign w:val="center"/>
          </w:tcPr>
          <w:p>
            <w:pPr>
              <w:spacing w:line="400" w:lineRule="exact"/>
              <w:ind w:firstLine="420" w:firstLineChars="200"/>
              <w:rPr>
                <w:rFonts w:ascii="宋体" w:hAnsi="宋体"/>
                <w:szCs w:val="21"/>
              </w:rPr>
            </w:pPr>
            <w:r>
              <w:rPr>
                <w:rFonts w:hint="eastAsia" w:ascii="宋体" w:hAnsi="宋体"/>
                <w:szCs w:val="21"/>
              </w:rPr>
              <w:t>A-29投标报价有算术错误的，按照第三章“评标办法”第3.2.3项规定执行，否则由评标委员会作否决投标处理。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961" w:type="dxa"/>
            <w:vAlign w:val="center"/>
          </w:tcPr>
          <w:p>
            <w:pPr>
              <w:spacing w:line="400" w:lineRule="exact"/>
              <w:jc w:val="center"/>
              <w:rPr>
                <w:rFonts w:ascii="宋体" w:hAnsi="宋体"/>
                <w:szCs w:val="21"/>
              </w:rPr>
            </w:pPr>
            <w:r>
              <w:rPr>
                <w:rFonts w:ascii="宋体" w:hAnsi="宋体"/>
                <w:szCs w:val="21"/>
              </w:rPr>
              <w:t>其他</w:t>
            </w:r>
          </w:p>
        </w:tc>
        <w:tc>
          <w:tcPr>
            <w:tcW w:w="1515" w:type="dxa"/>
            <w:vAlign w:val="center"/>
          </w:tcPr>
          <w:p>
            <w:pPr>
              <w:spacing w:line="400" w:lineRule="exact"/>
              <w:jc w:val="center"/>
              <w:rPr>
                <w:rFonts w:ascii="宋体" w:hAnsi="宋体"/>
                <w:szCs w:val="21"/>
              </w:rPr>
            </w:pPr>
          </w:p>
        </w:tc>
        <w:tc>
          <w:tcPr>
            <w:tcW w:w="6333" w:type="dxa"/>
          </w:tcPr>
          <w:p>
            <w:pPr>
              <w:spacing w:line="400" w:lineRule="exact"/>
              <w:ind w:firstLine="420" w:firstLineChars="200"/>
              <w:rPr>
                <w:rFonts w:ascii="宋体" w:hAnsi="宋体"/>
                <w:i/>
                <w:szCs w:val="21"/>
              </w:rPr>
            </w:pPr>
            <w:r>
              <w:rPr>
                <w:rFonts w:hint="eastAsia" w:ascii="宋体" w:hAnsi="宋体"/>
                <w:i/>
                <w:szCs w:val="21"/>
              </w:rPr>
              <w:t>[提示：招标人必须将所有否决投标条款集中罗列于此表，若无其他否决投标条款则在该条写无。]</w:t>
            </w:r>
          </w:p>
        </w:tc>
      </w:tr>
    </w:tbl>
    <w:p>
      <w:pPr>
        <w:pStyle w:val="34"/>
        <w:spacing w:line="360" w:lineRule="auto"/>
        <w:jc w:val="both"/>
        <w:rPr>
          <w:rFonts w:ascii="宋体" w:hAnsi="宋体"/>
          <w:sz w:val="21"/>
          <w:szCs w:val="21"/>
          <w:u w:val="none"/>
          <w:lang w:eastAsia="zh-CN"/>
        </w:rPr>
      </w:pPr>
    </w:p>
    <w:p>
      <w:pPr>
        <w:spacing w:line="200" w:lineRule="exact"/>
        <w:rPr>
          <w:rFonts w:ascii="宋体" w:hAnsi="宋体"/>
          <w:kern w:val="0"/>
        </w:rPr>
      </w:pPr>
      <w:r>
        <w:rPr>
          <w:rFonts w:ascii="宋体" w:hAnsi="宋体"/>
          <w:snapToGrid w:val="0"/>
          <w:kern w:val="0"/>
        </w:rPr>
        <w:br w:type="page"/>
      </w:r>
    </w:p>
    <w:p>
      <w:pPr>
        <w:pStyle w:val="2"/>
      </w:pPr>
    </w:p>
    <w:p>
      <w:pPr>
        <w:pStyle w:val="3"/>
        <w:spacing w:line="360" w:lineRule="auto"/>
        <w:jc w:val="center"/>
        <w:rPr>
          <w:rFonts w:ascii="宋体" w:hAnsi="宋体"/>
          <w:kern w:val="0"/>
        </w:rPr>
      </w:pPr>
      <w:bookmarkStart w:id="742" w:name="_Toc430530509"/>
      <w:bookmarkStart w:id="743" w:name="_Toc26700"/>
      <w:bookmarkStart w:id="744" w:name="_Toc509218785"/>
      <w:bookmarkStart w:id="745" w:name="_Toc2689"/>
      <w:bookmarkStart w:id="746" w:name="_Toc164"/>
      <w:r>
        <w:rPr>
          <w:rFonts w:hint="eastAsia" w:ascii="宋体" w:hAnsi="宋体"/>
          <w:kern w:val="0"/>
        </w:rPr>
        <w:t>第四章  合同条款及格式</w:t>
      </w:r>
      <w:bookmarkEnd w:id="742"/>
      <w:bookmarkEnd w:id="743"/>
      <w:bookmarkEnd w:id="744"/>
      <w:bookmarkEnd w:id="745"/>
      <w:bookmarkEnd w:id="746"/>
    </w:p>
    <w:p>
      <w:pPr>
        <w:rPr>
          <w:rFonts w:ascii="宋体" w:hAnsi="宋体"/>
          <w:sz w:val="44"/>
          <w:szCs w:val="44"/>
        </w:rPr>
      </w:pPr>
      <w:bookmarkStart w:id="747" w:name="_Toc351203480"/>
      <w:bookmarkStart w:id="748" w:name="_Toc296503025"/>
      <w:bookmarkStart w:id="749" w:name="_Toc296890982"/>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p>
    <w:p>
      <w:pPr>
        <w:spacing w:line="360" w:lineRule="auto"/>
        <w:jc w:val="center"/>
        <w:rPr>
          <w:rFonts w:ascii="宋体" w:hAnsi="宋体"/>
          <w:sz w:val="44"/>
          <w:szCs w:val="44"/>
        </w:rPr>
      </w:pPr>
      <w:r>
        <w:rPr>
          <w:rFonts w:hint="eastAsia" w:ascii="宋体" w:hAnsi="宋体"/>
          <w:sz w:val="44"/>
          <w:szCs w:val="44"/>
        </w:rPr>
        <w:t>第一部分 合同协议书</w:t>
      </w:r>
    </w:p>
    <w:p>
      <w:pPr>
        <w:pStyle w:val="123"/>
        <w:snapToGrid w:val="0"/>
        <w:spacing w:before="0" w:line="360" w:lineRule="auto"/>
        <w:ind w:firstLine="562" w:firstLineChars="200"/>
        <w:rPr>
          <w:rFonts w:ascii="宋体" w:hAnsi="宋体"/>
          <w:color w:val="auto"/>
        </w:rPr>
      </w:pPr>
    </w:p>
    <w:p>
      <w:pPr>
        <w:spacing w:line="360" w:lineRule="auto"/>
        <w:ind w:firstLine="420" w:firstLineChars="200"/>
        <w:rPr>
          <w:rFonts w:ascii="宋体" w:hAnsi="宋体"/>
          <w:bCs/>
          <w:i/>
          <w:szCs w:val="21"/>
        </w:rPr>
      </w:pPr>
      <w:r>
        <w:rPr>
          <w:rFonts w:hint="eastAsia" w:ascii="宋体" w:hAnsi="宋体"/>
          <w:bCs/>
          <w:i/>
          <w:szCs w:val="21"/>
        </w:rPr>
        <w:t>[提示：合同协议书为示范性内容，招标人在编制招标文件时不必填写，供中标后签订合同时填写。]</w:t>
      </w:r>
    </w:p>
    <w:p>
      <w:pPr>
        <w:rPr>
          <w:rFonts w:ascii="宋体" w:hAnsi="宋体"/>
          <w:b/>
        </w:rPr>
      </w:pPr>
      <w:r>
        <mc:AlternateContent>
          <mc:Choice Requires="wps">
            <w:drawing>
              <wp:anchor distT="0" distB="0" distL="114300" distR="114300" simplePos="0" relativeHeight="251659264" behindDoc="0" locked="0" layoutInCell="1" allowOverlap="1">
                <wp:simplePos x="0" y="0"/>
                <wp:positionH relativeFrom="column">
                  <wp:posOffset>2691130</wp:posOffset>
                </wp:positionH>
                <wp:positionV relativeFrom="paragraph">
                  <wp:posOffset>8717280</wp:posOffset>
                </wp:positionV>
                <wp:extent cx="807720" cy="693420"/>
                <wp:effectExtent l="0" t="0" r="11430" b="11430"/>
                <wp:wrapNone/>
                <wp:docPr id="1" name="矩形 130"/>
                <wp:cNvGraphicFramePr/>
                <a:graphic xmlns:a="http://schemas.openxmlformats.org/drawingml/2006/main">
                  <a:graphicData uri="http://schemas.microsoft.com/office/word/2010/wordprocessingShape">
                    <wps:wsp>
                      <wps:cNvSpPr/>
                      <wps:spPr>
                        <a:xfrm>
                          <a:off x="0" y="0"/>
                          <a:ext cx="807720" cy="693420"/>
                        </a:xfrm>
                        <a:prstGeom prst="rect">
                          <a:avLst/>
                        </a:prstGeom>
                        <a:solidFill>
                          <a:srgbClr val="FFFFFF"/>
                        </a:solidFill>
                        <a:ln>
                          <a:noFill/>
                        </a:ln>
                      </wps:spPr>
                      <wps:txbx>
                        <w:txbxContent>
                          <w:p/>
                        </w:txbxContent>
                      </wps:txbx>
                      <wps:bodyPr wrap="square" upright="1"/>
                    </wps:wsp>
                  </a:graphicData>
                </a:graphic>
              </wp:anchor>
            </w:drawing>
          </mc:Choice>
          <mc:Fallback>
            <w:pict>
              <v:rect id="矩形 130" o:spid="_x0000_s1026" o:spt="1" style="position:absolute;left:0pt;margin-left:211.9pt;margin-top:686.4pt;height:54.6pt;width:63.6pt;z-index:251659264;mso-width-relative:page;mso-height-relative:page;" fillcolor="#FFFFFF" filled="t" stroked="f" coordsize="21600,21600" o:gfxdata="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Dz153fZAAAADQEAAA8A&#10;AAAAAAAAAQAgAAAAIgAAAGRycy9kb3ducmV2LnhtbFBLAQIUABQAAAAIAIdO4kAlk1sdpAEAACsD&#10;AAAOAAAAAAAAAAEAIAAAACgBAABkcnMvZTJvRG9jLnhtbFBLBQYAAAAABgAGAFkBAAA+BQAAAAA=&#10;">
                <v:fill on="t" focussize="0,0"/>
                <v:stroke on="f"/>
                <v:imagedata o:title=""/>
                <o:lock v:ext="edit" aspectratio="f"/>
                <v:textbox>
                  <w:txbxContent>
                    <w:p/>
                  </w:txbxContent>
                </v:textbox>
              </v:rect>
            </w:pict>
          </mc:Fallback>
        </mc:AlternateContent>
      </w:r>
      <w:r>
        <w:rPr>
          <w:rFonts w:ascii="宋体" w:hAnsi="宋体"/>
        </w:rPr>
        <w:br w:type="page"/>
      </w:r>
    </w:p>
    <w:p>
      <w:pPr>
        <w:pStyle w:val="5"/>
        <w:jc w:val="center"/>
        <w:rPr>
          <w:rFonts w:ascii="宋体" w:hAnsi="宋体"/>
          <w:b w:val="0"/>
          <w:sz w:val="44"/>
          <w:szCs w:val="44"/>
        </w:rPr>
      </w:pPr>
      <w:bookmarkStart w:id="750" w:name="_Toc534185765"/>
      <w:bookmarkStart w:id="751" w:name="_Toc509218786"/>
      <w:bookmarkStart w:id="752" w:name="_Toc12487"/>
      <w:bookmarkStart w:id="753" w:name="_Toc351203494"/>
      <w:r>
        <w:rPr>
          <w:rFonts w:ascii="宋体" w:hAnsi="宋体"/>
          <w:sz w:val="44"/>
          <w:szCs w:val="44"/>
        </w:rPr>
        <w:t>第一部分 合同协议书</w:t>
      </w:r>
      <w:bookmarkEnd w:id="750"/>
      <w:bookmarkEnd w:id="751"/>
      <w:bookmarkEnd w:id="752"/>
    </w:p>
    <w:bookmarkEnd w:id="753"/>
    <w:p>
      <w:pPr>
        <w:snapToGrid w:val="0"/>
        <w:spacing w:line="600" w:lineRule="exact"/>
        <w:ind w:firstLine="480" w:firstLineChars="200"/>
        <w:rPr>
          <w:rFonts w:ascii="宋体" w:hAnsi="宋体"/>
          <w:sz w:val="24"/>
        </w:rPr>
      </w:pPr>
      <w:bookmarkStart w:id="754" w:name="_Toc351203632"/>
    </w:p>
    <w:p>
      <w:pPr>
        <w:adjustRightInd w:val="0"/>
        <w:snapToGrid w:val="0"/>
        <w:spacing w:line="400" w:lineRule="exact"/>
        <w:ind w:firstLine="420" w:firstLineChars="200"/>
        <w:rPr>
          <w:rFonts w:ascii="宋体" w:hAnsi="宋体" w:cs="宋体"/>
          <w:szCs w:val="21"/>
        </w:rPr>
      </w:pPr>
      <w:bookmarkStart w:id="755" w:name="_Toc532377179"/>
      <w:bookmarkStart w:id="756" w:name="_Toc532375586"/>
      <w:bookmarkStart w:id="757" w:name="_Toc529388289"/>
      <w:r>
        <w:rPr>
          <w:rFonts w:hint="eastAsia" w:ascii="宋体" w:hAnsi="宋体" w:cs="宋体"/>
          <w:szCs w:val="21"/>
        </w:rPr>
        <w:t>发包人（全称）：</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承包人（全称）：</w:t>
      </w:r>
      <w:r>
        <w:rPr>
          <w:rFonts w:hint="eastAsia" w:ascii="宋体" w:hAnsi="宋体" w:cs="宋体"/>
          <w:strike/>
          <w:szCs w:val="21"/>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依照《中华人民共和国民法典》、《中华人民共和国建筑法》及其他有关法律、行政法规，遵循平等、自愿、公平和诚实信用的原则，双方就本建设工程施工事项协商一致，订立本合同。</w:t>
      </w:r>
    </w:p>
    <w:p>
      <w:pPr>
        <w:adjustRightInd w:val="0"/>
        <w:snapToGrid w:val="0"/>
        <w:spacing w:line="400" w:lineRule="exact"/>
        <w:ind w:firstLine="422" w:firstLineChars="200"/>
        <w:rPr>
          <w:rFonts w:ascii="宋体" w:hAnsi="宋体" w:cs="宋体"/>
          <w:b/>
          <w:bCs/>
          <w:szCs w:val="21"/>
        </w:rPr>
      </w:pPr>
      <w:bookmarkStart w:id="758" w:name="_Toc231612921"/>
      <w:bookmarkStart w:id="759" w:name="_Toc231612677"/>
      <w:bookmarkStart w:id="760" w:name="_Toc231613070"/>
      <w:r>
        <w:rPr>
          <w:rFonts w:hint="eastAsia" w:ascii="宋体" w:hAnsi="宋体" w:cs="宋体"/>
          <w:b/>
          <w:bCs/>
          <w:szCs w:val="21"/>
        </w:rPr>
        <w:t>一、工程概况</w:t>
      </w:r>
      <w:bookmarkEnd w:id="758"/>
      <w:bookmarkEnd w:id="759"/>
      <w:bookmarkEnd w:id="760"/>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工程名称：</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工程地点：</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工程内容：</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工程立项批准文号：</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资金来源：</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2" w:firstLineChars="200"/>
        <w:rPr>
          <w:rFonts w:ascii="宋体" w:hAnsi="宋体" w:cs="宋体"/>
          <w:b/>
          <w:bCs/>
          <w:szCs w:val="21"/>
        </w:rPr>
      </w:pPr>
      <w:r>
        <w:rPr>
          <w:rFonts w:hint="eastAsia" w:ascii="宋体" w:hAnsi="宋体" w:cs="宋体"/>
          <w:b/>
          <w:bCs/>
          <w:szCs w:val="21"/>
        </w:rPr>
        <w:t>二、工程承包范围</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承包范围：</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2" w:firstLineChars="200"/>
        <w:rPr>
          <w:rFonts w:ascii="宋体" w:hAnsi="宋体" w:cs="宋体"/>
          <w:szCs w:val="21"/>
        </w:rPr>
      </w:pPr>
      <w:r>
        <w:rPr>
          <w:rFonts w:hint="eastAsia" w:ascii="宋体" w:hAnsi="宋体" w:cs="宋体"/>
          <w:b/>
          <w:bCs/>
          <w:szCs w:val="21"/>
        </w:rPr>
        <w:t>三、合同工期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开工日期：</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竣工日期：</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合同工期总日历天数</w:t>
      </w:r>
      <w:r>
        <w:rPr>
          <w:rFonts w:hint="eastAsia" w:ascii="宋体" w:hAnsi="宋体" w:cs="宋体"/>
          <w:szCs w:val="21"/>
          <w:u w:val="single"/>
        </w:rPr>
        <w:t xml:space="preserve">    </w:t>
      </w:r>
      <w:r>
        <w:rPr>
          <w:rFonts w:hint="eastAsia" w:ascii="宋体" w:hAnsi="宋体" w:cs="宋体"/>
          <w:szCs w:val="21"/>
        </w:rPr>
        <w:t>天。</w:t>
      </w:r>
    </w:p>
    <w:p>
      <w:pPr>
        <w:adjustRightInd w:val="0"/>
        <w:snapToGrid w:val="0"/>
        <w:spacing w:line="400" w:lineRule="exact"/>
        <w:ind w:firstLine="422" w:firstLineChars="200"/>
        <w:rPr>
          <w:rFonts w:ascii="宋体" w:hAnsi="宋体" w:cs="宋体"/>
          <w:b/>
          <w:bCs/>
          <w:szCs w:val="21"/>
        </w:rPr>
      </w:pPr>
      <w:r>
        <w:rPr>
          <w:rFonts w:hint="eastAsia" w:ascii="宋体" w:hAnsi="宋体" w:cs="宋体"/>
          <w:b/>
          <w:bCs/>
          <w:szCs w:val="21"/>
        </w:rPr>
        <w:t>四、质量标准</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工程质量标准：</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2" w:firstLineChars="200"/>
        <w:rPr>
          <w:rFonts w:ascii="宋体" w:hAnsi="宋体" w:cs="宋体"/>
          <w:b/>
          <w:bCs/>
          <w:szCs w:val="21"/>
        </w:rPr>
      </w:pPr>
      <w:r>
        <w:rPr>
          <w:rFonts w:hint="eastAsia" w:ascii="宋体" w:hAnsi="宋体" w:cs="宋体"/>
          <w:b/>
          <w:bCs/>
          <w:szCs w:val="21"/>
        </w:rPr>
        <w:t xml:space="preserve">五、合同价款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金额（大写）：</w:t>
      </w:r>
      <w:r>
        <w:rPr>
          <w:rFonts w:hint="eastAsia" w:ascii="宋体" w:hAnsi="宋体" w:cs="宋体"/>
          <w:szCs w:val="21"/>
          <w:u w:val="single"/>
        </w:rPr>
        <w:t xml:space="preserve">     </w:t>
      </w:r>
      <w:r>
        <w:rPr>
          <w:rFonts w:hint="eastAsia" w:ascii="宋体" w:hAnsi="宋体" w:cs="宋体"/>
          <w:szCs w:val="21"/>
        </w:rPr>
        <w:t>元（人民币）；¥</w:t>
      </w:r>
      <w:r>
        <w:rPr>
          <w:rFonts w:hint="eastAsia" w:ascii="宋体" w:hAnsi="宋体" w:cs="宋体"/>
          <w:szCs w:val="21"/>
          <w:u w:val="single"/>
        </w:rPr>
        <w:t xml:space="preserve">        </w:t>
      </w:r>
      <w:r>
        <w:rPr>
          <w:rFonts w:hint="eastAsia" w:ascii="宋体" w:hAnsi="宋体" w:cs="宋体"/>
          <w:szCs w:val="21"/>
        </w:rPr>
        <w:t>元      </w:t>
      </w:r>
    </w:p>
    <w:p>
      <w:pPr>
        <w:adjustRightInd w:val="0"/>
        <w:snapToGrid w:val="0"/>
        <w:spacing w:line="400" w:lineRule="exact"/>
        <w:ind w:firstLine="422" w:firstLineChars="200"/>
        <w:rPr>
          <w:rFonts w:ascii="宋体" w:hAnsi="宋体" w:cs="宋体"/>
          <w:b/>
          <w:bCs/>
          <w:szCs w:val="21"/>
        </w:rPr>
      </w:pPr>
      <w:bookmarkStart w:id="761" w:name="_Toc231613075"/>
      <w:bookmarkStart w:id="762" w:name="_Toc231612682"/>
      <w:bookmarkStart w:id="763" w:name="_Toc231612926"/>
      <w:r>
        <w:rPr>
          <w:rFonts w:hint="eastAsia" w:ascii="宋体" w:hAnsi="宋体" w:cs="宋体"/>
          <w:b/>
          <w:bCs/>
          <w:szCs w:val="21"/>
        </w:rPr>
        <w:t>六、组成合同的文件</w:t>
      </w:r>
      <w:bookmarkEnd w:id="761"/>
      <w:bookmarkEnd w:id="762"/>
      <w:bookmarkEnd w:id="763"/>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组成本合同的文件包括：</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1、本合同协议书；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2、中标通知书；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3、投标函；</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4、本合同专用条款；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5、本合同通用条款；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6、招标文件及其澄清、补充、答疑文件；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7、投标书及其附件；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8、标准和规范及有关技术文件；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9、图纸；</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10、工程量清单；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11、工程报价单或预算书；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12、监理合同；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13、保险合同；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14、工程建设项目廉政责任书；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15、质量保修书；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16、构成本合同组成部分的洽商、签证、变更等书面协议或文件。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以上文件均为本合同的组成部分。</w:t>
      </w:r>
    </w:p>
    <w:p>
      <w:pPr>
        <w:adjustRightInd w:val="0"/>
        <w:snapToGrid w:val="0"/>
        <w:spacing w:line="400" w:lineRule="exact"/>
        <w:ind w:firstLine="422" w:firstLineChars="200"/>
        <w:rPr>
          <w:rFonts w:ascii="宋体" w:hAnsi="宋体" w:cs="宋体"/>
          <w:szCs w:val="21"/>
        </w:rPr>
      </w:pPr>
      <w:bookmarkStart w:id="764" w:name="_Toc231612683"/>
      <w:bookmarkStart w:id="765" w:name="_Toc231613076"/>
      <w:bookmarkStart w:id="766" w:name="_Toc231612927"/>
      <w:r>
        <w:rPr>
          <w:rFonts w:hint="eastAsia" w:ascii="宋体" w:hAnsi="宋体" w:cs="宋体"/>
          <w:b/>
          <w:bCs/>
          <w:szCs w:val="21"/>
        </w:rPr>
        <w:t>七</w:t>
      </w:r>
      <w:r>
        <w:rPr>
          <w:rFonts w:hint="eastAsia" w:ascii="宋体" w:hAnsi="宋体" w:cs="宋体"/>
          <w:szCs w:val="21"/>
        </w:rPr>
        <w:t>、本协议书中有关词语含义与本合同《通用条款》和《专用条款》中分别赋予它们的定义相同。</w:t>
      </w:r>
      <w:bookmarkEnd w:id="764"/>
      <w:bookmarkEnd w:id="765"/>
      <w:bookmarkEnd w:id="766"/>
    </w:p>
    <w:p>
      <w:pPr>
        <w:adjustRightInd w:val="0"/>
        <w:snapToGrid w:val="0"/>
        <w:spacing w:line="400" w:lineRule="exact"/>
        <w:ind w:firstLine="422" w:firstLineChars="200"/>
        <w:rPr>
          <w:rFonts w:ascii="宋体" w:hAnsi="宋体" w:cs="宋体"/>
          <w:szCs w:val="21"/>
        </w:rPr>
      </w:pPr>
      <w:bookmarkStart w:id="767" w:name="_Toc231612684"/>
      <w:bookmarkStart w:id="768" w:name="_Toc231612928"/>
      <w:bookmarkStart w:id="769" w:name="_Toc231613077"/>
      <w:r>
        <w:rPr>
          <w:rFonts w:hint="eastAsia" w:ascii="宋体" w:hAnsi="宋体" w:cs="宋体"/>
          <w:b/>
          <w:bCs/>
          <w:szCs w:val="21"/>
        </w:rPr>
        <w:t>八</w:t>
      </w:r>
      <w:r>
        <w:rPr>
          <w:rFonts w:hint="eastAsia" w:ascii="宋体" w:hAnsi="宋体" w:cs="宋体"/>
          <w:szCs w:val="21"/>
        </w:rPr>
        <w:t>、承包人向发包人承诺按照合同约定进行施工、竣工并在质量保修期内承担工程质量保修责任。</w:t>
      </w:r>
      <w:bookmarkEnd w:id="767"/>
      <w:bookmarkEnd w:id="768"/>
      <w:bookmarkEnd w:id="769"/>
    </w:p>
    <w:p>
      <w:pPr>
        <w:adjustRightInd w:val="0"/>
        <w:snapToGrid w:val="0"/>
        <w:spacing w:line="400" w:lineRule="exact"/>
        <w:ind w:firstLine="422" w:firstLineChars="200"/>
        <w:rPr>
          <w:rFonts w:ascii="宋体" w:hAnsi="宋体" w:cs="宋体"/>
          <w:szCs w:val="21"/>
        </w:rPr>
      </w:pPr>
      <w:bookmarkStart w:id="770" w:name="_Toc231613078"/>
      <w:bookmarkStart w:id="771" w:name="_Toc231612685"/>
      <w:bookmarkStart w:id="772" w:name="_Toc231612929"/>
      <w:r>
        <w:rPr>
          <w:rFonts w:hint="eastAsia" w:ascii="宋体" w:hAnsi="宋体" w:cs="宋体"/>
          <w:b/>
          <w:bCs/>
          <w:szCs w:val="21"/>
        </w:rPr>
        <w:t>九</w:t>
      </w:r>
      <w:r>
        <w:rPr>
          <w:rFonts w:hint="eastAsia" w:ascii="宋体" w:hAnsi="宋体" w:cs="宋体"/>
          <w:szCs w:val="21"/>
        </w:rPr>
        <w:t>、发包人向承包人承诺按照合同约定的期限和方式支付合同价款及其他应当支付的款项。</w:t>
      </w:r>
      <w:bookmarkEnd w:id="770"/>
      <w:bookmarkEnd w:id="771"/>
      <w:bookmarkEnd w:id="772"/>
    </w:p>
    <w:p>
      <w:pPr>
        <w:adjustRightInd w:val="0"/>
        <w:snapToGrid w:val="0"/>
        <w:spacing w:line="400" w:lineRule="exact"/>
        <w:ind w:firstLine="422" w:firstLineChars="200"/>
        <w:rPr>
          <w:rFonts w:ascii="宋体" w:hAnsi="宋体" w:cs="宋体"/>
          <w:b/>
          <w:bCs/>
          <w:szCs w:val="21"/>
        </w:rPr>
      </w:pPr>
      <w:r>
        <w:rPr>
          <w:rFonts w:hint="eastAsia" w:ascii="宋体" w:hAnsi="宋体" w:cs="宋体"/>
          <w:b/>
          <w:bCs/>
          <w:szCs w:val="21"/>
        </w:rPr>
        <w:t>十、合同生效</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合同订立时间：</w:t>
      </w:r>
      <w:r>
        <w:rPr>
          <w:rFonts w:hint="eastAsia" w:ascii="宋体" w:hAnsi="宋体" w:cs="宋体"/>
          <w:szCs w:val="21"/>
          <w:u w:val="single"/>
        </w:rPr>
        <w:t>     </w:t>
      </w:r>
      <w:r>
        <w:rPr>
          <w:rFonts w:hint="eastAsia" w:ascii="宋体" w:hAnsi="宋体" w:cs="宋体"/>
          <w:szCs w:val="21"/>
        </w:rPr>
        <w:t xml:space="preserve"> 年 </w:t>
      </w:r>
      <w:r>
        <w:rPr>
          <w:rFonts w:hint="eastAsia" w:ascii="宋体" w:hAnsi="宋体" w:cs="宋体"/>
          <w:szCs w:val="21"/>
          <w:u w:val="single"/>
        </w:rPr>
        <w:t>    </w:t>
      </w:r>
      <w:r>
        <w:rPr>
          <w:rFonts w:hint="eastAsia" w:ascii="宋体" w:hAnsi="宋体" w:cs="宋体"/>
          <w:szCs w:val="21"/>
        </w:rPr>
        <w:t xml:space="preserve"> 月 </w:t>
      </w:r>
      <w:r>
        <w:rPr>
          <w:rFonts w:hint="eastAsia" w:ascii="宋体" w:hAnsi="宋体" w:cs="宋体"/>
          <w:szCs w:val="21"/>
          <w:u w:val="single"/>
        </w:rPr>
        <w:t>    </w:t>
      </w:r>
      <w:r>
        <w:rPr>
          <w:rFonts w:hint="eastAsia" w:ascii="宋体" w:hAnsi="宋体" w:cs="宋体"/>
          <w:szCs w:val="21"/>
        </w:rPr>
        <w:t xml:space="preserve"> 日</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合同订立地点：</w:t>
      </w:r>
      <w:r>
        <w:rPr>
          <w:rFonts w:hint="eastAsia" w:ascii="宋体" w:hAnsi="宋体" w:cs="宋体"/>
          <w:szCs w:val="21"/>
          <w:u w:val="single"/>
        </w:rPr>
        <w:t>              </w:t>
      </w:r>
      <w:r>
        <w:rPr>
          <w:rFonts w:hint="eastAsia" w:ascii="宋体" w:hAnsi="宋体" w:cs="宋体"/>
          <w:szCs w:val="21"/>
        </w:rPr>
        <w:t xml:space="preserve">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本合同双方约定</w:t>
      </w:r>
      <w:r>
        <w:rPr>
          <w:rFonts w:hint="eastAsia" w:ascii="宋体" w:hAnsi="宋体" w:cs="宋体"/>
          <w:szCs w:val="21"/>
          <w:u w:val="single"/>
        </w:rPr>
        <w:t xml:space="preserve">           </w:t>
      </w:r>
      <w:r>
        <w:rPr>
          <w:rFonts w:hint="eastAsia" w:ascii="宋体" w:hAnsi="宋体" w:cs="宋体"/>
          <w:szCs w:val="21"/>
        </w:rPr>
        <w:t>后生效。</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发包人：      （公章）              承包人：   （公章）</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住  所：                         住  所：</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法定代表人：                            法定代表人：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委托代表人：                        委托代表人：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电  话：                                电  话：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传  真：                                  传  真：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开户银行：                           开户银行：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帐  号：                                 帐  号：            </w:t>
      </w:r>
    </w:p>
    <w:p>
      <w:pPr>
        <w:adjustRightInd w:val="0"/>
        <w:snapToGrid w:val="0"/>
        <w:spacing w:line="400" w:lineRule="exact"/>
        <w:ind w:firstLine="420" w:firstLineChars="200"/>
        <w:rPr>
          <w:rFonts w:ascii="宋体" w:hAnsi="宋体"/>
          <w:sz w:val="44"/>
          <w:szCs w:val="44"/>
        </w:rPr>
      </w:pPr>
      <w:r>
        <w:rPr>
          <w:rFonts w:hint="eastAsia" w:ascii="宋体" w:hAnsi="宋体" w:cs="宋体"/>
          <w:szCs w:val="21"/>
        </w:rPr>
        <w:t>邮政编码：                          邮政编码：  </w:t>
      </w:r>
    </w:p>
    <w:p>
      <w:pPr>
        <w:pStyle w:val="5"/>
        <w:outlineLvl w:val="9"/>
        <w:rPr>
          <w:rFonts w:ascii="宋体" w:hAnsi="宋体"/>
          <w:sz w:val="44"/>
          <w:szCs w:val="44"/>
        </w:rPr>
      </w:pPr>
    </w:p>
    <w:bookmarkEnd w:id="755"/>
    <w:bookmarkEnd w:id="756"/>
    <w:bookmarkEnd w:id="757"/>
    <w:p>
      <w:pPr>
        <w:pStyle w:val="7"/>
        <w:spacing w:before="0" w:beforeAutospacing="0" w:after="0" w:afterAutospacing="0" w:line="360" w:lineRule="auto"/>
        <w:ind w:firstLine="422" w:firstLineChars="200"/>
        <w:outlineLvl w:val="9"/>
        <w:rPr>
          <w:sz w:val="21"/>
          <w:szCs w:val="21"/>
        </w:rPr>
      </w:pPr>
      <w:bookmarkStart w:id="773" w:name="_Toc337558728"/>
      <w:bookmarkStart w:id="774" w:name="_Toc296346529"/>
      <w:bookmarkStart w:id="775" w:name="_Toc296503028"/>
      <w:bookmarkStart w:id="776" w:name="_Toc532377181"/>
      <w:bookmarkStart w:id="777" w:name="_Toc351203496"/>
    </w:p>
    <w:p>
      <w:pPr>
        <w:pStyle w:val="7"/>
        <w:spacing w:before="0" w:beforeAutospacing="0" w:after="0" w:afterAutospacing="0" w:line="360" w:lineRule="auto"/>
        <w:ind w:firstLine="422" w:firstLineChars="200"/>
        <w:outlineLvl w:val="9"/>
        <w:rPr>
          <w:sz w:val="21"/>
          <w:szCs w:val="21"/>
        </w:rPr>
      </w:pPr>
    </w:p>
    <w:p>
      <w:pPr>
        <w:pStyle w:val="7"/>
        <w:spacing w:before="0" w:beforeAutospacing="0" w:after="0" w:afterAutospacing="0" w:line="360" w:lineRule="auto"/>
        <w:ind w:firstLine="422" w:firstLineChars="200"/>
        <w:outlineLvl w:val="9"/>
        <w:rPr>
          <w:sz w:val="21"/>
          <w:szCs w:val="21"/>
        </w:rPr>
      </w:pPr>
    </w:p>
    <w:p>
      <w:pPr>
        <w:pStyle w:val="7"/>
        <w:spacing w:before="0" w:beforeAutospacing="0" w:after="0" w:afterAutospacing="0" w:line="360" w:lineRule="auto"/>
        <w:ind w:firstLine="422" w:firstLineChars="200"/>
        <w:outlineLvl w:val="9"/>
        <w:rPr>
          <w:sz w:val="21"/>
          <w:szCs w:val="21"/>
        </w:rPr>
      </w:pPr>
    </w:p>
    <w:p>
      <w:pPr>
        <w:pStyle w:val="7"/>
        <w:spacing w:before="0" w:beforeAutospacing="0" w:after="0" w:afterAutospacing="0" w:line="360" w:lineRule="auto"/>
        <w:ind w:firstLine="422" w:firstLineChars="200"/>
        <w:outlineLvl w:val="9"/>
        <w:rPr>
          <w:sz w:val="21"/>
          <w:szCs w:val="21"/>
        </w:rPr>
      </w:pPr>
    </w:p>
    <w:p>
      <w:pPr>
        <w:pStyle w:val="7"/>
        <w:spacing w:before="0" w:beforeAutospacing="0" w:after="0" w:afterAutospacing="0" w:line="360" w:lineRule="auto"/>
        <w:ind w:firstLine="422" w:firstLineChars="200"/>
        <w:outlineLvl w:val="9"/>
        <w:rPr>
          <w:sz w:val="21"/>
          <w:szCs w:val="21"/>
        </w:rPr>
      </w:pPr>
    </w:p>
    <w:p>
      <w:pPr>
        <w:pStyle w:val="7"/>
        <w:spacing w:before="0" w:beforeAutospacing="0" w:after="0" w:afterAutospacing="0" w:line="360" w:lineRule="auto"/>
        <w:ind w:firstLine="422" w:firstLineChars="200"/>
        <w:outlineLvl w:val="9"/>
        <w:rPr>
          <w:sz w:val="21"/>
          <w:szCs w:val="21"/>
        </w:rPr>
      </w:pPr>
    </w:p>
    <w:p>
      <w:pPr>
        <w:pStyle w:val="5"/>
        <w:jc w:val="center"/>
        <w:rPr>
          <w:rFonts w:ascii="宋体" w:hAnsi="宋体"/>
          <w:bCs w:val="0"/>
          <w:sz w:val="21"/>
          <w:szCs w:val="21"/>
        </w:rPr>
      </w:pPr>
      <w:bookmarkStart w:id="778" w:name="_Toc171"/>
      <w:r>
        <w:rPr>
          <w:rFonts w:hint="eastAsia" w:ascii="宋体" w:hAnsi="宋体"/>
          <w:sz w:val="44"/>
          <w:szCs w:val="44"/>
        </w:rPr>
        <w:t>第二部分 通用合同条款</w:t>
      </w:r>
      <w:bookmarkEnd w:id="778"/>
    </w:p>
    <w:bookmarkEnd w:id="773"/>
    <w:bookmarkEnd w:id="774"/>
    <w:bookmarkEnd w:id="775"/>
    <w:bookmarkEnd w:id="776"/>
    <w:bookmarkEnd w:id="777"/>
    <w:p>
      <w:pPr>
        <w:adjustRightInd w:val="0"/>
        <w:snapToGrid w:val="0"/>
        <w:spacing w:line="400" w:lineRule="exact"/>
        <w:ind w:firstLine="422" w:firstLineChars="200"/>
        <w:rPr>
          <w:rFonts w:ascii="方正黑体_GBK" w:hAnsi="宋体" w:eastAsia="方正黑体_GBK" w:cs="宋体"/>
          <w:b/>
          <w:bCs/>
          <w:szCs w:val="21"/>
        </w:rPr>
      </w:pPr>
      <w:r>
        <w:rPr>
          <w:rFonts w:hint="eastAsia" w:ascii="方正黑体_GBK" w:hAnsi="宋体" w:eastAsia="方正黑体_GBK" w:cs="宋体"/>
          <w:b/>
          <w:bCs/>
          <w:szCs w:val="21"/>
        </w:rPr>
        <w:t>一、词语定义及合同文件</w:t>
      </w:r>
    </w:p>
    <w:p>
      <w:pPr>
        <w:adjustRightInd w:val="0"/>
        <w:snapToGrid w:val="0"/>
        <w:spacing w:line="400" w:lineRule="exact"/>
        <w:ind w:firstLine="422" w:firstLineChars="200"/>
        <w:rPr>
          <w:rFonts w:ascii="宋体" w:hAnsi="宋体" w:cs="宋体"/>
          <w:b/>
          <w:szCs w:val="21"/>
        </w:rPr>
      </w:pPr>
      <w:bookmarkStart w:id="779" w:name="_Toc193188620"/>
      <w:bookmarkStart w:id="780" w:name="_Toc98238908"/>
      <w:bookmarkStart w:id="781" w:name="_Toc101155751"/>
      <w:bookmarkStart w:id="782" w:name="_Toc101155954"/>
      <w:bookmarkStart w:id="783" w:name="_Toc231612689"/>
      <w:bookmarkStart w:id="784" w:name="_Toc115511269"/>
      <w:bookmarkStart w:id="785" w:name="_Toc98239372"/>
      <w:bookmarkStart w:id="786" w:name="_Toc100123476"/>
      <w:bookmarkStart w:id="787" w:name="_Toc99792266"/>
      <w:r>
        <w:rPr>
          <w:rFonts w:hint="eastAsia" w:ascii="宋体" w:hAnsi="宋体" w:cs="宋体"/>
          <w:b/>
          <w:szCs w:val="21"/>
        </w:rPr>
        <w:t>1、词语定义</w:t>
      </w:r>
      <w:bookmarkEnd w:id="779"/>
      <w:bookmarkEnd w:id="780"/>
      <w:bookmarkEnd w:id="781"/>
      <w:bookmarkEnd w:id="782"/>
      <w:bookmarkEnd w:id="783"/>
      <w:bookmarkEnd w:id="784"/>
      <w:bookmarkEnd w:id="785"/>
      <w:bookmarkEnd w:id="786"/>
      <w:bookmarkEnd w:id="787"/>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下列词语除专用条款另有约定外，应具有本条所赋予的定义：</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 通用条款：是根据法律、行政法规规定及建设工程施工的需要订立，通用于建设工程施工的条款。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1.2专用条款：是发包人与承包人根据法律、行政法规规定，结合具体工程实际，经协商达成一致意见的条款，是对通用条款的具体化、补充或修改。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1.3 发包人：指在协议书中约定，具有工程发包主体资格和支付工程价款能力的当事人以及取得该当事人资格的合法继承人。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1.4 承包人：指在协议书中约定，被发包人接受的具有工程施工承包主体资格的当事人以及取得该当事人资格的合法继承人。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1.5 项目经理：指承包人在专用条款中指定的负责施工管理和合同履行的代表。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 设计单位：指发包人委托的负责本工程设计并取得相应工程设计资质等级证书的单位。</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1.7 监理单位：指发包人委托的负责本工程监理并取得相应工程监理资质等级证书的单位。</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1.8 工程师：指本工程监理单位委派的总监理工程师或发包人指定的履行本合同的代表，其具体身份和职权由发包人另行通知承包人。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 工程造价管理部门：指国务院有关部门、县级以上人民政府建设行政主管部门或其委托的工程造价管理机构。</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1.10 工程：指发包人承包人在协议书中约定的承包范围内的工程。</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1.11 合同价款：指发包人承包人在协议书中约定，发包人用以支付承包人按照合同约定完成承包范围内全部工程并承担质量保修责任的款项。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1.12 追加合同价款：指在合同履行中发生需要增加合同价款的情况，经发包人确认后按计算合同价款的方法增加的合同价款。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1.13 费用：指不包含在合同价款之内的应当由发包人或承包人承担的经济支出。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1.14工期：指发包人承包人在协议书中约定，按总日历天数（包括法定节假日）计算的承包天数。</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1.15 开工日期：指发包人承包人在协议书中约定，承包人开始施工的绝对或相对的日期。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1.16 竣工日期：指发包人承包人在协议书中约定，承包人完成承包范围内工程的绝对或相对的日期。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1.17 图纸：指由发包人提供或承包人提供并经发包人批准，满足承包人施工需要的所有图纸（包括配套说明和有关资料）。</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1.18 施工场地：指由发包人提供的用于工程施工的场所以及发包人在图纸中具体指定的供施工使用的任何其他场所。</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1.19 书面形式：指合同书、信件和数据电文（包括电报、电传、传真、电子数据交换和电子邮件）等可以有形地表现所载内容的形式。</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1.20 违约责任：指合同一方不履行合同义务或履行合同义务不符合约定所应承担的责任。</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1.21 索赔：指在合同履行过程中，对于并非自己的过错，而是应由对方承担责任的情况造成的实际损失，向对方提出经济补偿和（或）工期顺延的要求。</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1.22 不可抗力：指不能预见、不能避免并不能克服的客观情况。</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1.23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adjustRightInd w:val="0"/>
        <w:snapToGrid w:val="0"/>
        <w:spacing w:line="400" w:lineRule="exact"/>
        <w:ind w:firstLine="422" w:firstLineChars="200"/>
        <w:rPr>
          <w:rFonts w:ascii="宋体" w:hAnsi="宋体" w:cs="宋体"/>
          <w:b/>
          <w:szCs w:val="21"/>
        </w:rPr>
      </w:pPr>
      <w:bookmarkStart w:id="788" w:name="_Toc98239373"/>
      <w:bookmarkStart w:id="789" w:name="_Toc101155955"/>
      <w:bookmarkStart w:id="790" w:name="_Toc98238909"/>
      <w:bookmarkStart w:id="791" w:name="_Toc99792267"/>
      <w:bookmarkStart w:id="792" w:name="_Toc231612690"/>
      <w:bookmarkStart w:id="793" w:name="_Toc193188621"/>
      <w:bookmarkStart w:id="794" w:name="_Toc101155752"/>
      <w:bookmarkStart w:id="795" w:name="_Toc115511270"/>
      <w:bookmarkStart w:id="796" w:name="_Toc100123477"/>
      <w:r>
        <w:rPr>
          <w:rFonts w:hint="eastAsia" w:ascii="宋体" w:hAnsi="宋体" w:cs="宋体"/>
          <w:b/>
          <w:szCs w:val="21"/>
        </w:rPr>
        <w:t>2、合同文件及解释顺序</w:t>
      </w:r>
      <w:bookmarkEnd w:id="788"/>
      <w:bookmarkEnd w:id="789"/>
      <w:bookmarkEnd w:id="790"/>
      <w:bookmarkEnd w:id="791"/>
      <w:bookmarkEnd w:id="792"/>
      <w:bookmarkEnd w:id="793"/>
      <w:bookmarkEnd w:id="794"/>
      <w:bookmarkEnd w:id="795"/>
      <w:bookmarkEnd w:id="796"/>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2.1 合同文件应能相互解释，互为说明。除专用条款另有约定外，组成本合同的文件及优先解释顺序如下：</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本合同协议书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中标通知书</w:t>
      </w:r>
      <w:r>
        <w:rPr>
          <w:rFonts w:hint="eastAsia" w:ascii="宋体" w:hAnsi="宋体" w:cs="宋体"/>
          <w:szCs w:val="21"/>
        </w:rPr>
        <w:tab/>
      </w:r>
      <w:r>
        <w:rPr>
          <w:rFonts w:hint="eastAsia" w:ascii="宋体" w:hAnsi="宋体" w:cs="宋体"/>
          <w:szCs w:val="21"/>
        </w:rPr>
        <w:tab/>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投标书及其附件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本合同专用条款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 本合同通用条款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 标准、规范及有关技术文件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 图纸</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 工程量清单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(9) 工程报价单或预算书</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合同履行中，发包人承包人有关工程的洽商、变更等书面协议或文件视为本合同的组成部分。</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2.2 当合同文件内容含糊不清或不相一致时，在不影响工程正常进行的情况下，由发包人承包人协商解决。双方也可以提请负责监理的工程师作出解释。双方协商不成或不同意负责监理的工程师的解释时，按本通用条款第37条关于争议的约定处理。</w:t>
      </w:r>
    </w:p>
    <w:p>
      <w:pPr>
        <w:adjustRightInd w:val="0"/>
        <w:snapToGrid w:val="0"/>
        <w:spacing w:line="400" w:lineRule="exact"/>
        <w:ind w:firstLine="422" w:firstLineChars="200"/>
        <w:rPr>
          <w:rFonts w:ascii="宋体" w:hAnsi="宋体" w:cs="宋体"/>
          <w:b/>
          <w:szCs w:val="21"/>
        </w:rPr>
      </w:pPr>
      <w:bookmarkStart w:id="797" w:name="_Toc99792268"/>
      <w:bookmarkStart w:id="798" w:name="_Toc100123478"/>
      <w:bookmarkStart w:id="799" w:name="_Toc115511271"/>
      <w:bookmarkStart w:id="800" w:name="_Toc98239374"/>
      <w:bookmarkStart w:id="801" w:name="_Toc231612691"/>
      <w:bookmarkStart w:id="802" w:name="_Toc98238910"/>
      <w:bookmarkStart w:id="803" w:name="_Toc193188622"/>
      <w:bookmarkStart w:id="804" w:name="_Toc101155956"/>
      <w:bookmarkStart w:id="805" w:name="_Toc101155753"/>
      <w:r>
        <w:rPr>
          <w:rFonts w:hint="eastAsia" w:ascii="宋体" w:hAnsi="宋体" w:cs="宋体"/>
          <w:b/>
          <w:szCs w:val="21"/>
        </w:rPr>
        <w:t>3、语言文字和适用法律、标准及规范</w:t>
      </w:r>
      <w:bookmarkEnd w:id="797"/>
      <w:bookmarkEnd w:id="798"/>
      <w:bookmarkEnd w:id="799"/>
      <w:bookmarkEnd w:id="800"/>
      <w:bookmarkEnd w:id="801"/>
      <w:bookmarkEnd w:id="802"/>
      <w:bookmarkEnd w:id="803"/>
      <w:bookmarkEnd w:id="804"/>
      <w:bookmarkEnd w:id="805"/>
    </w:p>
    <w:p>
      <w:pPr>
        <w:adjustRightInd w:val="0"/>
        <w:snapToGrid w:val="0"/>
        <w:spacing w:line="400" w:lineRule="exact"/>
        <w:ind w:firstLine="420" w:firstLineChars="200"/>
        <w:rPr>
          <w:rFonts w:ascii="宋体" w:hAnsi="宋体" w:cs="宋体"/>
          <w:szCs w:val="21"/>
        </w:rPr>
      </w:pPr>
      <w:bookmarkStart w:id="806" w:name="_Toc231613081"/>
      <w:bookmarkStart w:id="807" w:name="_Toc231612933"/>
      <w:bookmarkStart w:id="808" w:name="_Toc231612692"/>
      <w:r>
        <w:rPr>
          <w:rFonts w:hint="eastAsia" w:ascii="宋体" w:hAnsi="宋体" w:cs="宋体"/>
          <w:szCs w:val="21"/>
        </w:rPr>
        <w:t>3.1 语言文字</w:t>
      </w:r>
      <w:bookmarkEnd w:id="806"/>
      <w:bookmarkEnd w:id="807"/>
      <w:bookmarkEnd w:id="808"/>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本合同文件使用汉语语言文字书写、解释和说明。如专用条款约定使用两种以上（含两种）语言文字时，汉语应为解释和说明本合同的标准语言文字。</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在少数民族地区，双方可以约定使用少数民族语言文字书写和解释、说明本合同。</w:t>
      </w:r>
    </w:p>
    <w:p>
      <w:pPr>
        <w:adjustRightInd w:val="0"/>
        <w:snapToGrid w:val="0"/>
        <w:spacing w:line="400" w:lineRule="exact"/>
        <w:ind w:firstLine="420" w:firstLineChars="200"/>
        <w:rPr>
          <w:rFonts w:ascii="宋体" w:hAnsi="宋体" w:cs="宋体"/>
          <w:szCs w:val="21"/>
        </w:rPr>
      </w:pPr>
      <w:bookmarkStart w:id="809" w:name="_Toc231612693"/>
      <w:bookmarkStart w:id="810" w:name="_Toc231613082"/>
      <w:bookmarkStart w:id="811" w:name="_Toc231612934"/>
      <w:r>
        <w:rPr>
          <w:rFonts w:hint="eastAsia" w:ascii="宋体" w:hAnsi="宋体" w:cs="宋体"/>
          <w:szCs w:val="21"/>
        </w:rPr>
        <w:t>3.2 适用法律和法规</w:t>
      </w:r>
      <w:bookmarkEnd w:id="809"/>
      <w:bookmarkEnd w:id="810"/>
      <w:bookmarkEnd w:id="811"/>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本合同文件适用国家的法律和行政法规。需要明示的法律、行政法规，由双方在专用条款中约定。</w:t>
      </w:r>
    </w:p>
    <w:p>
      <w:pPr>
        <w:adjustRightInd w:val="0"/>
        <w:snapToGrid w:val="0"/>
        <w:spacing w:line="400" w:lineRule="exact"/>
        <w:ind w:firstLine="420" w:firstLineChars="200"/>
        <w:rPr>
          <w:rFonts w:ascii="宋体" w:hAnsi="宋体" w:cs="宋体"/>
          <w:szCs w:val="21"/>
        </w:rPr>
      </w:pPr>
      <w:bookmarkStart w:id="812" w:name="_Toc231612935"/>
      <w:bookmarkStart w:id="813" w:name="_Toc231613083"/>
      <w:bookmarkStart w:id="814" w:name="_Toc231612694"/>
      <w:r>
        <w:rPr>
          <w:rFonts w:hint="eastAsia" w:ascii="宋体" w:hAnsi="宋体" w:cs="宋体"/>
          <w:szCs w:val="21"/>
        </w:rPr>
        <w:t>3.3 适用标准、规范</w:t>
      </w:r>
      <w:bookmarkEnd w:id="812"/>
      <w:bookmarkEnd w:id="813"/>
      <w:bookmarkEnd w:id="814"/>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国内没有相应标准、规范的，由发包人按专用条款约定的时间向承包人提出施工技术要求，承包人按约定的时间和要求提出施工工艺，经发包人认可后执行。发包人要求使用国外标准、规范的，应负责提供中文译本。</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本条所发生的购买、翻译标准、规范或制定施工工艺的费用，由发包人承担。</w:t>
      </w:r>
    </w:p>
    <w:p>
      <w:pPr>
        <w:adjustRightInd w:val="0"/>
        <w:snapToGrid w:val="0"/>
        <w:spacing w:line="400" w:lineRule="exact"/>
        <w:ind w:firstLine="422" w:firstLineChars="200"/>
        <w:rPr>
          <w:rFonts w:ascii="宋体" w:hAnsi="宋体" w:cs="宋体"/>
          <w:b/>
          <w:szCs w:val="21"/>
        </w:rPr>
      </w:pPr>
      <w:bookmarkStart w:id="815" w:name="_Toc193188623"/>
      <w:bookmarkStart w:id="816" w:name="_Toc98239375"/>
      <w:bookmarkStart w:id="817" w:name="_Toc231612695"/>
      <w:bookmarkStart w:id="818" w:name="_Toc101155957"/>
      <w:bookmarkStart w:id="819" w:name="_Toc231613084"/>
      <w:bookmarkStart w:id="820" w:name="_Toc101155754"/>
      <w:bookmarkStart w:id="821" w:name="_Toc231612936"/>
      <w:bookmarkStart w:id="822" w:name="_Toc100123479"/>
      <w:bookmarkStart w:id="823" w:name="_Toc98238911"/>
      <w:bookmarkStart w:id="824" w:name="_Toc115511272"/>
      <w:bookmarkStart w:id="825" w:name="_Toc99792269"/>
      <w:r>
        <w:rPr>
          <w:rFonts w:hint="eastAsia" w:ascii="宋体" w:hAnsi="宋体" w:cs="宋体"/>
          <w:b/>
          <w:szCs w:val="21"/>
        </w:rPr>
        <w:t>4、图纸</w:t>
      </w:r>
      <w:bookmarkEnd w:id="815"/>
      <w:bookmarkEnd w:id="816"/>
      <w:bookmarkEnd w:id="817"/>
      <w:bookmarkEnd w:id="818"/>
      <w:bookmarkEnd w:id="819"/>
      <w:bookmarkEnd w:id="820"/>
      <w:bookmarkEnd w:id="821"/>
      <w:bookmarkEnd w:id="822"/>
      <w:bookmarkEnd w:id="823"/>
      <w:bookmarkEnd w:id="824"/>
      <w:bookmarkEnd w:id="825"/>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4.1 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4.2 承包人未经发包人同意，不得将本工程图纸转给第三人。工程质量保修期满后，除承包人存档需要的图纸外，应将全部图纸退还给发包人。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4.3 承包人应在施工现场保留一套完整图纸，供工程师及有关人员进行工程检查时使用。</w:t>
      </w:r>
    </w:p>
    <w:p>
      <w:pPr>
        <w:adjustRightInd w:val="0"/>
        <w:snapToGrid w:val="0"/>
        <w:spacing w:line="400" w:lineRule="exact"/>
        <w:ind w:firstLine="422" w:firstLineChars="200"/>
        <w:rPr>
          <w:rFonts w:ascii="方正黑体_GBK" w:hAnsi="宋体" w:eastAsia="方正黑体_GBK" w:cs="宋体"/>
          <w:b/>
          <w:bCs/>
          <w:szCs w:val="21"/>
        </w:rPr>
      </w:pPr>
      <w:bookmarkStart w:id="826" w:name="_Toc98238912"/>
      <w:bookmarkStart w:id="827" w:name="_Toc231612696"/>
      <w:bookmarkStart w:id="828" w:name="_Toc115511273"/>
      <w:bookmarkStart w:id="829" w:name="_Toc98239376"/>
      <w:bookmarkStart w:id="830" w:name="_Toc193188624"/>
      <w:bookmarkStart w:id="831" w:name="_Toc101155755"/>
      <w:bookmarkStart w:id="832" w:name="_Toc99792270"/>
      <w:bookmarkStart w:id="833" w:name="_Toc100123480"/>
      <w:bookmarkStart w:id="834" w:name="_Toc231612937"/>
      <w:bookmarkStart w:id="835" w:name="_Toc101155958"/>
      <w:bookmarkStart w:id="836" w:name="_Toc231613085"/>
      <w:r>
        <w:rPr>
          <w:rFonts w:hint="eastAsia" w:ascii="方正黑体_GBK" w:hAnsi="宋体" w:eastAsia="方正黑体_GBK" w:cs="宋体"/>
          <w:b/>
          <w:bCs/>
          <w:szCs w:val="21"/>
        </w:rPr>
        <w:t>二、双方一般权利和义务</w:t>
      </w:r>
      <w:bookmarkEnd w:id="826"/>
      <w:bookmarkEnd w:id="827"/>
      <w:bookmarkEnd w:id="828"/>
      <w:bookmarkEnd w:id="829"/>
      <w:bookmarkEnd w:id="830"/>
      <w:bookmarkEnd w:id="831"/>
      <w:bookmarkEnd w:id="832"/>
      <w:bookmarkEnd w:id="833"/>
      <w:bookmarkEnd w:id="834"/>
      <w:bookmarkEnd w:id="835"/>
      <w:bookmarkEnd w:id="836"/>
    </w:p>
    <w:p>
      <w:pPr>
        <w:adjustRightInd w:val="0"/>
        <w:snapToGrid w:val="0"/>
        <w:spacing w:line="400" w:lineRule="exact"/>
        <w:ind w:firstLine="422" w:firstLineChars="200"/>
        <w:rPr>
          <w:rFonts w:ascii="宋体" w:hAnsi="宋体" w:cs="宋体"/>
          <w:b/>
          <w:szCs w:val="21"/>
        </w:rPr>
      </w:pPr>
      <w:bookmarkStart w:id="837" w:name="_Toc101155959"/>
      <w:bookmarkStart w:id="838" w:name="_Toc98239377"/>
      <w:bookmarkStart w:id="839" w:name="_Toc101155756"/>
      <w:bookmarkStart w:id="840" w:name="_Toc99792271"/>
      <w:bookmarkStart w:id="841" w:name="_Toc100123481"/>
      <w:bookmarkStart w:id="842" w:name="_Toc193188625"/>
      <w:bookmarkStart w:id="843" w:name="_Toc115511274"/>
      <w:bookmarkStart w:id="844" w:name="_Toc231612697"/>
      <w:bookmarkStart w:id="845" w:name="_Toc98238913"/>
      <w:r>
        <w:rPr>
          <w:rFonts w:hint="eastAsia" w:ascii="宋体" w:hAnsi="宋体" w:cs="宋体"/>
          <w:b/>
          <w:szCs w:val="21"/>
        </w:rPr>
        <w:t>5、工程师</w:t>
      </w:r>
      <w:bookmarkEnd w:id="837"/>
      <w:bookmarkEnd w:id="838"/>
      <w:bookmarkEnd w:id="839"/>
      <w:bookmarkEnd w:id="840"/>
      <w:bookmarkEnd w:id="841"/>
      <w:bookmarkEnd w:id="842"/>
      <w:bookmarkEnd w:id="843"/>
      <w:bookmarkEnd w:id="844"/>
      <w:bookmarkEnd w:id="845"/>
    </w:p>
    <w:p>
      <w:pPr>
        <w:adjustRightInd w:val="0"/>
        <w:snapToGrid w:val="0"/>
        <w:spacing w:line="400" w:lineRule="exact"/>
        <w:ind w:firstLine="420" w:firstLineChars="200"/>
        <w:rPr>
          <w:rFonts w:ascii="宋体" w:hAnsi="宋体" w:cs="宋体"/>
          <w:szCs w:val="21"/>
        </w:rPr>
      </w:pPr>
      <w:bookmarkStart w:id="846" w:name="_Toc231613086"/>
      <w:bookmarkStart w:id="847" w:name="_Toc231612938"/>
      <w:bookmarkStart w:id="848" w:name="_Toc231612698"/>
      <w:r>
        <w:rPr>
          <w:rFonts w:hint="eastAsia" w:ascii="宋体" w:hAnsi="宋体" w:cs="宋体"/>
          <w:szCs w:val="21"/>
        </w:rPr>
        <w:t>5.1 实行工程监理的，发包人应在实施监理前将委托的监理单位名称、监理内容及监理权限以书面形式通知承包人。</w:t>
      </w:r>
      <w:bookmarkEnd w:id="846"/>
      <w:bookmarkEnd w:id="847"/>
      <w:bookmarkEnd w:id="848"/>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5.2 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5.3 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5.4 合同履行中，发生影响发包人承包人双方权利或义务的事件时，负责监理的工程师应依据合同在其职权范围内客观公正地进行处理。一方对工程师的处理有异议时，按本通用条款第37条关于争议的约定处理。</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5.5 除合同内有明确约定或经发包人同意外，负责监理的工程师无权解除本合同约定的承包人的任何权利与义务。</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5.6 不实行工程监理的，本合同中工程师专指发包人派驻施工工场地履行合同的代表，其具体职权由发包人在专用条款内写明。</w:t>
      </w:r>
    </w:p>
    <w:p>
      <w:pPr>
        <w:adjustRightInd w:val="0"/>
        <w:snapToGrid w:val="0"/>
        <w:spacing w:line="400" w:lineRule="exact"/>
        <w:ind w:firstLine="422" w:firstLineChars="200"/>
        <w:rPr>
          <w:rFonts w:ascii="宋体" w:hAnsi="宋体" w:cs="宋体"/>
          <w:b/>
          <w:szCs w:val="21"/>
        </w:rPr>
      </w:pPr>
      <w:bookmarkStart w:id="849" w:name="_Toc231612699"/>
      <w:bookmarkStart w:id="850" w:name="_Toc101155960"/>
      <w:bookmarkStart w:id="851" w:name="_Toc99792272"/>
      <w:bookmarkStart w:id="852" w:name="_Toc98239378"/>
      <w:bookmarkStart w:id="853" w:name="_Toc115511275"/>
      <w:bookmarkStart w:id="854" w:name="_Toc100123482"/>
      <w:bookmarkStart w:id="855" w:name="_Toc101155757"/>
      <w:bookmarkStart w:id="856" w:name="_Toc98238914"/>
      <w:bookmarkStart w:id="857" w:name="_Toc193188626"/>
      <w:r>
        <w:rPr>
          <w:rFonts w:hint="eastAsia" w:ascii="宋体" w:hAnsi="宋体" w:cs="宋体"/>
          <w:b/>
          <w:szCs w:val="21"/>
        </w:rPr>
        <w:t>6、工程师的委派和指令</w:t>
      </w:r>
      <w:bookmarkEnd w:id="849"/>
      <w:bookmarkEnd w:id="850"/>
      <w:bookmarkEnd w:id="851"/>
      <w:bookmarkEnd w:id="852"/>
      <w:bookmarkEnd w:id="853"/>
      <w:bookmarkEnd w:id="854"/>
      <w:bookmarkEnd w:id="855"/>
      <w:bookmarkEnd w:id="856"/>
      <w:bookmarkEnd w:id="857"/>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除工程师或工程师代表外，发包人派驻工地的其他人员均无权向承包人发出任何指令。</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本款规定同样适用于由工程师代表发出的指令、通知。</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6.4 如需更换工程师，发包人应至少提前7天以书面形式通知承包人，后任继续行使合同文件约定的前任的职权，履行前任的义务。</w:t>
      </w:r>
    </w:p>
    <w:p>
      <w:pPr>
        <w:adjustRightInd w:val="0"/>
        <w:snapToGrid w:val="0"/>
        <w:spacing w:line="400" w:lineRule="exact"/>
        <w:ind w:firstLine="422" w:firstLineChars="200"/>
        <w:rPr>
          <w:rFonts w:ascii="宋体" w:hAnsi="宋体" w:cs="宋体"/>
          <w:b/>
          <w:szCs w:val="21"/>
        </w:rPr>
      </w:pPr>
      <w:bookmarkStart w:id="858" w:name="_Toc115511276"/>
      <w:bookmarkStart w:id="859" w:name="_Toc98239379"/>
      <w:bookmarkStart w:id="860" w:name="_Toc98238915"/>
      <w:bookmarkStart w:id="861" w:name="_Toc100123483"/>
      <w:bookmarkStart w:id="862" w:name="_Toc101155961"/>
      <w:bookmarkStart w:id="863" w:name="_Toc101155758"/>
      <w:bookmarkStart w:id="864" w:name="_Toc231612700"/>
      <w:bookmarkStart w:id="865" w:name="_Toc99792273"/>
      <w:bookmarkStart w:id="866" w:name="_Toc193188627"/>
      <w:r>
        <w:rPr>
          <w:rFonts w:hint="eastAsia" w:ascii="宋体" w:hAnsi="宋体" w:cs="宋体"/>
          <w:b/>
          <w:szCs w:val="21"/>
        </w:rPr>
        <w:t>7、项目经理</w:t>
      </w:r>
      <w:bookmarkEnd w:id="858"/>
      <w:bookmarkEnd w:id="859"/>
      <w:bookmarkEnd w:id="860"/>
      <w:bookmarkEnd w:id="861"/>
      <w:bookmarkEnd w:id="862"/>
      <w:bookmarkEnd w:id="863"/>
      <w:bookmarkEnd w:id="864"/>
      <w:bookmarkEnd w:id="865"/>
      <w:bookmarkEnd w:id="866"/>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7.1 项目经理的姓名、职务在专用条款内写明。</w:t>
      </w:r>
    </w:p>
    <w:p>
      <w:pPr>
        <w:adjustRightInd w:val="0"/>
        <w:snapToGrid w:val="0"/>
        <w:spacing w:line="400" w:lineRule="exact"/>
        <w:ind w:firstLine="420" w:firstLineChars="200"/>
        <w:rPr>
          <w:rFonts w:ascii="宋体" w:hAnsi="宋体" w:cs="宋体"/>
          <w:szCs w:val="21"/>
        </w:rPr>
      </w:pPr>
      <w:bookmarkStart w:id="867" w:name="_Toc231613087"/>
      <w:bookmarkStart w:id="868" w:name="_Toc231612939"/>
      <w:bookmarkStart w:id="869" w:name="_Toc231612701"/>
      <w:r>
        <w:rPr>
          <w:rFonts w:hint="eastAsia" w:ascii="宋体" w:hAnsi="宋体" w:cs="宋体"/>
          <w:szCs w:val="21"/>
        </w:rPr>
        <w:t>7.2 承包人依据合同发出的通知，以书面形式由项目经理签字后送交工程师，工程师在回执上签署姓名和收到时间后生效。</w:t>
      </w:r>
      <w:bookmarkEnd w:id="867"/>
      <w:bookmarkEnd w:id="868"/>
      <w:bookmarkEnd w:id="869"/>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adjustRightInd w:val="0"/>
        <w:snapToGrid w:val="0"/>
        <w:spacing w:line="400" w:lineRule="exact"/>
        <w:ind w:firstLine="420" w:firstLineChars="200"/>
        <w:rPr>
          <w:rFonts w:ascii="宋体" w:hAnsi="宋体" w:cs="宋体"/>
          <w:szCs w:val="21"/>
        </w:rPr>
      </w:pPr>
      <w:bookmarkStart w:id="870" w:name="_Toc231613088"/>
      <w:bookmarkStart w:id="871" w:name="_Toc231612940"/>
      <w:bookmarkStart w:id="872" w:name="_Toc231612702"/>
      <w:r>
        <w:rPr>
          <w:rFonts w:hint="eastAsia" w:ascii="宋体" w:hAnsi="宋体" w:cs="宋体"/>
          <w:szCs w:val="21"/>
        </w:rPr>
        <w:t>7.4 承包人如需更换项目经理，应至少提前7天以书面形式通知发包人，并征得发包人同意。后任继续先行使合同文件约定的前任的职权，履行前任的义务。</w:t>
      </w:r>
      <w:bookmarkEnd w:id="870"/>
      <w:bookmarkEnd w:id="871"/>
      <w:bookmarkEnd w:id="872"/>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7.5 发包人可以与承包人协商，建议更换其认为不称职的项目经理。</w:t>
      </w:r>
    </w:p>
    <w:p>
      <w:pPr>
        <w:adjustRightInd w:val="0"/>
        <w:snapToGrid w:val="0"/>
        <w:spacing w:line="400" w:lineRule="exact"/>
        <w:ind w:firstLine="422" w:firstLineChars="200"/>
        <w:rPr>
          <w:rFonts w:ascii="宋体" w:hAnsi="宋体" w:cs="宋体"/>
          <w:b/>
          <w:szCs w:val="21"/>
        </w:rPr>
      </w:pPr>
      <w:bookmarkStart w:id="873" w:name="_Toc100123484"/>
      <w:bookmarkStart w:id="874" w:name="_Toc101155759"/>
      <w:bookmarkStart w:id="875" w:name="_Toc99792274"/>
      <w:bookmarkStart w:id="876" w:name="_Toc101155962"/>
      <w:bookmarkStart w:id="877" w:name="_Toc193188628"/>
      <w:bookmarkStart w:id="878" w:name="_Toc231612703"/>
      <w:bookmarkStart w:id="879" w:name="_Toc98239380"/>
      <w:bookmarkStart w:id="880" w:name="_Toc115511277"/>
      <w:bookmarkStart w:id="881" w:name="_Toc98238916"/>
      <w:r>
        <w:rPr>
          <w:rFonts w:hint="eastAsia" w:ascii="宋体" w:hAnsi="宋体" w:cs="宋体"/>
          <w:b/>
          <w:szCs w:val="21"/>
        </w:rPr>
        <w:t>8、发包人工作</w:t>
      </w:r>
      <w:bookmarkEnd w:id="873"/>
      <w:bookmarkEnd w:id="874"/>
      <w:bookmarkEnd w:id="875"/>
      <w:bookmarkEnd w:id="876"/>
      <w:bookmarkEnd w:id="877"/>
      <w:bookmarkEnd w:id="878"/>
      <w:bookmarkEnd w:id="879"/>
      <w:bookmarkEnd w:id="880"/>
      <w:bookmarkEnd w:id="881"/>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8.1 发包人按专用条款约定的内容和时间完成下列工作: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办理土地征用、拆迁补偿、平整施工场地等工作，使施工场地具备施工条件，在开工后继续负责解决以上事项遗留问题；</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开通施工场地与城乡公共道路的通道，以及专用条款约定的施工场地内的主要道路，满足施工运输的需要，保证施工期间的畅通；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向承包人提供施工场地的工程地质和地下管线资料，对资料的真实准确性负责；</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办理施工许可证及其他施工所需证件、批件和临时用地、停水、停电、中断道路交通、爆破作业等的申请批准手续（证明承包人自身资质的证件除外）；</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 确定水准点与座标控制点，以书面形式交给承包人，进行现场交验；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 组织承包人和设计单位进行图纸会审和设计交底；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 协调处理施工场地周围地下管线和邻近建筑物、构筑物（包括文物保护建筑）、古树名木的保护工作。</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 发包人应做的其他工作，双方在专用条款内约定。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8.2发包人可以将8.1款部分工作委托承包人办理，双方在专用条款内约定，其费用由发包人承担。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8.3发包人未能履行8.1款各项义务，导致工期延误或给承包人造成损失的，发包人赔偿承包人有关损失，顺延延误的工期。</w:t>
      </w:r>
    </w:p>
    <w:p>
      <w:pPr>
        <w:adjustRightInd w:val="0"/>
        <w:snapToGrid w:val="0"/>
        <w:spacing w:line="400" w:lineRule="exact"/>
        <w:ind w:firstLine="422" w:firstLineChars="200"/>
        <w:rPr>
          <w:rFonts w:ascii="宋体" w:hAnsi="宋体" w:cs="宋体"/>
          <w:b/>
          <w:szCs w:val="21"/>
        </w:rPr>
      </w:pPr>
      <w:bookmarkStart w:id="882" w:name="_Toc101155760"/>
      <w:bookmarkStart w:id="883" w:name="_Toc115511278"/>
      <w:bookmarkStart w:id="884" w:name="_Toc99792275"/>
      <w:bookmarkStart w:id="885" w:name="_Toc100123485"/>
      <w:bookmarkStart w:id="886" w:name="_Toc98239381"/>
      <w:bookmarkStart w:id="887" w:name="_Toc101155963"/>
      <w:bookmarkStart w:id="888" w:name="_Toc98238917"/>
      <w:bookmarkStart w:id="889" w:name="_Toc193188629"/>
      <w:bookmarkStart w:id="890" w:name="_Toc231612704"/>
      <w:r>
        <w:rPr>
          <w:rFonts w:hint="eastAsia" w:ascii="宋体" w:hAnsi="宋体" w:cs="宋体"/>
          <w:b/>
          <w:szCs w:val="21"/>
        </w:rPr>
        <w:t>9、承包人工作</w:t>
      </w:r>
      <w:bookmarkEnd w:id="882"/>
      <w:bookmarkEnd w:id="883"/>
      <w:bookmarkEnd w:id="884"/>
      <w:bookmarkEnd w:id="885"/>
      <w:bookmarkEnd w:id="886"/>
      <w:bookmarkEnd w:id="887"/>
      <w:bookmarkEnd w:id="888"/>
      <w:bookmarkEnd w:id="889"/>
      <w:bookmarkEnd w:id="890"/>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9.1 承包人按专用条款约定的内容和时间完成以下工作：</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根据发包人委托，在其设计资质等级和业务允许的范围内，完成施工图设计或与工程配套的设计，经工程师确认后使用，发包人承担由此发生的费用；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向工程师提供年、季、月度工程进度计划及相应进度统计报表；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根据工程需要，提供和维修非夜间施工使用的照明、围栏设施，并负责安全保卫；</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按专用条款约定的数量和要求，向发包人提供施工场地办公和生活的房屋及设施，承包人承担由此发生的费用；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 遵守政府有关主管部门对施工场地交通、施工噪音以及环境保护和安全生产等的管理规定，按规定办理有关手续，并以书面形式通知发包人，承包人承担由此发生的费用，因发包人责任造成的违约金除外；</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 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(7) 按专用条款约定做好施工场地地下管线和邻近建筑物、构筑物（包括文物保护建筑）、古树名木的保护工作；</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(8) 保证施工场地清洁符合环境卫生管理的有关规定，交工前清理现场达到专用条款约定的要求，承担因自身原因违反有关规定造成的损失和违约金；</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(9) 承包人应做的其他工作，双方在专用条款内约定。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9.2 承包人未能履行9.1款各项义务，造成发包人损失的，承包人赔偿发包人有关损失。</w:t>
      </w:r>
    </w:p>
    <w:p>
      <w:pPr>
        <w:adjustRightInd w:val="0"/>
        <w:snapToGrid w:val="0"/>
        <w:spacing w:line="400" w:lineRule="exact"/>
        <w:ind w:firstLine="422" w:firstLineChars="200"/>
        <w:rPr>
          <w:rFonts w:ascii="方正黑体_GBK" w:hAnsi="宋体" w:eastAsia="方正黑体_GBK" w:cs="宋体"/>
          <w:b/>
          <w:bCs/>
          <w:szCs w:val="21"/>
        </w:rPr>
      </w:pPr>
      <w:bookmarkStart w:id="891" w:name="_Toc100123486"/>
      <w:bookmarkStart w:id="892" w:name="_Toc231613089"/>
      <w:bookmarkStart w:id="893" w:name="_Toc101155761"/>
      <w:bookmarkStart w:id="894" w:name="_Toc98238918"/>
      <w:bookmarkStart w:id="895" w:name="_Toc193188630"/>
      <w:bookmarkStart w:id="896" w:name="_Toc231612705"/>
      <w:bookmarkStart w:id="897" w:name="_Toc115511279"/>
      <w:bookmarkStart w:id="898" w:name="_Toc101155964"/>
      <w:bookmarkStart w:id="899" w:name="_Toc231612941"/>
      <w:bookmarkStart w:id="900" w:name="_Toc98239382"/>
      <w:bookmarkStart w:id="901" w:name="_Toc99792276"/>
      <w:r>
        <w:rPr>
          <w:rFonts w:hint="eastAsia" w:ascii="方正黑体_GBK" w:hAnsi="宋体" w:eastAsia="方正黑体_GBK" w:cs="宋体"/>
          <w:b/>
          <w:bCs/>
          <w:szCs w:val="21"/>
        </w:rPr>
        <w:t>三、施工组织设计和工期</w:t>
      </w:r>
      <w:bookmarkEnd w:id="891"/>
      <w:bookmarkEnd w:id="892"/>
      <w:bookmarkEnd w:id="893"/>
      <w:bookmarkEnd w:id="894"/>
      <w:bookmarkEnd w:id="895"/>
      <w:bookmarkEnd w:id="896"/>
      <w:bookmarkEnd w:id="897"/>
      <w:bookmarkEnd w:id="898"/>
      <w:bookmarkEnd w:id="899"/>
      <w:bookmarkEnd w:id="900"/>
      <w:bookmarkEnd w:id="901"/>
    </w:p>
    <w:p>
      <w:pPr>
        <w:adjustRightInd w:val="0"/>
        <w:snapToGrid w:val="0"/>
        <w:spacing w:line="400" w:lineRule="exact"/>
        <w:ind w:firstLine="422" w:firstLineChars="200"/>
        <w:rPr>
          <w:rFonts w:ascii="宋体" w:hAnsi="宋体" w:cs="宋体"/>
          <w:b/>
          <w:szCs w:val="21"/>
        </w:rPr>
      </w:pPr>
      <w:bookmarkStart w:id="902" w:name="_Toc101155762"/>
      <w:bookmarkStart w:id="903" w:name="_Toc193188631"/>
      <w:bookmarkStart w:id="904" w:name="_Toc115511280"/>
      <w:bookmarkStart w:id="905" w:name="_Toc98238919"/>
      <w:bookmarkStart w:id="906" w:name="_Toc100123487"/>
      <w:bookmarkStart w:id="907" w:name="_Toc99792277"/>
      <w:bookmarkStart w:id="908" w:name="_Toc231612706"/>
      <w:bookmarkStart w:id="909" w:name="_Toc98239383"/>
      <w:bookmarkStart w:id="910" w:name="_Toc101155965"/>
      <w:r>
        <w:rPr>
          <w:rFonts w:hint="eastAsia" w:ascii="宋体" w:hAnsi="宋体" w:cs="宋体"/>
          <w:b/>
          <w:szCs w:val="21"/>
        </w:rPr>
        <w:t>10、进度计划</w:t>
      </w:r>
      <w:bookmarkEnd w:id="902"/>
      <w:bookmarkEnd w:id="903"/>
      <w:bookmarkEnd w:id="904"/>
      <w:bookmarkEnd w:id="905"/>
      <w:bookmarkEnd w:id="906"/>
      <w:bookmarkEnd w:id="907"/>
      <w:bookmarkEnd w:id="908"/>
      <w:bookmarkEnd w:id="909"/>
      <w:bookmarkEnd w:id="910"/>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10.1 承包人应按专用条款约定的日期，将施工组织设计和工程进度计划提交工程师，工程师按专用条款约定的时间予以确认或提出修改意见，逾期不确认也不提出书面意见的，视为同意。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10.2 群体工程中单位工程分期进行施工的，承包人应按照发包人提供图纸及有关资料的时间，按单位工程编制进度计划，其具体内容双方在专用条款中约定。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10.3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adjustRightInd w:val="0"/>
        <w:snapToGrid w:val="0"/>
        <w:spacing w:line="400" w:lineRule="exact"/>
        <w:ind w:firstLine="422" w:firstLineChars="200"/>
        <w:rPr>
          <w:rFonts w:ascii="宋体" w:hAnsi="宋体" w:cs="宋体"/>
          <w:b/>
          <w:szCs w:val="21"/>
        </w:rPr>
      </w:pPr>
      <w:bookmarkStart w:id="911" w:name="_Toc99792278"/>
      <w:bookmarkStart w:id="912" w:name="_Toc98239384"/>
      <w:bookmarkStart w:id="913" w:name="_Toc98238920"/>
      <w:bookmarkStart w:id="914" w:name="_Toc115511281"/>
      <w:bookmarkStart w:id="915" w:name="_Toc101155763"/>
      <w:bookmarkStart w:id="916" w:name="_Toc101155966"/>
      <w:bookmarkStart w:id="917" w:name="_Toc193188632"/>
      <w:bookmarkStart w:id="918" w:name="_Toc231612707"/>
      <w:bookmarkStart w:id="919" w:name="_Toc100123488"/>
      <w:r>
        <w:rPr>
          <w:rFonts w:hint="eastAsia" w:ascii="宋体" w:hAnsi="宋体" w:cs="宋体"/>
          <w:b/>
          <w:szCs w:val="21"/>
        </w:rPr>
        <w:t>11、开工及延期开工</w:t>
      </w:r>
      <w:bookmarkEnd w:id="911"/>
      <w:bookmarkEnd w:id="912"/>
      <w:bookmarkEnd w:id="913"/>
      <w:bookmarkEnd w:id="914"/>
      <w:bookmarkEnd w:id="915"/>
      <w:bookmarkEnd w:id="916"/>
      <w:bookmarkEnd w:id="917"/>
      <w:bookmarkEnd w:id="918"/>
      <w:bookmarkEnd w:id="919"/>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11.1 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11.2 因发包人原因不能按照协议书约定的开工日期开工，工程师应以书面形式通知承包人，推迟开工日期。发包人赔偿承包人因延期开工造成的损失，并相应顺延工期。</w:t>
      </w:r>
    </w:p>
    <w:p>
      <w:pPr>
        <w:adjustRightInd w:val="0"/>
        <w:snapToGrid w:val="0"/>
        <w:spacing w:line="400" w:lineRule="exact"/>
        <w:ind w:firstLine="422" w:firstLineChars="200"/>
        <w:rPr>
          <w:rFonts w:ascii="宋体" w:hAnsi="宋体" w:cs="宋体"/>
          <w:b/>
          <w:szCs w:val="21"/>
        </w:rPr>
      </w:pPr>
      <w:bookmarkStart w:id="920" w:name="_Toc98239385"/>
      <w:bookmarkStart w:id="921" w:name="_Toc101155967"/>
      <w:bookmarkStart w:id="922" w:name="_Toc115511282"/>
      <w:bookmarkStart w:id="923" w:name="_Toc101155764"/>
      <w:bookmarkStart w:id="924" w:name="_Toc231612708"/>
      <w:bookmarkStart w:id="925" w:name="_Toc99792279"/>
      <w:bookmarkStart w:id="926" w:name="_Toc193188633"/>
      <w:bookmarkStart w:id="927" w:name="_Toc100123489"/>
      <w:bookmarkStart w:id="928" w:name="_Toc98238921"/>
      <w:r>
        <w:rPr>
          <w:rFonts w:hint="eastAsia" w:ascii="宋体" w:hAnsi="宋体" w:cs="宋体"/>
          <w:b/>
          <w:szCs w:val="21"/>
        </w:rPr>
        <w:t>12、暂停施工</w:t>
      </w:r>
      <w:bookmarkEnd w:id="920"/>
      <w:bookmarkEnd w:id="921"/>
      <w:bookmarkEnd w:id="922"/>
      <w:bookmarkEnd w:id="923"/>
      <w:bookmarkEnd w:id="924"/>
      <w:bookmarkEnd w:id="925"/>
      <w:bookmarkEnd w:id="926"/>
      <w:bookmarkEnd w:id="927"/>
      <w:bookmarkEnd w:id="928"/>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12.1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adjustRightInd w:val="0"/>
        <w:snapToGrid w:val="0"/>
        <w:spacing w:line="400" w:lineRule="exact"/>
        <w:ind w:firstLine="422" w:firstLineChars="200"/>
        <w:rPr>
          <w:rFonts w:ascii="宋体" w:hAnsi="宋体" w:cs="宋体"/>
          <w:b/>
          <w:szCs w:val="21"/>
        </w:rPr>
      </w:pPr>
      <w:bookmarkStart w:id="929" w:name="_Toc101155968"/>
      <w:bookmarkStart w:id="930" w:name="_Toc100123490"/>
      <w:bookmarkStart w:id="931" w:name="_Toc193188634"/>
      <w:bookmarkStart w:id="932" w:name="_Toc115511283"/>
      <w:bookmarkStart w:id="933" w:name="_Toc98238922"/>
      <w:bookmarkStart w:id="934" w:name="_Toc99792280"/>
      <w:bookmarkStart w:id="935" w:name="_Toc98239386"/>
      <w:bookmarkStart w:id="936" w:name="_Toc101155765"/>
      <w:bookmarkStart w:id="937" w:name="_Toc231612709"/>
      <w:r>
        <w:rPr>
          <w:rFonts w:hint="eastAsia" w:ascii="宋体" w:hAnsi="宋体" w:cs="宋体"/>
          <w:b/>
          <w:szCs w:val="21"/>
        </w:rPr>
        <w:t>13、工期延误</w:t>
      </w:r>
      <w:bookmarkEnd w:id="929"/>
      <w:bookmarkEnd w:id="930"/>
      <w:bookmarkEnd w:id="931"/>
      <w:bookmarkEnd w:id="932"/>
      <w:bookmarkEnd w:id="933"/>
      <w:bookmarkEnd w:id="934"/>
      <w:bookmarkEnd w:id="935"/>
      <w:bookmarkEnd w:id="936"/>
      <w:bookmarkEnd w:id="937"/>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13.1 因下列原因造成工期延误，经工程师确认，工期相应顺延：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发包人未能按专用条款的约定提供图纸及开工条件；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发包人未能按约定日期支付工程预付款、进度款，到使施工不能正常进行；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工程师未按合同约定提供所需指令、批准等，致使施工不能正常进行；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设计变更和工程量增加；</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 一周内非承包人原因停水、停电、停气造成停工累计超过8小时；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 不可抗力；</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(7) 专用条款中约定或工程师同意工期顺延的其他情况。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13.2承包人在13.1款情况发生后14天内，就延误的工期以书面形式向工程师提出报告。工程师在收到报告后14天内予以确认，逾期不予确认也不提出修改意见，视为同意顺延工期。</w:t>
      </w:r>
    </w:p>
    <w:p>
      <w:pPr>
        <w:adjustRightInd w:val="0"/>
        <w:snapToGrid w:val="0"/>
        <w:spacing w:line="400" w:lineRule="exact"/>
        <w:ind w:firstLine="422" w:firstLineChars="200"/>
        <w:rPr>
          <w:rFonts w:ascii="宋体" w:hAnsi="宋体" w:cs="宋体"/>
          <w:b/>
          <w:szCs w:val="21"/>
        </w:rPr>
      </w:pPr>
      <w:bookmarkStart w:id="938" w:name="_Toc101155969"/>
      <w:bookmarkStart w:id="939" w:name="_Toc193188635"/>
      <w:bookmarkStart w:id="940" w:name="_Toc98238923"/>
      <w:bookmarkStart w:id="941" w:name="_Toc99792281"/>
      <w:bookmarkStart w:id="942" w:name="_Toc231612710"/>
      <w:bookmarkStart w:id="943" w:name="_Toc101155766"/>
      <w:bookmarkStart w:id="944" w:name="_Toc115511284"/>
      <w:bookmarkStart w:id="945" w:name="_Toc100123491"/>
      <w:bookmarkStart w:id="946" w:name="_Toc98239387"/>
      <w:r>
        <w:rPr>
          <w:rFonts w:hint="eastAsia" w:ascii="宋体" w:hAnsi="宋体" w:cs="宋体"/>
          <w:b/>
          <w:szCs w:val="21"/>
        </w:rPr>
        <w:t>14、工程竣工</w:t>
      </w:r>
      <w:bookmarkEnd w:id="938"/>
      <w:bookmarkEnd w:id="939"/>
      <w:bookmarkEnd w:id="940"/>
      <w:bookmarkEnd w:id="941"/>
      <w:bookmarkEnd w:id="942"/>
      <w:bookmarkEnd w:id="943"/>
      <w:bookmarkEnd w:id="944"/>
      <w:bookmarkEnd w:id="945"/>
      <w:bookmarkEnd w:id="946"/>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14.1 承包人必须按照协议书约定的竣工日期或工程师同意顺延的工期竣工。</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14.2 因承包人原因不能按照协议书约定的竣工日期或工程师同意顺延的工期竣工的，承包人承担违约责任。</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adjustRightInd w:val="0"/>
        <w:snapToGrid w:val="0"/>
        <w:spacing w:line="400" w:lineRule="exact"/>
        <w:ind w:firstLine="422" w:firstLineChars="200"/>
        <w:rPr>
          <w:rFonts w:ascii="方正黑体_GBK" w:hAnsi="宋体" w:eastAsia="方正黑体_GBK" w:cs="宋体"/>
          <w:b/>
          <w:bCs/>
          <w:szCs w:val="21"/>
        </w:rPr>
      </w:pPr>
      <w:bookmarkStart w:id="947" w:name="_Toc98239388"/>
      <w:bookmarkStart w:id="948" w:name="_Toc100123492"/>
      <w:bookmarkStart w:id="949" w:name="_Toc101155767"/>
      <w:bookmarkStart w:id="950" w:name="_Toc231613090"/>
      <w:bookmarkStart w:id="951" w:name="_Toc231612942"/>
      <w:bookmarkStart w:id="952" w:name="_Toc231612711"/>
      <w:bookmarkStart w:id="953" w:name="_Toc99792282"/>
      <w:bookmarkStart w:id="954" w:name="_Toc115511285"/>
      <w:bookmarkStart w:id="955" w:name="_Toc98238924"/>
      <w:bookmarkStart w:id="956" w:name="_Toc101155970"/>
      <w:bookmarkStart w:id="957" w:name="_Toc193188636"/>
      <w:r>
        <w:rPr>
          <w:rFonts w:hint="eastAsia" w:ascii="方正黑体_GBK" w:hAnsi="宋体" w:eastAsia="方正黑体_GBK" w:cs="宋体"/>
          <w:b/>
          <w:bCs/>
          <w:szCs w:val="21"/>
        </w:rPr>
        <w:t>四、质量与检验</w:t>
      </w:r>
      <w:bookmarkEnd w:id="947"/>
      <w:bookmarkEnd w:id="948"/>
      <w:bookmarkEnd w:id="949"/>
      <w:bookmarkEnd w:id="950"/>
      <w:bookmarkEnd w:id="951"/>
      <w:bookmarkEnd w:id="952"/>
      <w:bookmarkEnd w:id="953"/>
      <w:bookmarkEnd w:id="954"/>
      <w:bookmarkEnd w:id="955"/>
      <w:bookmarkEnd w:id="956"/>
      <w:bookmarkEnd w:id="957"/>
    </w:p>
    <w:p>
      <w:pPr>
        <w:adjustRightInd w:val="0"/>
        <w:snapToGrid w:val="0"/>
        <w:spacing w:line="400" w:lineRule="exact"/>
        <w:ind w:firstLine="422" w:firstLineChars="200"/>
        <w:rPr>
          <w:rFonts w:ascii="宋体" w:hAnsi="宋体" w:cs="宋体"/>
          <w:b/>
          <w:szCs w:val="21"/>
        </w:rPr>
      </w:pPr>
      <w:bookmarkStart w:id="958" w:name="_Toc101155768"/>
      <w:bookmarkStart w:id="959" w:name="_Toc100123493"/>
      <w:bookmarkStart w:id="960" w:name="_Toc115511286"/>
      <w:bookmarkStart w:id="961" w:name="_Toc99792283"/>
      <w:bookmarkStart w:id="962" w:name="_Toc193188637"/>
      <w:bookmarkStart w:id="963" w:name="_Toc98238925"/>
      <w:bookmarkStart w:id="964" w:name="_Toc98239389"/>
      <w:bookmarkStart w:id="965" w:name="_Toc101155971"/>
      <w:bookmarkStart w:id="966" w:name="_Toc231612712"/>
      <w:r>
        <w:rPr>
          <w:rFonts w:hint="eastAsia" w:ascii="宋体" w:hAnsi="宋体" w:cs="宋体"/>
          <w:b/>
          <w:szCs w:val="21"/>
        </w:rPr>
        <w:t>15、工程质量</w:t>
      </w:r>
      <w:bookmarkEnd w:id="958"/>
      <w:bookmarkEnd w:id="959"/>
      <w:bookmarkEnd w:id="960"/>
      <w:bookmarkEnd w:id="961"/>
      <w:bookmarkEnd w:id="962"/>
      <w:bookmarkEnd w:id="963"/>
      <w:bookmarkEnd w:id="964"/>
      <w:bookmarkEnd w:id="965"/>
      <w:bookmarkEnd w:id="966"/>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15.1 工程质量应当达到协议书约定的质量标准，质量标准的评定以国家或行业的质量检验评定标准为依据。因承包人原因致使工程质量达不到约定的质量标准，承包人承担违约责任。</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15.2 双方对工程质量有争议，由双方同意的工程质量检测机构鉴定，所需费用及因此造成的损失，由责任方承担。双方均有责任，由双方根据其责任分别承担。</w:t>
      </w:r>
    </w:p>
    <w:p>
      <w:pPr>
        <w:adjustRightInd w:val="0"/>
        <w:snapToGrid w:val="0"/>
        <w:spacing w:line="400" w:lineRule="exact"/>
        <w:ind w:firstLine="422" w:firstLineChars="200"/>
        <w:rPr>
          <w:rFonts w:ascii="宋体" w:hAnsi="宋体" w:cs="宋体"/>
          <w:b/>
          <w:szCs w:val="21"/>
        </w:rPr>
      </w:pPr>
      <w:bookmarkStart w:id="967" w:name="_Toc115511287"/>
      <w:bookmarkStart w:id="968" w:name="_Toc231612713"/>
      <w:bookmarkStart w:id="969" w:name="_Toc98238926"/>
      <w:bookmarkStart w:id="970" w:name="_Toc101155769"/>
      <w:bookmarkStart w:id="971" w:name="_Toc98239390"/>
      <w:bookmarkStart w:id="972" w:name="_Toc101155972"/>
      <w:bookmarkStart w:id="973" w:name="_Toc99792284"/>
      <w:bookmarkStart w:id="974" w:name="_Toc100123494"/>
      <w:bookmarkStart w:id="975" w:name="_Toc193188638"/>
      <w:r>
        <w:rPr>
          <w:rFonts w:hint="eastAsia" w:ascii="宋体" w:hAnsi="宋体" w:cs="宋体"/>
          <w:b/>
          <w:szCs w:val="21"/>
        </w:rPr>
        <w:t>16、检查和返工</w:t>
      </w:r>
      <w:bookmarkEnd w:id="967"/>
      <w:bookmarkEnd w:id="968"/>
      <w:bookmarkEnd w:id="969"/>
      <w:bookmarkEnd w:id="970"/>
      <w:bookmarkEnd w:id="971"/>
      <w:bookmarkEnd w:id="972"/>
      <w:bookmarkEnd w:id="973"/>
      <w:bookmarkEnd w:id="974"/>
      <w:bookmarkEnd w:id="975"/>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16.1 承包人应认真按照标准、规范和设计图纸要求以及工程师依据合同发出的指令施工，随时接受工程师的检查检验，为检查检验提供便利条件。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16.3 工程师的检查检验不应影响施工正常进行。如影响施工正常进行，检查检验不合格时，影响正常施工的费用由承包人承担。除此之外影响正常施工的追加合同价款由发包人承担，相应顺延工期。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16.4 因工程师指令失误或其他非承包人原因发生的追加合同价款，由发包人承担。</w:t>
      </w:r>
    </w:p>
    <w:p>
      <w:pPr>
        <w:adjustRightInd w:val="0"/>
        <w:snapToGrid w:val="0"/>
        <w:spacing w:line="400" w:lineRule="exact"/>
        <w:ind w:firstLine="422" w:firstLineChars="200"/>
        <w:rPr>
          <w:rFonts w:ascii="宋体" w:hAnsi="宋体" w:cs="宋体"/>
          <w:b/>
          <w:szCs w:val="21"/>
        </w:rPr>
      </w:pPr>
      <w:bookmarkStart w:id="976" w:name="_Toc231612714"/>
      <w:bookmarkStart w:id="977" w:name="_Toc193188639"/>
      <w:bookmarkStart w:id="978" w:name="_Toc98238927"/>
      <w:bookmarkStart w:id="979" w:name="_Toc101155973"/>
      <w:bookmarkStart w:id="980" w:name="_Toc98239391"/>
      <w:bookmarkStart w:id="981" w:name="_Toc115511288"/>
      <w:bookmarkStart w:id="982" w:name="_Toc99792285"/>
      <w:bookmarkStart w:id="983" w:name="_Toc100123495"/>
      <w:bookmarkStart w:id="984" w:name="_Toc101155770"/>
      <w:r>
        <w:rPr>
          <w:rFonts w:hint="eastAsia" w:ascii="宋体" w:hAnsi="宋体" w:cs="宋体"/>
          <w:b/>
          <w:szCs w:val="21"/>
        </w:rPr>
        <w:t>17、隐蔽工程和中间验收</w:t>
      </w:r>
      <w:bookmarkEnd w:id="976"/>
      <w:bookmarkEnd w:id="977"/>
      <w:bookmarkEnd w:id="978"/>
      <w:bookmarkEnd w:id="979"/>
      <w:bookmarkEnd w:id="980"/>
      <w:bookmarkEnd w:id="981"/>
      <w:bookmarkEnd w:id="982"/>
      <w:bookmarkEnd w:id="983"/>
      <w:bookmarkEnd w:id="984"/>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17.1 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17.2 工程师不能按时进行验收，应在验收前24小时以书面形式向承包人提出延期要求，延期不能超过48小时。工程师未能按以上时间提出延期要求，不进行验收，承包人可自行组织验收，工程师应承认验收记录。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17.3 经工程师验收，工程质量符合标准、规范和设计图纸等要求，验收24小时后，工程师不在验收记录上签字，视为工程师已经认可验收记录，承包人可进行隐蔽或继续施工。</w:t>
      </w:r>
    </w:p>
    <w:p>
      <w:pPr>
        <w:adjustRightInd w:val="0"/>
        <w:snapToGrid w:val="0"/>
        <w:spacing w:line="400" w:lineRule="exact"/>
        <w:ind w:firstLine="422" w:firstLineChars="200"/>
        <w:rPr>
          <w:rFonts w:ascii="宋体" w:hAnsi="宋体" w:cs="宋体"/>
          <w:b/>
          <w:szCs w:val="21"/>
        </w:rPr>
      </w:pPr>
      <w:bookmarkStart w:id="985" w:name="_Toc99792286"/>
      <w:bookmarkStart w:id="986" w:name="_Toc193188640"/>
      <w:bookmarkStart w:id="987" w:name="_Toc231612715"/>
      <w:bookmarkStart w:id="988" w:name="_Toc101155974"/>
      <w:bookmarkStart w:id="989" w:name="_Toc98238928"/>
      <w:bookmarkStart w:id="990" w:name="_Toc100123496"/>
      <w:bookmarkStart w:id="991" w:name="_Toc115511289"/>
      <w:bookmarkStart w:id="992" w:name="_Toc101155771"/>
      <w:bookmarkStart w:id="993" w:name="_Toc98239392"/>
      <w:r>
        <w:rPr>
          <w:rFonts w:hint="eastAsia" w:ascii="宋体" w:hAnsi="宋体" w:cs="宋体"/>
          <w:b/>
          <w:szCs w:val="21"/>
        </w:rPr>
        <w:t>18、重新检验</w:t>
      </w:r>
      <w:bookmarkEnd w:id="985"/>
      <w:bookmarkEnd w:id="986"/>
      <w:bookmarkEnd w:id="987"/>
      <w:bookmarkEnd w:id="988"/>
      <w:bookmarkEnd w:id="989"/>
      <w:bookmarkEnd w:id="990"/>
      <w:bookmarkEnd w:id="991"/>
      <w:bookmarkEnd w:id="992"/>
      <w:bookmarkEnd w:id="993"/>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18.1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adjustRightInd w:val="0"/>
        <w:snapToGrid w:val="0"/>
        <w:spacing w:line="400" w:lineRule="exact"/>
        <w:ind w:firstLine="422" w:firstLineChars="200"/>
        <w:rPr>
          <w:rFonts w:ascii="宋体" w:hAnsi="宋体" w:cs="宋体"/>
          <w:b/>
          <w:szCs w:val="21"/>
        </w:rPr>
      </w:pPr>
      <w:bookmarkStart w:id="994" w:name="_Toc99792287"/>
      <w:bookmarkStart w:id="995" w:name="_Toc115511290"/>
      <w:bookmarkStart w:id="996" w:name="_Toc231612716"/>
      <w:bookmarkStart w:id="997" w:name="_Toc101155975"/>
      <w:bookmarkStart w:id="998" w:name="_Toc100123497"/>
      <w:bookmarkStart w:id="999" w:name="_Toc193188641"/>
      <w:bookmarkStart w:id="1000" w:name="_Toc101155772"/>
      <w:bookmarkStart w:id="1001" w:name="_Toc98238929"/>
      <w:bookmarkStart w:id="1002" w:name="_Toc98239393"/>
      <w:r>
        <w:rPr>
          <w:rFonts w:hint="eastAsia" w:ascii="宋体" w:hAnsi="宋体" w:cs="宋体"/>
          <w:b/>
          <w:szCs w:val="21"/>
        </w:rPr>
        <w:t>19、工程试车</w:t>
      </w:r>
      <w:bookmarkEnd w:id="994"/>
      <w:bookmarkEnd w:id="995"/>
      <w:bookmarkEnd w:id="996"/>
      <w:bookmarkEnd w:id="997"/>
      <w:bookmarkEnd w:id="998"/>
      <w:bookmarkEnd w:id="999"/>
      <w:bookmarkEnd w:id="1000"/>
      <w:bookmarkEnd w:id="1001"/>
      <w:bookmarkEnd w:id="1002"/>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19.1 双方约定需要试车的，试车内容应与承包人承包的安装范围相一致。</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19.2 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19.3 工程师不能按时参加试车，须在开始试车前24小时以书面形式向承包人提出延期要求，延期不能超过48小时。工程师未能按以上时间提出延期要求，不参加试车，应承认试车记录。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19.4 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19.5 双方责任</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由于设计原因试车达不到验收要求，发包人应要求设计单位修改设计，承包人按修改后的设计重新安装。发包人承担修改设计、拆除及重新安装的全部费用和追加合同价款，工期相应顺延。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 (2) 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由于承包人施工原因试车达不到验收要求，承包人按工程师要求重新安装和试车，并承担重新安装和试车的费用，工期不予顺延。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试车费用除已包括在合同价款之内或专用条款另有约定外，均由发包人承担。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(5) 工程师在试车合格后不在试车记录上签字，试车结束24小时后，视为工程师已经认可试车记录，承包人可继续施工或办理竣工手续。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19.6 投料试车应在工程竣工验收后由发包人负责，如发包人要求在工程竣工验收前进行或需要承包人配合时，应征得承包人同意，另行签订补充协议。</w:t>
      </w:r>
    </w:p>
    <w:p>
      <w:pPr>
        <w:adjustRightInd w:val="0"/>
        <w:snapToGrid w:val="0"/>
        <w:spacing w:line="400" w:lineRule="exact"/>
        <w:ind w:firstLine="422" w:firstLineChars="200"/>
        <w:rPr>
          <w:rFonts w:ascii="方正黑体_GBK" w:hAnsi="宋体" w:eastAsia="方正黑体_GBK" w:cs="宋体"/>
          <w:b/>
          <w:bCs/>
          <w:szCs w:val="21"/>
        </w:rPr>
      </w:pPr>
      <w:bookmarkStart w:id="1003" w:name="_Toc98239394"/>
      <w:bookmarkStart w:id="1004" w:name="_Toc100123498"/>
      <w:bookmarkStart w:id="1005" w:name="_Toc231612943"/>
      <w:bookmarkStart w:id="1006" w:name="_Toc193188642"/>
      <w:bookmarkStart w:id="1007" w:name="_Toc98238930"/>
      <w:bookmarkStart w:id="1008" w:name="_Toc101155976"/>
      <w:bookmarkStart w:id="1009" w:name="_Toc231613091"/>
      <w:bookmarkStart w:id="1010" w:name="_Toc101155773"/>
      <w:bookmarkStart w:id="1011" w:name="_Toc115511291"/>
      <w:bookmarkStart w:id="1012" w:name="_Toc99792288"/>
      <w:bookmarkStart w:id="1013" w:name="_Toc231612717"/>
      <w:r>
        <w:rPr>
          <w:rFonts w:hint="eastAsia" w:ascii="方正黑体_GBK" w:hAnsi="宋体" w:eastAsia="方正黑体_GBK" w:cs="宋体"/>
          <w:b/>
          <w:bCs/>
          <w:szCs w:val="21"/>
        </w:rPr>
        <w:t>五、安全施工</w:t>
      </w:r>
      <w:bookmarkEnd w:id="1003"/>
      <w:bookmarkEnd w:id="1004"/>
      <w:bookmarkEnd w:id="1005"/>
      <w:bookmarkEnd w:id="1006"/>
      <w:bookmarkEnd w:id="1007"/>
      <w:bookmarkEnd w:id="1008"/>
      <w:bookmarkEnd w:id="1009"/>
      <w:bookmarkEnd w:id="1010"/>
      <w:bookmarkEnd w:id="1011"/>
      <w:bookmarkEnd w:id="1012"/>
      <w:bookmarkEnd w:id="1013"/>
    </w:p>
    <w:p>
      <w:pPr>
        <w:adjustRightInd w:val="0"/>
        <w:snapToGrid w:val="0"/>
        <w:spacing w:line="400" w:lineRule="exact"/>
        <w:ind w:firstLine="422" w:firstLineChars="200"/>
        <w:rPr>
          <w:rFonts w:ascii="宋体" w:hAnsi="宋体" w:cs="宋体"/>
          <w:b/>
          <w:szCs w:val="21"/>
        </w:rPr>
      </w:pPr>
      <w:bookmarkStart w:id="1014" w:name="_Toc101155977"/>
      <w:bookmarkStart w:id="1015" w:name="_Toc99792289"/>
      <w:bookmarkStart w:id="1016" w:name="_Toc100123499"/>
      <w:bookmarkStart w:id="1017" w:name="_Toc231612718"/>
      <w:bookmarkStart w:id="1018" w:name="_Toc98239395"/>
      <w:bookmarkStart w:id="1019" w:name="_Toc98238931"/>
      <w:bookmarkStart w:id="1020" w:name="_Toc115511292"/>
      <w:bookmarkStart w:id="1021" w:name="_Toc101155774"/>
      <w:bookmarkStart w:id="1022" w:name="_Toc193188643"/>
      <w:r>
        <w:rPr>
          <w:rFonts w:hint="eastAsia" w:ascii="宋体" w:hAnsi="宋体" w:cs="宋体"/>
          <w:b/>
          <w:szCs w:val="21"/>
        </w:rPr>
        <w:t>20、安全施工与检查</w:t>
      </w:r>
      <w:bookmarkEnd w:id="1014"/>
      <w:bookmarkEnd w:id="1015"/>
      <w:bookmarkEnd w:id="1016"/>
      <w:bookmarkEnd w:id="1017"/>
      <w:bookmarkEnd w:id="1018"/>
      <w:bookmarkEnd w:id="1019"/>
      <w:bookmarkEnd w:id="1020"/>
      <w:bookmarkEnd w:id="1021"/>
      <w:bookmarkEnd w:id="1022"/>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20.1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20.2发包人应对其在施工场地的工作人员进行安全教育，并对他们的安全负责。发包人不得要求承包人违反安全管理的规定进行施工。因发包人原因导致的安全事故，由发包人承担相应责任及发生的费用。</w:t>
      </w:r>
    </w:p>
    <w:p>
      <w:pPr>
        <w:adjustRightInd w:val="0"/>
        <w:snapToGrid w:val="0"/>
        <w:spacing w:line="400" w:lineRule="exact"/>
        <w:ind w:firstLine="422" w:firstLineChars="200"/>
        <w:rPr>
          <w:rFonts w:ascii="宋体" w:hAnsi="宋体" w:cs="宋体"/>
          <w:b/>
          <w:szCs w:val="21"/>
        </w:rPr>
      </w:pPr>
      <w:bookmarkStart w:id="1023" w:name="_Toc101155978"/>
      <w:bookmarkStart w:id="1024" w:name="_Toc100123500"/>
      <w:bookmarkStart w:id="1025" w:name="_Toc101155775"/>
      <w:bookmarkStart w:id="1026" w:name="_Toc193188644"/>
      <w:bookmarkStart w:id="1027" w:name="_Toc98238932"/>
      <w:bookmarkStart w:id="1028" w:name="_Toc231612719"/>
      <w:bookmarkStart w:id="1029" w:name="_Toc115511293"/>
      <w:bookmarkStart w:id="1030" w:name="_Toc98239396"/>
      <w:bookmarkStart w:id="1031" w:name="_Toc99792290"/>
      <w:r>
        <w:rPr>
          <w:rFonts w:hint="eastAsia" w:ascii="宋体" w:hAnsi="宋体" w:cs="宋体"/>
          <w:b/>
          <w:szCs w:val="21"/>
        </w:rPr>
        <w:t>21、安全防护</w:t>
      </w:r>
      <w:bookmarkEnd w:id="1023"/>
      <w:bookmarkEnd w:id="1024"/>
      <w:bookmarkEnd w:id="1025"/>
      <w:bookmarkEnd w:id="1026"/>
      <w:bookmarkEnd w:id="1027"/>
      <w:bookmarkEnd w:id="1028"/>
      <w:bookmarkEnd w:id="1029"/>
      <w:bookmarkEnd w:id="1030"/>
      <w:bookmarkEnd w:id="1031"/>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21.1承包人在动力设备、输电线路、地下管道、密封防震车间、易燃易爆地段以及临街交通要道附近施工时，施工开始前应向工程师提出安全防护措施，经工程师认可后实施，防护措施费用由发包人承担。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21.2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adjustRightInd w:val="0"/>
        <w:snapToGrid w:val="0"/>
        <w:spacing w:line="400" w:lineRule="exact"/>
        <w:ind w:firstLine="422" w:firstLineChars="200"/>
        <w:rPr>
          <w:rFonts w:ascii="宋体" w:hAnsi="宋体" w:cs="宋体"/>
          <w:b/>
          <w:szCs w:val="21"/>
        </w:rPr>
      </w:pPr>
      <w:bookmarkStart w:id="1032" w:name="_Toc100123501"/>
      <w:bookmarkStart w:id="1033" w:name="_Toc193188645"/>
      <w:bookmarkStart w:id="1034" w:name="_Toc101155776"/>
      <w:bookmarkStart w:id="1035" w:name="_Toc98239397"/>
      <w:bookmarkStart w:id="1036" w:name="_Toc231612720"/>
      <w:bookmarkStart w:id="1037" w:name="_Toc115511294"/>
      <w:bookmarkStart w:id="1038" w:name="_Toc98238933"/>
      <w:bookmarkStart w:id="1039" w:name="_Toc101155979"/>
      <w:bookmarkStart w:id="1040" w:name="_Toc99792291"/>
      <w:r>
        <w:rPr>
          <w:rFonts w:hint="eastAsia" w:ascii="宋体" w:hAnsi="宋体" w:cs="宋体"/>
          <w:b/>
          <w:szCs w:val="21"/>
        </w:rPr>
        <w:t>22、事故处理</w:t>
      </w:r>
      <w:bookmarkEnd w:id="1032"/>
      <w:bookmarkEnd w:id="1033"/>
      <w:bookmarkEnd w:id="1034"/>
      <w:bookmarkEnd w:id="1035"/>
      <w:bookmarkEnd w:id="1036"/>
      <w:bookmarkEnd w:id="1037"/>
      <w:bookmarkEnd w:id="1038"/>
      <w:bookmarkEnd w:id="1039"/>
      <w:bookmarkEnd w:id="1040"/>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22.1 发生重大伤亡及其他安全事故，承包人应按有关规定立即上报有关部门并通知工程师，同时按政府有关部门要求处理，由事故责任方承担发生的费用。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22.2 发包人承包人对事故责任有争议时，应按政府有关部门的认定处理。</w:t>
      </w:r>
    </w:p>
    <w:p>
      <w:pPr>
        <w:adjustRightInd w:val="0"/>
        <w:snapToGrid w:val="0"/>
        <w:spacing w:line="400" w:lineRule="exact"/>
        <w:ind w:firstLine="422" w:firstLineChars="200"/>
        <w:rPr>
          <w:rFonts w:ascii="方正黑体_GBK" w:hAnsi="宋体" w:eastAsia="方正黑体_GBK" w:cs="宋体"/>
          <w:b/>
          <w:bCs/>
          <w:szCs w:val="21"/>
        </w:rPr>
      </w:pPr>
      <w:bookmarkStart w:id="1041" w:name="_Toc98239398"/>
      <w:bookmarkStart w:id="1042" w:name="_Toc99792292"/>
      <w:bookmarkStart w:id="1043" w:name="_Toc101155777"/>
      <w:bookmarkStart w:id="1044" w:name="_Toc100123502"/>
      <w:bookmarkStart w:id="1045" w:name="_Toc231612721"/>
      <w:bookmarkStart w:id="1046" w:name="_Toc231612944"/>
      <w:bookmarkStart w:id="1047" w:name="_Toc193188646"/>
      <w:bookmarkStart w:id="1048" w:name="_Toc101155980"/>
      <w:bookmarkStart w:id="1049" w:name="_Toc115511295"/>
      <w:bookmarkStart w:id="1050" w:name="_Toc98238934"/>
      <w:bookmarkStart w:id="1051" w:name="_Toc231613092"/>
      <w:r>
        <w:rPr>
          <w:rFonts w:hint="eastAsia" w:ascii="方正黑体_GBK" w:hAnsi="宋体" w:eastAsia="方正黑体_GBK" w:cs="宋体"/>
          <w:b/>
          <w:bCs/>
          <w:szCs w:val="21"/>
        </w:rPr>
        <w:t>六、合同价款与支付</w:t>
      </w:r>
      <w:bookmarkEnd w:id="1041"/>
      <w:bookmarkEnd w:id="1042"/>
      <w:bookmarkEnd w:id="1043"/>
      <w:bookmarkEnd w:id="1044"/>
      <w:bookmarkEnd w:id="1045"/>
      <w:bookmarkEnd w:id="1046"/>
      <w:bookmarkEnd w:id="1047"/>
      <w:bookmarkEnd w:id="1048"/>
      <w:bookmarkEnd w:id="1049"/>
      <w:bookmarkEnd w:id="1050"/>
      <w:bookmarkEnd w:id="1051"/>
    </w:p>
    <w:p>
      <w:pPr>
        <w:adjustRightInd w:val="0"/>
        <w:snapToGrid w:val="0"/>
        <w:spacing w:line="400" w:lineRule="exact"/>
        <w:ind w:firstLine="422" w:firstLineChars="200"/>
        <w:rPr>
          <w:rFonts w:ascii="宋体" w:hAnsi="宋体" w:cs="宋体"/>
          <w:b/>
          <w:szCs w:val="21"/>
        </w:rPr>
      </w:pPr>
      <w:bookmarkStart w:id="1052" w:name="_Toc115511296"/>
      <w:bookmarkStart w:id="1053" w:name="_Toc193188647"/>
      <w:bookmarkStart w:id="1054" w:name="_Toc98238935"/>
      <w:bookmarkStart w:id="1055" w:name="_Toc100123503"/>
      <w:bookmarkStart w:id="1056" w:name="_Toc231612722"/>
      <w:bookmarkStart w:id="1057" w:name="_Toc101155981"/>
      <w:bookmarkStart w:id="1058" w:name="_Toc98239399"/>
      <w:bookmarkStart w:id="1059" w:name="_Toc99792293"/>
      <w:bookmarkStart w:id="1060" w:name="_Toc101155778"/>
      <w:r>
        <w:rPr>
          <w:rFonts w:hint="eastAsia" w:ascii="宋体" w:hAnsi="宋体" w:cs="宋体"/>
          <w:b/>
          <w:szCs w:val="21"/>
        </w:rPr>
        <w:t>23、合同价款及调整</w:t>
      </w:r>
      <w:bookmarkEnd w:id="1052"/>
      <w:bookmarkEnd w:id="1053"/>
      <w:bookmarkEnd w:id="1054"/>
      <w:bookmarkEnd w:id="1055"/>
      <w:bookmarkEnd w:id="1056"/>
      <w:bookmarkEnd w:id="1057"/>
      <w:bookmarkEnd w:id="1058"/>
      <w:bookmarkEnd w:id="1059"/>
      <w:bookmarkEnd w:id="1060"/>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23.1 招标工程的合同价款由发包人承包人依据中标通知书中的中标价格在协议书内约定。非招标工程的合同价款由发包人承包人依据工程预算书在协议书内约定。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23.2 合同价款在协议书内约定后，任何一方不得擅自改变。下列三种确定合同价款的方式，双方可在专用条款内约定采用其中一种：</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（1）单价合同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w:t>
      </w:r>
    </w:p>
    <w:p>
      <w:pPr>
        <w:numPr>
          <w:ilvl w:val="0"/>
          <w:numId w:val="4"/>
        </w:numPr>
        <w:adjustRightInd w:val="0"/>
        <w:snapToGrid w:val="0"/>
        <w:spacing w:line="400" w:lineRule="exact"/>
        <w:ind w:firstLine="420" w:firstLineChars="200"/>
        <w:rPr>
          <w:rFonts w:ascii="宋体" w:hAnsi="宋体" w:cs="宋体"/>
          <w:szCs w:val="21"/>
        </w:rPr>
      </w:pPr>
      <w:r>
        <w:rPr>
          <w:rFonts w:hint="eastAsia" w:ascii="宋体" w:hAnsi="宋体" w:cs="宋体"/>
          <w:szCs w:val="21"/>
        </w:rPr>
        <w:t>总价合同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    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（3）其它价格形式</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合同当事人可在专用合同条款中约定其他合同价格形式。</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23.3可调价格合同中合同价款的调整因素包括：</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法律、行政法规和国家有关政策变化影响合同价款；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工程造价管理部门公布的价格调整；</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一周内非承包人原因停水、停电、停气造成的停工累计超过8小时；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双方约定的其他因素。</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23.4承包人应当在23.3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adjustRightInd w:val="0"/>
        <w:snapToGrid w:val="0"/>
        <w:spacing w:line="400" w:lineRule="exact"/>
        <w:ind w:firstLine="422" w:firstLineChars="200"/>
        <w:rPr>
          <w:rFonts w:ascii="宋体" w:hAnsi="宋体" w:cs="宋体"/>
          <w:b/>
          <w:szCs w:val="21"/>
        </w:rPr>
      </w:pPr>
      <w:bookmarkStart w:id="1061" w:name="_Toc101155779"/>
      <w:bookmarkStart w:id="1062" w:name="_Toc100123504"/>
      <w:bookmarkStart w:id="1063" w:name="_Toc99792294"/>
      <w:bookmarkStart w:id="1064" w:name="_Toc98238936"/>
      <w:bookmarkStart w:id="1065" w:name="_Toc115511297"/>
      <w:bookmarkStart w:id="1066" w:name="_Toc101155982"/>
      <w:bookmarkStart w:id="1067" w:name="_Toc231612723"/>
      <w:bookmarkStart w:id="1068" w:name="_Toc193188648"/>
      <w:bookmarkStart w:id="1069" w:name="_Toc98239400"/>
      <w:r>
        <w:rPr>
          <w:rFonts w:hint="eastAsia" w:ascii="宋体" w:hAnsi="宋体" w:cs="宋体"/>
          <w:b/>
          <w:szCs w:val="21"/>
        </w:rPr>
        <w:t>24、工程预付款</w:t>
      </w:r>
      <w:bookmarkEnd w:id="1061"/>
      <w:bookmarkEnd w:id="1062"/>
      <w:bookmarkEnd w:id="1063"/>
      <w:bookmarkEnd w:id="1064"/>
      <w:bookmarkEnd w:id="1065"/>
      <w:bookmarkEnd w:id="1066"/>
      <w:bookmarkEnd w:id="1067"/>
      <w:bookmarkEnd w:id="1068"/>
      <w:bookmarkEnd w:id="1069"/>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24.1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adjustRightInd w:val="0"/>
        <w:snapToGrid w:val="0"/>
        <w:spacing w:line="400" w:lineRule="exact"/>
        <w:ind w:firstLine="422" w:firstLineChars="200"/>
        <w:rPr>
          <w:rFonts w:ascii="宋体" w:hAnsi="宋体" w:cs="宋体"/>
          <w:b/>
          <w:szCs w:val="21"/>
        </w:rPr>
      </w:pPr>
      <w:bookmarkStart w:id="1070" w:name="_Toc193188649"/>
      <w:bookmarkStart w:id="1071" w:name="_Toc100123505"/>
      <w:bookmarkStart w:id="1072" w:name="_Toc115511298"/>
      <w:bookmarkStart w:id="1073" w:name="_Toc98239401"/>
      <w:bookmarkStart w:id="1074" w:name="_Toc101155983"/>
      <w:bookmarkStart w:id="1075" w:name="_Toc231612724"/>
      <w:bookmarkStart w:id="1076" w:name="_Toc101155780"/>
      <w:bookmarkStart w:id="1077" w:name="_Toc99792295"/>
      <w:bookmarkStart w:id="1078" w:name="_Toc98238937"/>
      <w:r>
        <w:rPr>
          <w:rFonts w:hint="eastAsia" w:ascii="宋体" w:hAnsi="宋体" w:cs="宋体"/>
          <w:b/>
          <w:szCs w:val="21"/>
        </w:rPr>
        <w:t>25、工程量的确认</w:t>
      </w:r>
      <w:bookmarkEnd w:id="1070"/>
      <w:bookmarkEnd w:id="1071"/>
      <w:bookmarkEnd w:id="1072"/>
      <w:bookmarkEnd w:id="1073"/>
      <w:bookmarkEnd w:id="1074"/>
      <w:bookmarkEnd w:id="1075"/>
      <w:bookmarkEnd w:id="1076"/>
      <w:bookmarkEnd w:id="1077"/>
      <w:bookmarkEnd w:id="1078"/>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25.1 承包人应按专用条款约定的时间，向工程师提交已完工程量的报告。工程师接到报告后7天内按设计图纸核实已完工程量（以下称计量），并在计量前24小时通知承包人，承包人应为计量提供便利条件并派人参加。承包人收到通知后不参加计量，计量结果有效，作为工程价款支付的依据。</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25.2 工程师收到承包人报告后7天内未进行计量，从第8天起，承包人报告中开列的工程量即视为被确认，作为工程价款支付的依据。工程师不按约定时间通知承包人，致使承包人未能参加计量，计量结果无效。</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25.3 对承包人超出设计图纸范围和因承包人原因造成返工的工程量，工程师不予计量。</w:t>
      </w:r>
    </w:p>
    <w:p>
      <w:pPr>
        <w:adjustRightInd w:val="0"/>
        <w:snapToGrid w:val="0"/>
        <w:spacing w:line="400" w:lineRule="exact"/>
        <w:ind w:firstLine="422" w:firstLineChars="200"/>
        <w:rPr>
          <w:rFonts w:ascii="宋体" w:hAnsi="宋体" w:cs="宋体"/>
          <w:b/>
          <w:szCs w:val="21"/>
        </w:rPr>
      </w:pPr>
      <w:bookmarkStart w:id="1079" w:name="_Toc98238938"/>
      <w:bookmarkStart w:id="1080" w:name="_Toc101155984"/>
      <w:bookmarkStart w:id="1081" w:name="_Toc98239402"/>
      <w:bookmarkStart w:id="1082" w:name="_Toc101155781"/>
      <w:bookmarkStart w:id="1083" w:name="_Toc115511299"/>
      <w:bookmarkStart w:id="1084" w:name="_Toc193188650"/>
      <w:bookmarkStart w:id="1085" w:name="_Toc231612725"/>
      <w:bookmarkStart w:id="1086" w:name="_Toc100123506"/>
      <w:bookmarkStart w:id="1087" w:name="_Toc99792296"/>
      <w:r>
        <w:rPr>
          <w:rFonts w:hint="eastAsia" w:ascii="宋体" w:hAnsi="宋体" w:cs="宋体"/>
          <w:b/>
          <w:szCs w:val="21"/>
        </w:rPr>
        <w:t>26、工程款（进度款）支付</w:t>
      </w:r>
      <w:bookmarkEnd w:id="1079"/>
      <w:bookmarkEnd w:id="1080"/>
      <w:bookmarkEnd w:id="1081"/>
      <w:bookmarkEnd w:id="1082"/>
      <w:bookmarkEnd w:id="1083"/>
      <w:bookmarkEnd w:id="1084"/>
      <w:bookmarkEnd w:id="1085"/>
      <w:bookmarkEnd w:id="1086"/>
      <w:bookmarkEnd w:id="1087"/>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26.1 在确认计量结果后14天内，发包人应向承包人支付工程款（进度款）。按约定时间发包人应扣回的预付款，与工程款（进度款）同期结算。</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26.2 本通用条款第23条确定调整的合同价款，第31条工程变更调整的合同价款及其他条款中约定的追加合同价款，应与工程款（进度款）同期调整支付。</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贷款利息。</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26.4 发包人不按合同约定支付工程款（进度款），双方又未达成延期付款协议，导致施工无法进行，承包人可停止施工，由发包人承担违约责任。</w:t>
      </w:r>
    </w:p>
    <w:p>
      <w:pPr>
        <w:adjustRightInd w:val="0"/>
        <w:snapToGrid w:val="0"/>
        <w:spacing w:line="400" w:lineRule="exact"/>
        <w:ind w:firstLine="422" w:firstLineChars="200"/>
        <w:rPr>
          <w:rFonts w:ascii="方正黑体_GBK" w:hAnsi="宋体" w:eastAsia="方正黑体_GBK" w:cs="宋体"/>
          <w:b/>
          <w:bCs/>
          <w:szCs w:val="21"/>
        </w:rPr>
      </w:pPr>
      <w:bookmarkStart w:id="1088" w:name="_Toc100123507"/>
      <w:bookmarkStart w:id="1089" w:name="_Toc101155985"/>
      <w:bookmarkStart w:id="1090" w:name="_Toc193188651"/>
      <w:bookmarkStart w:id="1091" w:name="_Toc98239403"/>
      <w:bookmarkStart w:id="1092" w:name="_Toc115511300"/>
      <w:bookmarkStart w:id="1093" w:name="_Toc231612726"/>
      <w:bookmarkStart w:id="1094" w:name="_Toc99792297"/>
      <w:bookmarkStart w:id="1095" w:name="_Toc101155782"/>
      <w:bookmarkStart w:id="1096" w:name="_Toc98238939"/>
      <w:r>
        <w:rPr>
          <w:rFonts w:hint="eastAsia" w:ascii="方正黑体_GBK" w:hAnsi="宋体" w:eastAsia="方正黑体_GBK" w:cs="宋体"/>
          <w:b/>
          <w:bCs/>
          <w:szCs w:val="21"/>
        </w:rPr>
        <w:t>七、材料设备供应</w:t>
      </w:r>
      <w:bookmarkEnd w:id="1088"/>
      <w:bookmarkEnd w:id="1089"/>
      <w:bookmarkEnd w:id="1090"/>
      <w:bookmarkEnd w:id="1091"/>
      <w:bookmarkEnd w:id="1092"/>
      <w:bookmarkEnd w:id="1093"/>
      <w:bookmarkEnd w:id="1094"/>
      <w:bookmarkEnd w:id="1095"/>
      <w:bookmarkEnd w:id="1096"/>
    </w:p>
    <w:p>
      <w:pPr>
        <w:adjustRightInd w:val="0"/>
        <w:snapToGrid w:val="0"/>
        <w:spacing w:line="400" w:lineRule="exact"/>
        <w:ind w:firstLine="422" w:firstLineChars="200"/>
        <w:rPr>
          <w:rFonts w:ascii="宋体" w:hAnsi="宋体" w:cs="宋体"/>
          <w:b/>
          <w:szCs w:val="21"/>
        </w:rPr>
      </w:pPr>
      <w:bookmarkStart w:id="1097" w:name="_Toc101155783"/>
      <w:bookmarkStart w:id="1098" w:name="_Toc193188652"/>
      <w:bookmarkStart w:id="1099" w:name="_Toc99792298"/>
      <w:bookmarkStart w:id="1100" w:name="_Toc100123508"/>
      <w:bookmarkStart w:id="1101" w:name="_Toc98238940"/>
      <w:bookmarkStart w:id="1102" w:name="_Toc115511301"/>
      <w:bookmarkStart w:id="1103" w:name="_Toc231612727"/>
      <w:bookmarkStart w:id="1104" w:name="_Toc101155986"/>
      <w:bookmarkStart w:id="1105" w:name="_Toc98239404"/>
      <w:r>
        <w:rPr>
          <w:rFonts w:hint="eastAsia" w:ascii="宋体" w:hAnsi="宋体" w:cs="宋体"/>
          <w:b/>
          <w:szCs w:val="21"/>
        </w:rPr>
        <w:t>27、发包人供应材料设备</w:t>
      </w:r>
      <w:bookmarkEnd w:id="1097"/>
      <w:bookmarkEnd w:id="1098"/>
      <w:bookmarkEnd w:id="1099"/>
      <w:bookmarkEnd w:id="1100"/>
      <w:bookmarkEnd w:id="1101"/>
      <w:bookmarkEnd w:id="1102"/>
      <w:bookmarkEnd w:id="1103"/>
      <w:bookmarkEnd w:id="1104"/>
      <w:bookmarkEnd w:id="1105"/>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27.1 实行发包人供应材料设备的，双方应当约定发包人供应材料设备的一览表，作为本合同附件（附件2）。一览表包括发包人供应材料设备的品种、规格、型号、数量、单价、质量等级、提供时间和地点。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27.2 发包人按一览表约定的内容提供材料设备，并向承包人提供产品合格证明，对其质量负责。发包人在所供材料设备到货前24小时，以书面形式通知承包人，由承包人派人与发包人共同清点。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27.3 发包人供应的材料设备，承包人派人参加清点后由承包人妥善保管，发包人支付相应保管费用。因承包人原因发生丢失损坏，由承包人负责赔偿。</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 xml:space="preserve">发包人未通知承包人清点，承包人不负责材料设备的保管，丢失损坏由发包人负责。 </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27.4 发包人供应的材料设备与一览表不符时，发包人承担有关责任。发包人应承担责任的具体内容，双方根据下列情况在专用条款内约定。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材料设备单价与一览表不符，由发包人承担所有价差；</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材料设备的品种、规格、型号、质量等级与一览表不符，承包人可拒绝接收保管，由发包人运出施工场地并重新采购；</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发包人供应的材料规格、型号与一览表不符，经发包人同意，承包人可代为调剂串换，由发包人承担相应费用；</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到货地点与一览表不符，由发包人负责运至一览表指定地点：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(5) 供应数量少于一览表约定的数量时，由发包人补齐，多于一览表约定数量时，发包人负责将多出部分运出施工场地；</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(6) 到货时间早于一览表约定时间，由发包人承担因此发生的保管费用；到货时间迟于一览表约定的供应时间，发包人赔偿由此造成的承包人损失，造成工期延误的，相应顺延工期。</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27.5 发包人供应的材料设备使用前，由承包人负责检验或试验，不合格的不得使用，检验或试验费用由发包人承担。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27.6 发包人供应材料设备的结算方法，双方在专用条款内约定。</w:t>
      </w:r>
    </w:p>
    <w:p>
      <w:pPr>
        <w:adjustRightInd w:val="0"/>
        <w:snapToGrid w:val="0"/>
        <w:spacing w:line="400" w:lineRule="exact"/>
        <w:ind w:firstLine="422" w:firstLineChars="200"/>
        <w:rPr>
          <w:rFonts w:ascii="宋体" w:hAnsi="宋体" w:cs="宋体"/>
          <w:b/>
          <w:szCs w:val="21"/>
        </w:rPr>
      </w:pPr>
      <w:bookmarkStart w:id="1106" w:name="_Toc100123509"/>
      <w:bookmarkStart w:id="1107" w:name="_Toc193188653"/>
      <w:bookmarkStart w:id="1108" w:name="_Toc101155987"/>
      <w:bookmarkStart w:id="1109" w:name="_Toc98239405"/>
      <w:bookmarkStart w:id="1110" w:name="_Toc115511302"/>
      <w:bookmarkStart w:id="1111" w:name="_Toc98238941"/>
      <w:bookmarkStart w:id="1112" w:name="_Toc101155784"/>
      <w:bookmarkStart w:id="1113" w:name="_Toc99792299"/>
      <w:bookmarkStart w:id="1114" w:name="_Toc231612728"/>
      <w:r>
        <w:rPr>
          <w:rFonts w:hint="eastAsia" w:ascii="宋体" w:hAnsi="宋体" w:cs="宋体"/>
          <w:b/>
          <w:szCs w:val="21"/>
        </w:rPr>
        <w:t>28、承包人采购材料设备</w:t>
      </w:r>
      <w:bookmarkEnd w:id="1106"/>
      <w:bookmarkEnd w:id="1107"/>
      <w:bookmarkEnd w:id="1108"/>
      <w:bookmarkEnd w:id="1109"/>
      <w:bookmarkEnd w:id="1110"/>
      <w:bookmarkEnd w:id="1111"/>
      <w:bookmarkEnd w:id="1112"/>
      <w:bookmarkEnd w:id="1113"/>
      <w:bookmarkEnd w:id="1114"/>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28.1 承包人负责采购材料设备的，应按照专用条款约定及设计和有关标准要求采购，并提供产品合格证明，对材料设备质量负责。承包人在材料设备到货前24小时通知工程师清点。</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28.2 承包人采购的材料设备与设计或标准要求不符时，承包人应按工程师要求的时间运出施工场地，重新采购符合要求的产品，承担由此发生的费用，由此延误的工期不予顺延。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28.3 承包人采购的材料设备在使用前，承包人应按工程师的要求进行检验或试验，不合格的不得使用，检验或试验费用由承包人承担。</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28.4 工程师发现承包人采购并使用不符合设计和标准要求的材料设备时，应要求承包人负责修复、拆除或重新采购，由承包人承担发生的费用，由此延误的工期不予顺延。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28.5 承包人需要使用代用材料时，应经工程师认可后才能使用，由此增减的合同价款双方以书面形式议定。</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28.6 由承包人采购的材料设备，发包人不得指定生产厂或供应商。</w:t>
      </w:r>
    </w:p>
    <w:p>
      <w:pPr>
        <w:adjustRightInd w:val="0"/>
        <w:snapToGrid w:val="0"/>
        <w:spacing w:line="400" w:lineRule="exact"/>
        <w:ind w:firstLine="422" w:firstLineChars="200"/>
        <w:rPr>
          <w:rFonts w:ascii="方正黑体_GBK" w:hAnsi="宋体" w:eastAsia="方正黑体_GBK" w:cs="宋体"/>
          <w:b/>
          <w:bCs/>
          <w:szCs w:val="21"/>
        </w:rPr>
      </w:pPr>
      <w:bookmarkStart w:id="1115" w:name="_Toc98238942"/>
      <w:bookmarkStart w:id="1116" w:name="_Toc115511303"/>
      <w:bookmarkStart w:id="1117" w:name="_Toc231612729"/>
      <w:bookmarkStart w:id="1118" w:name="_Toc231613093"/>
      <w:bookmarkStart w:id="1119" w:name="_Toc231612945"/>
      <w:bookmarkStart w:id="1120" w:name="_Toc193188654"/>
      <w:bookmarkStart w:id="1121" w:name="_Toc101155988"/>
      <w:bookmarkStart w:id="1122" w:name="_Toc99792300"/>
      <w:bookmarkStart w:id="1123" w:name="_Toc98239406"/>
      <w:bookmarkStart w:id="1124" w:name="_Toc101155785"/>
      <w:bookmarkStart w:id="1125" w:name="_Toc100123510"/>
      <w:r>
        <w:rPr>
          <w:rFonts w:hint="eastAsia" w:ascii="方正黑体_GBK" w:hAnsi="宋体" w:eastAsia="方正黑体_GBK" w:cs="宋体"/>
          <w:b/>
          <w:bCs/>
          <w:szCs w:val="21"/>
        </w:rPr>
        <w:t>八、工程变更</w:t>
      </w:r>
      <w:bookmarkEnd w:id="1115"/>
      <w:bookmarkEnd w:id="1116"/>
      <w:bookmarkEnd w:id="1117"/>
      <w:bookmarkEnd w:id="1118"/>
      <w:bookmarkEnd w:id="1119"/>
      <w:bookmarkEnd w:id="1120"/>
      <w:bookmarkEnd w:id="1121"/>
      <w:bookmarkEnd w:id="1122"/>
      <w:bookmarkEnd w:id="1123"/>
      <w:bookmarkEnd w:id="1124"/>
      <w:bookmarkEnd w:id="1125"/>
    </w:p>
    <w:p>
      <w:pPr>
        <w:adjustRightInd w:val="0"/>
        <w:snapToGrid w:val="0"/>
        <w:spacing w:line="400" w:lineRule="exact"/>
        <w:ind w:firstLine="422" w:firstLineChars="200"/>
        <w:rPr>
          <w:rFonts w:ascii="宋体" w:hAnsi="宋体" w:cs="宋体"/>
          <w:b/>
          <w:szCs w:val="21"/>
        </w:rPr>
      </w:pPr>
      <w:bookmarkStart w:id="1126" w:name="_Toc101155989"/>
      <w:bookmarkStart w:id="1127" w:name="_Toc98239407"/>
      <w:bookmarkStart w:id="1128" w:name="_Toc98238943"/>
      <w:bookmarkStart w:id="1129" w:name="_Toc193188655"/>
      <w:bookmarkStart w:id="1130" w:name="_Toc231612730"/>
      <w:bookmarkStart w:id="1131" w:name="_Toc101155786"/>
      <w:bookmarkStart w:id="1132" w:name="_Toc99792301"/>
      <w:bookmarkStart w:id="1133" w:name="_Toc100123511"/>
      <w:bookmarkStart w:id="1134" w:name="_Toc115511304"/>
      <w:r>
        <w:rPr>
          <w:rFonts w:hint="eastAsia" w:ascii="宋体" w:hAnsi="宋体" w:cs="宋体"/>
          <w:b/>
          <w:szCs w:val="21"/>
        </w:rPr>
        <w:t>29、工程设计变更</w:t>
      </w:r>
      <w:bookmarkEnd w:id="1126"/>
      <w:bookmarkEnd w:id="1127"/>
      <w:bookmarkEnd w:id="1128"/>
      <w:bookmarkEnd w:id="1129"/>
      <w:bookmarkEnd w:id="1130"/>
      <w:bookmarkEnd w:id="1131"/>
      <w:bookmarkEnd w:id="1132"/>
      <w:bookmarkEnd w:id="1133"/>
      <w:bookmarkEnd w:id="1134"/>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29.1 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 更改工程有关部分的标高、基线、位置和尺寸；</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 增减合同中约定的工程量；</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 改变有关工程的施工时间和顺序；</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(4) 其他有关工程变更需要的附加工作。</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因变更导致合同价款的增减及造成的承包人损失，由发包人承担，延误的工期相应顺延。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29.2 施工中承包人不得对原工程设计进行变更。因承包人擅自变更设计发生的费用和由此导致发包人的直接损失，由承包人承担，延误的工期不予顺延。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29.3 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工程师同意采用承包人合理化建议，所发生的费用和获得的收益，发包人承包人另行约定分担或分享。</w:t>
      </w:r>
    </w:p>
    <w:p>
      <w:pPr>
        <w:adjustRightInd w:val="0"/>
        <w:snapToGrid w:val="0"/>
        <w:spacing w:line="400" w:lineRule="exact"/>
        <w:ind w:firstLine="422" w:firstLineChars="200"/>
        <w:rPr>
          <w:rFonts w:ascii="宋体" w:hAnsi="宋体" w:cs="宋体"/>
          <w:b/>
          <w:szCs w:val="21"/>
        </w:rPr>
      </w:pPr>
      <w:bookmarkStart w:id="1135" w:name="_Toc101155787"/>
      <w:bookmarkStart w:id="1136" w:name="_Toc101155990"/>
      <w:bookmarkStart w:id="1137" w:name="_Toc100123512"/>
      <w:bookmarkStart w:id="1138" w:name="_Toc98238944"/>
      <w:bookmarkStart w:id="1139" w:name="_Toc99792302"/>
      <w:bookmarkStart w:id="1140" w:name="_Toc193188656"/>
      <w:bookmarkStart w:id="1141" w:name="_Toc231612731"/>
      <w:bookmarkStart w:id="1142" w:name="_Toc115511305"/>
      <w:bookmarkStart w:id="1143" w:name="_Toc98239408"/>
      <w:r>
        <w:rPr>
          <w:rFonts w:hint="eastAsia" w:ascii="宋体" w:hAnsi="宋体" w:cs="宋体"/>
          <w:b/>
          <w:szCs w:val="21"/>
        </w:rPr>
        <w:t>30、其他变更</w:t>
      </w:r>
      <w:bookmarkEnd w:id="1135"/>
      <w:bookmarkEnd w:id="1136"/>
      <w:bookmarkEnd w:id="1137"/>
      <w:bookmarkEnd w:id="1138"/>
      <w:bookmarkEnd w:id="1139"/>
      <w:bookmarkEnd w:id="1140"/>
      <w:bookmarkEnd w:id="1141"/>
      <w:bookmarkEnd w:id="1142"/>
      <w:bookmarkEnd w:id="1143"/>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30.1合同履行中发包人要求变更工程质量标准及发生其他实质性变更，由双方协商解决。</w:t>
      </w:r>
    </w:p>
    <w:p>
      <w:pPr>
        <w:adjustRightInd w:val="0"/>
        <w:snapToGrid w:val="0"/>
        <w:spacing w:line="400" w:lineRule="exact"/>
        <w:ind w:firstLine="422" w:firstLineChars="200"/>
        <w:rPr>
          <w:rFonts w:ascii="宋体" w:hAnsi="宋体" w:cs="宋体"/>
          <w:b/>
          <w:szCs w:val="21"/>
        </w:rPr>
      </w:pPr>
      <w:bookmarkStart w:id="1144" w:name="_Toc98239409"/>
      <w:bookmarkStart w:id="1145" w:name="_Toc193188657"/>
      <w:bookmarkStart w:id="1146" w:name="_Toc99792303"/>
      <w:bookmarkStart w:id="1147" w:name="_Toc100123513"/>
      <w:bookmarkStart w:id="1148" w:name="_Toc115511306"/>
      <w:bookmarkStart w:id="1149" w:name="_Toc98238945"/>
      <w:bookmarkStart w:id="1150" w:name="_Toc101155788"/>
      <w:bookmarkStart w:id="1151" w:name="_Toc101155991"/>
      <w:bookmarkStart w:id="1152" w:name="_Toc231612732"/>
      <w:r>
        <w:rPr>
          <w:rFonts w:hint="eastAsia" w:ascii="宋体" w:hAnsi="宋体" w:cs="宋体"/>
          <w:b/>
          <w:szCs w:val="21"/>
        </w:rPr>
        <w:t>31、确定变更价款</w:t>
      </w:r>
      <w:bookmarkEnd w:id="1144"/>
      <w:bookmarkEnd w:id="1145"/>
      <w:bookmarkEnd w:id="1146"/>
      <w:bookmarkEnd w:id="1147"/>
      <w:bookmarkEnd w:id="1148"/>
      <w:bookmarkEnd w:id="1149"/>
      <w:bookmarkEnd w:id="1150"/>
      <w:bookmarkEnd w:id="1151"/>
      <w:bookmarkEnd w:id="1152"/>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31.1承包人在工程变更确定后14天内，提出变更工程价款的报告，经工程师确认后调整合同价款。变更合同价款按下列方法进行：</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(1)合同中已有适用于变更工程的价格，按合同已有的价格变更合同价款；</w:t>
      </w:r>
    </w:p>
    <w:p>
      <w:pPr>
        <w:adjustRightInd w:val="0"/>
        <w:snapToGrid w:val="0"/>
        <w:spacing w:line="400" w:lineRule="exact"/>
        <w:ind w:firstLine="420" w:firstLineChars="200"/>
        <w:rPr>
          <w:rFonts w:ascii="宋体" w:hAnsi="宋体" w:cs="宋体"/>
          <w:szCs w:val="21"/>
        </w:rPr>
      </w:pPr>
      <w:r>
        <w:rPr>
          <w:rFonts w:hint="eastAsia" w:ascii="宋体" w:hAnsi="宋体" w:cs="宋体"/>
          <w:szCs w:val="21"/>
        </w:rPr>
        <w:t>(2)合同中只有类似于变更工程的价格，可以参照类似价格变更合同价款；</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(3)合同中没有适用或类似于变更工程的价格，由承包人提出适当的变更价格，经工程师确认后执行。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31.2 承包人在双方确定变更后14天内不向工程师提出变更工程价款报告时，视为该项变更不涉及合同价款的变更。</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31.3 工程师应在收到变更工程价款报告之日起14天内予以确认，工程师无正当理由不确认时，自变更工程价款报告送达之日起14天后视为变更工程价款报告已被确认。</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31.4 工程师不同意承包人提出的变更价款，按本通用条款第37条关于争议的约定处理。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31.5 工程师确认增加的工程变更价款作为追加合同价款，与工程款同期支付。</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31.6 因承包人自身原因导致的工程变更，承包人无权要求追加合同价款。</w:t>
      </w:r>
    </w:p>
    <w:p>
      <w:pPr>
        <w:adjustRightInd w:val="0"/>
        <w:snapToGrid w:val="0"/>
        <w:spacing w:line="380" w:lineRule="exact"/>
        <w:ind w:firstLine="422" w:firstLineChars="200"/>
        <w:rPr>
          <w:rFonts w:ascii="方正黑体_GBK" w:hAnsi="宋体" w:eastAsia="方正黑体_GBK" w:cs="宋体"/>
          <w:b/>
          <w:bCs/>
          <w:szCs w:val="21"/>
        </w:rPr>
      </w:pPr>
      <w:bookmarkStart w:id="1153" w:name="_Toc231612733"/>
      <w:bookmarkStart w:id="1154" w:name="_Toc99792304"/>
      <w:bookmarkStart w:id="1155" w:name="_Toc231612946"/>
      <w:bookmarkStart w:id="1156" w:name="_Toc193188658"/>
      <w:bookmarkStart w:id="1157" w:name="_Toc101155992"/>
      <w:bookmarkStart w:id="1158" w:name="_Toc98239410"/>
      <w:bookmarkStart w:id="1159" w:name="_Toc231613094"/>
      <w:bookmarkStart w:id="1160" w:name="_Toc98238946"/>
      <w:bookmarkStart w:id="1161" w:name="_Toc100123514"/>
      <w:bookmarkStart w:id="1162" w:name="_Toc101155789"/>
      <w:bookmarkStart w:id="1163" w:name="_Toc115511307"/>
      <w:r>
        <w:rPr>
          <w:rFonts w:hint="eastAsia" w:ascii="方正黑体_GBK" w:hAnsi="宋体" w:eastAsia="方正黑体_GBK" w:cs="宋体"/>
          <w:b/>
          <w:bCs/>
          <w:szCs w:val="21"/>
        </w:rPr>
        <w:t>九、竣工验收与结算</w:t>
      </w:r>
      <w:bookmarkEnd w:id="1153"/>
      <w:bookmarkEnd w:id="1154"/>
      <w:bookmarkEnd w:id="1155"/>
      <w:bookmarkEnd w:id="1156"/>
      <w:bookmarkEnd w:id="1157"/>
      <w:bookmarkEnd w:id="1158"/>
      <w:bookmarkEnd w:id="1159"/>
      <w:bookmarkEnd w:id="1160"/>
      <w:bookmarkEnd w:id="1161"/>
      <w:bookmarkEnd w:id="1162"/>
      <w:bookmarkEnd w:id="1163"/>
    </w:p>
    <w:p>
      <w:pPr>
        <w:adjustRightInd w:val="0"/>
        <w:snapToGrid w:val="0"/>
        <w:spacing w:line="400" w:lineRule="exact"/>
        <w:ind w:firstLine="422" w:firstLineChars="200"/>
        <w:rPr>
          <w:rFonts w:ascii="宋体" w:hAnsi="宋体" w:cs="宋体"/>
          <w:b/>
          <w:szCs w:val="21"/>
        </w:rPr>
      </w:pPr>
      <w:bookmarkStart w:id="1164" w:name="_Toc98239411"/>
      <w:bookmarkStart w:id="1165" w:name="_Toc193188659"/>
      <w:bookmarkStart w:id="1166" w:name="_Toc231612734"/>
      <w:bookmarkStart w:id="1167" w:name="_Toc99792305"/>
      <w:bookmarkStart w:id="1168" w:name="_Toc98238947"/>
      <w:bookmarkStart w:id="1169" w:name="_Toc100123515"/>
      <w:bookmarkStart w:id="1170" w:name="_Toc101155790"/>
      <w:bookmarkStart w:id="1171" w:name="_Toc101155993"/>
      <w:bookmarkStart w:id="1172" w:name="_Toc115511308"/>
      <w:r>
        <w:rPr>
          <w:rFonts w:hint="eastAsia" w:ascii="宋体" w:hAnsi="宋体" w:cs="宋体"/>
          <w:b/>
          <w:szCs w:val="21"/>
        </w:rPr>
        <w:t>32、竣工验收</w:t>
      </w:r>
      <w:bookmarkEnd w:id="1164"/>
      <w:bookmarkEnd w:id="1165"/>
      <w:bookmarkEnd w:id="1166"/>
      <w:bookmarkEnd w:id="1167"/>
      <w:bookmarkEnd w:id="1168"/>
      <w:bookmarkEnd w:id="1169"/>
      <w:bookmarkEnd w:id="1170"/>
      <w:bookmarkEnd w:id="1171"/>
      <w:bookmarkEnd w:id="1172"/>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32.1 工程具备竣工验收条件，承包人按《重庆市国土房管局关于加强三峡后续工作规划地质灾害治理工程验收工作的通知》（渝国土房管〔2017〕840号）等文件要求，向发包人提供完整竣工资料及竣工验收报告。</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32.2 质量验收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地灾治理工程完工后，先由项目业主、项目总监理工程师在质量监督部门的监督下，组织治理工程质量预验收；预验收合格后，项目业主在质量监督部门的监督下，组织参建单位进行竣工质量初步验收；在竣工质量初步验收合格，试运行一个水文年后进行竣工质量最终验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承包人按要求修改，并承担由自身原因造成修改的费用。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32.3 项目验收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非应急项目的项目验收由区县政府组织地质灾害防治领导小组成员单位（国土、发展改革、建委、财政等相关部门）人员及专家，组成项目验收小组，依照有关文件的要求对治理工程的项目管理、资金管理、质量验收等（包括规划、立项、勘察、设计、施工、质量、竣工质量验收等工作）进行全面的验收检查。区县级项目验收比例为100％；市国土资源行政主管部门组织市级相关部门进行非应急项目的市级项目验收，验收比例不低于50％。</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对于应急抢险的项目验收：由市和区县国土资源行政主管部门组织有关部门联合进行项目验收，验收比例为100％。</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承包人按要求修改，并承担由自身原因造成修改的费用。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32.4 工程竣工项目最终验收通过后15日内，发包人组织承包人向工程后期维护单位办理工程移交手续。工程按发包人要求修改后通过竣工验收的，实际竣工日期为承包人修改后提请发包人验收的日期。</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32.5 中间交工工程的范围和竣工时间，双方在专用条款内约定，其验收程序按本通用条款32.1款至32.4款办理。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32.6 因特殊原因，发包人要求部分单位工程或工程部位甩项竣工的，双方另行签订甩项竣工协议，明确双方责任和工程价款支付方法。</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32.7 工程未经竣工验收或竣工验收未通过的，发包人不得使用。发包人强行使用时，由此发生的质量问题及其他问题，由发包人承担责任。</w:t>
      </w:r>
    </w:p>
    <w:p>
      <w:pPr>
        <w:adjustRightInd w:val="0"/>
        <w:snapToGrid w:val="0"/>
        <w:spacing w:line="400" w:lineRule="exact"/>
        <w:ind w:firstLine="422" w:firstLineChars="200"/>
        <w:rPr>
          <w:rFonts w:ascii="宋体" w:hAnsi="宋体" w:cs="宋体"/>
          <w:b/>
          <w:szCs w:val="21"/>
        </w:rPr>
      </w:pPr>
      <w:bookmarkStart w:id="1173" w:name="_Toc99792306"/>
      <w:bookmarkStart w:id="1174" w:name="_Toc98238948"/>
      <w:bookmarkStart w:id="1175" w:name="_Toc231612735"/>
      <w:bookmarkStart w:id="1176" w:name="_Toc101155994"/>
      <w:bookmarkStart w:id="1177" w:name="_Toc100123516"/>
      <w:bookmarkStart w:id="1178" w:name="_Toc193188660"/>
      <w:bookmarkStart w:id="1179" w:name="_Toc98239412"/>
      <w:bookmarkStart w:id="1180" w:name="_Toc115511309"/>
      <w:bookmarkStart w:id="1181" w:name="_Toc101155791"/>
      <w:r>
        <w:rPr>
          <w:rFonts w:hint="eastAsia" w:ascii="宋体" w:hAnsi="宋体" w:cs="宋体"/>
          <w:b/>
          <w:szCs w:val="21"/>
        </w:rPr>
        <w:t>33、竣工结算</w:t>
      </w:r>
      <w:bookmarkEnd w:id="1173"/>
      <w:bookmarkEnd w:id="1174"/>
      <w:bookmarkEnd w:id="1175"/>
      <w:bookmarkEnd w:id="1176"/>
      <w:bookmarkEnd w:id="1177"/>
      <w:bookmarkEnd w:id="1178"/>
      <w:bookmarkEnd w:id="1179"/>
      <w:bookmarkEnd w:id="1180"/>
      <w:bookmarkEnd w:id="1181"/>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33.1 工程竣工质量初步验收合格后1个月内，承包人与发包人完成治理工程项目财务决算，并由发包人向财政部门申请项目竣工财务决算审核审批。双方按照协议书约定的合同价款及专用条款约定的合同价款调整内容，进行工程竣工结算。</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33.2 发包人确认竣工结算报告后通知经办银行向承包人支付工程竣工结算价款。承包人收到竣工结算价款后14天内将竣工工程交付发包人。</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33.3 发包人与承包人完成财务决算后28天内无正当理由不支付工程竣工结算价款，从第29天起按承包人同期向银行贷款利率支付拖欠工程价款的利息，并承担违约责任。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33.4 发包人承包人对工程竣工结算价款发生争议时，按本通用条款第37条关于争议的约定处理。</w:t>
      </w:r>
    </w:p>
    <w:p>
      <w:pPr>
        <w:adjustRightInd w:val="0"/>
        <w:snapToGrid w:val="0"/>
        <w:spacing w:line="400" w:lineRule="exact"/>
        <w:ind w:firstLine="422" w:firstLineChars="200"/>
        <w:rPr>
          <w:rFonts w:ascii="宋体" w:hAnsi="宋体" w:cs="宋体"/>
          <w:b/>
          <w:szCs w:val="21"/>
        </w:rPr>
      </w:pPr>
      <w:bookmarkStart w:id="1182" w:name="_Toc100123517"/>
      <w:bookmarkStart w:id="1183" w:name="_Toc101155995"/>
      <w:bookmarkStart w:id="1184" w:name="_Toc101155792"/>
      <w:bookmarkStart w:id="1185" w:name="_Toc115511310"/>
      <w:bookmarkStart w:id="1186" w:name="_Toc98238949"/>
      <w:bookmarkStart w:id="1187" w:name="_Toc99792307"/>
      <w:bookmarkStart w:id="1188" w:name="_Toc231612736"/>
      <w:bookmarkStart w:id="1189" w:name="_Toc98239413"/>
      <w:bookmarkStart w:id="1190" w:name="_Toc193188661"/>
      <w:r>
        <w:rPr>
          <w:rFonts w:hint="eastAsia" w:ascii="宋体" w:hAnsi="宋体" w:cs="宋体"/>
          <w:b/>
          <w:szCs w:val="21"/>
        </w:rPr>
        <w:t>34、质量保修</w:t>
      </w:r>
      <w:bookmarkEnd w:id="1182"/>
      <w:bookmarkEnd w:id="1183"/>
      <w:bookmarkEnd w:id="1184"/>
      <w:bookmarkEnd w:id="1185"/>
      <w:bookmarkEnd w:id="1186"/>
      <w:bookmarkEnd w:id="1187"/>
      <w:bookmarkEnd w:id="1188"/>
      <w:bookmarkEnd w:id="1189"/>
      <w:bookmarkEnd w:id="1190"/>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34.1 承包人应按法律、行政法规或国家关于工程质量保修的有关规定，对交付发包人使用的工程在质量保修期内承担质量保修责任。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34.2 质量保修工作的实施。承包人应在工程竣工质量初步验收之前，与发包人签订质量保修书，保修期为质量初步验收后到项目最终验收止，作为本合同附件。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34.3 质量保修书的主要内容包括：</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质量保修项目内容及范围；</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质量保修期；</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质量保修责任；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 质量保修金的支付方法。</w:t>
      </w:r>
    </w:p>
    <w:p>
      <w:pPr>
        <w:adjustRightInd w:val="0"/>
        <w:snapToGrid w:val="0"/>
        <w:spacing w:line="380" w:lineRule="exact"/>
        <w:ind w:firstLine="422" w:firstLineChars="200"/>
        <w:rPr>
          <w:rFonts w:ascii="方正黑体_GBK" w:hAnsi="宋体" w:eastAsia="方正黑体_GBK" w:cs="宋体"/>
          <w:b/>
          <w:bCs/>
          <w:szCs w:val="21"/>
        </w:rPr>
      </w:pPr>
      <w:bookmarkStart w:id="1191" w:name="_Toc99792308"/>
      <w:bookmarkStart w:id="1192" w:name="_Toc101155793"/>
      <w:bookmarkStart w:id="1193" w:name="_Toc115511311"/>
      <w:bookmarkStart w:id="1194" w:name="_Toc98238950"/>
      <w:bookmarkStart w:id="1195" w:name="_Toc193188662"/>
      <w:bookmarkStart w:id="1196" w:name="_Toc101155996"/>
      <w:bookmarkStart w:id="1197" w:name="_Toc231612737"/>
      <w:bookmarkStart w:id="1198" w:name="_Toc100123518"/>
      <w:bookmarkStart w:id="1199" w:name="_Toc98239414"/>
      <w:r>
        <w:rPr>
          <w:rFonts w:hint="eastAsia" w:ascii="方正黑体_GBK" w:hAnsi="宋体" w:eastAsia="方正黑体_GBK" w:cs="宋体"/>
          <w:b/>
          <w:bCs/>
          <w:szCs w:val="21"/>
        </w:rPr>
        <w:t>十、违约、索赔和争议</w:t>
      </w:r>
      <w:bookmarkEnd w:id="1191"/>
      <w:bookmarkEnd w:id="1192"/>
      <w:bookmarkEnd w:id="1193"/>
      <w:bookmarkEnd w:id="1194"/>
      <w:bookmarkEnd w:id="1195"/>
      <w:bookmarkEnd w:id="1196"/>
      <w:bookmarkEnd w:id="1197"/>
      <w:bookmarkEnd w:id="1198"/>
      <w:bookmarkEnd w:id="1199"/>
    </w:p>
    <w:p>
      <w:pPr>
        <w:adjustRightInd w:val="0"/>
        <w:snapToGrid w:val="0"/>
        <w:spacing w:line="400" w:lineRule="exact"/>
        <w:ind w:firstLine="422" w:firstLineChars="200"/>
        <w:rPr>
          <w:rFonts w:ascii="宋体" w:hAnsi="宋体" w:cs="宋体"/>
          <w:b/>
          <w:szCs w:val="21"/>
        </w:rPr>
      </w:pPr>
      <w:bookmarkStart w:id="1200" w:name="_Toc98238951"/>
      <w:bookmarkStart w:id="1201" w:name="_Toc98239415"/>
      <w:bookmarkStart w:id="1202" w:name="_Toc193188663"/>
      <w:bookmarkStart w:id="1203" w:name="_Toc115511312"/>
      <w:bookmarkStart w:id="1204" w:name="_Toc231612738"/>
      <w:bookmarkStart w:id="1205" w:name="_Toc101155997"/>
      <w:bookmarkStart w:id="1206" w:name="_Toc101155794"/>
      <w:bookmarkStart w:id="1207" w:name="_Toc100123519"/>
      <w:bookmarkStart w:id="1208" w:name="_Toc99792309"/>
      <w:r>
        <w:rPr>
          <w:rFonts w:hint="eastAsia" w:ascii="宋体" w:hAnsi="宋体" w:cs="宋体"/>
          <w:b/>
          <w:szCs w:val="21"/>
        </w:rPr>
        <w:t>35、违约</w:t>
      </w:r>
      <w:bookmarkEnd w:id="1200"/>
      <w:bookmarkEnd w:id="1201"/>
      <w:bookmarkEnd w:id="1202"/>
      <w:bookmarkEnd w:id="1203"/>
      <w:bookmarkEnd w:id="1204"/>
      <w:bookmarkEnd w:id="1205"/>
      <w:bookmarkEnd w:id="1206"/>
      <w:bookmarkEnd w:id="1207"/>
      <w:bookmarkEnd w:id="1208"/>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35.1发包人违约。当发生下列情况时：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本通用条款第24条提到的发包人不按时支付工程预付款；</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本通用条款第26.4款提到的发包人不按合同约定支付工程款，导致施工无法进行；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本通用条款第33.3款提到的发包人无正当理由不支付工程竣工结算价款；</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 发包人不履行合同义务或不按合同约定履行义务的其他情况。</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发包人承担违约责任，赔偿因其违约给承包人造成的经济损失，顺延延误的工期。双方在专用条款内约定发包人赔偿承包人损失的计算方法或者发包人应当支付违约金的数额或计算方法。</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35.2 承包人违约。当发生下列情况时：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本通用条款第14.2款提到的因承包人原因不能按照协议书约定的竣工日期或工程师同意顺延的工期竣工；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本通用条款第15.1款提到的因承包人原因工程质量达不到协议书约定的质量标准；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承包人不履行合同义务或不按合同约定履行义务的其他情况。</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承包人承担违约责任，赔偿因其违约给发包人造成的损失。双方在专用条款内约定承包人赔偿发包人损失的计算方法或者承包人应当支付违约金的数额或计算方法。</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35.3 一方违约后，另一方要求违约方继续履行合同时，违约方承担上述违约责任后仍应继续履行合同。</w:t>
      </w:r>
    </w:p>
    <w:p>
      <w:pPr>
        <w:adjustRightInd w:val="0"/>
        <w:snapToGrid w:val="0"/>
        <w:spacing w:line="400" w:lineRule="exact"/>
        <w:ind w:firstLine="422" w:firstLineChars="200"/>
        <w:rPr>
          <w:rFonts w:ascii="宋体" w:hAnsi="宋体" w:cs="宋体"/>
          <w:b/>
          <w:szCs w:val="21"/>
        </w:rPr>
      </w:pPr>
      <w:bookmarkStart w:id="1209" w:name="_Toc231612739"/>
      <w:bookmarkStart w:id="1210" w:name="_Toc98239416"/>
      <w:bookmarkStart w:id="1211" w:name="_Toc98238952"/>
      <w:bookmarkStart w:id="1212" w:name="_Toc115511313"/>
      <w:bookmarkStart w:id="1213" w:name="_Toc101155795"/>
      <w:bookmarkStart w:id="1214" w:name="_Toc99792310"/>
      <w:bookmarkStart w:id="1215" w:name="_Toc101155998"/>
      <w:bookmarkStart w:id="1216" w:name="_Toc193188664"/>
      <w:bookmarkStart w:id="1217" w:name="_Toc100123520"/>
      <w:r>
        <w:rPr>
          <w:rFonts w:hint="eastAsia" w:ascii="宋体" w:hAnsi="宋体" w:cs="宋体"/>
          <w:b/>
          <w:szCs w:val="21"/>
        </w:rPr>
        <w:t>36、索赔</w:t>
      </w:r>
      <w:bookmarkEnd w:id="1209"/>
      <w:bookmarkEnd w:id="1210"/>
      <w:bookmarkEnd w:id="1211"/>
      <w:bookmarkEnd w:id="1212"/>
      <w:bookmarkEnd w:id="1213"/>
      <w:bookmarkEnd w:id="1214"/>
      <w:bookmarkEnd w:id="1215"/>
      <w:bookmarkEnd w:id="1216"/>
      <w:bookmarkEnd w:id="1217"/>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36.1 当一方向另一方提出索赔时，要有正当索赔理由，且有索赔事件发生时的有效证据。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36.2 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索赔事件发生后28天内，向工程师发出索赔意向通知；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发出索赔意向通知后28天内，向工程师提出延长工期和（或）补偿经济损失的索赔报告及有关资料；</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工程师在收到承包人送交的索赔报告和有关资料后，于28天内给予答复，或要求承包人进一步补充索赔理由和证据；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 工程师在收到承包人送交的索赔报告和有关资料后28天内未予答复或未对承包人作进一步要求，视为该项索赔已经认可；</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(5) 当该索赔事件持续进行时，承包人应当阶段性向工程师发出索赔意向，在索赔事件终了后28天内，向工程师送交索赔的有关资料和最终索赔报告。索赔答复程序与 （3）、（4）规定相同。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36.3 承包人未能按合同约定履行自己的各项义务或发生错误，给发包人造成经济损失，发包人可按36.2款确定的时限向承包人提出索赔。</w:t>
      </w:r>
    </w:p>
    <w:p>
      <w:pPr>
        <w:adjustRightInd w:val="0"/>
        <w:snapToGrid w:val="0"/>
        <w:spacing w:line="400" w:lineRule="exact"/>
        <w:ind w:firstLine="422" w:firstLineChars="200"/>
        <w:rPr>
          <w:rFonts w:ascii="宋体" w:hAnsi="宋体" w:cs="宋体"/>
          <w:b/>
          <w:szCs w:val="21"/>
        </w:rPr>
      </w:pPr>
      <w:bookmarkStart w:id="1218" w:name="_Toc100123521"/>
      <w:bookmarkStart w:id="1219" w:name="_Toc101155796"/>
      <w:bookmarkStart w:id="1220" w:name="_Toc193188665"/>
      <w:bookmarkStart w:id="1221" w:name="_Toc231612740"/>
      <w:bookmarkStart w:id="1222" w:name="_Toc99792311"/>
      <w:bookmarkStart w:id="1223" w:name="_Toc101155999"/>
      <w:bookmarkStart w:id="1224" w:name="_Toc98238953"/>
      <w:bookmarkStart w:id="1225" w:name="_Toc115511314"/>
      <w:bookmarkStart w:id="1226" w:name="_Toc98239417"/>
      <w:r>
        <w:rPr>
          <w:rFonts w:hint="eastAsia" w:ascii="宋体" w:hAnsi="宋体" w:cs="宋体"/>
          <w:b/>
          <w:szCs w:val="21"/>
        </w:rPr>
        <w:t>37、争议</w:t>
      </w:r>
      <w:bookmarkEnd w:id="1218"/>
      <w:bookmarkEnd w:id="1219"/>
      <w:bookmarkEnd w:id="1220"/>
      <w:bookmarkEnd w:id="1221"/>
      <w:bookmarkEnd w:id="1222"/>
      <w:bookmarkEnd w:id="1223"/>
      <w:bookmarkEnd w:id="1224"/>
      <w:bookmarkEnd w:id="1225"/>
      <w:bookmarkEnd w:id="1226"/>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37.1 发包人承包人在履行合同时发生争议，可以和解或者要求有关主管部门调解。当事人不愿和解、调解或者和解、调解不成的，双方可以在专用条款内约定下一种方式解决争议：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第一种解决方式：双方达成仲裁协议，向约定的仲裁委员会申请仲裁；</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第二种解决方式：向有管辖权的人民法院起诉。</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37.2 发生争议后，除非出现下列情况的，双方都应继续履行合同，保持施工连续，保护好已完工程：</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单方违约导致合同确已无法履行，双方协议停止施工；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调解要求停止施工，且为双方接受；</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仲裁机构要求停止施工；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 法院要求停止施工。</w:t>
      </w:r>
    </w:p>
    <w:p>
      <w:pPr>
        <w:adjustRightInd w:val="0"/>
        <w:snapToGrid w:val="0"/>
        <w:spacing w:line="380" w:lineRule="exact"/>
        <w:ind w:firstLine="422" w:firstLineChars="200"/>
        <w:rPr>
          <w:rFonts w:ascii="方正黑体_GBK" w:hAnsi="宋体" w:eastAsia="方正黑体_GBK" w:cs="宋体"/>
          <w:b/>
          <w:bCs/>
          <w:szCs w:val="21"/>
        </w:rPr>
      </w:pPr>
      <w:bookmarkStart w:id="1227" w:name="_Toc193188666"/>
      <w:bookmarkStart w:id="1228" w:name="_Toc98238954"/>
      <w:bookmarkStart w:id="1229" w:name="_Toc101156000"/>
      <w:bookmarkStart w:id="1230" w:name="_Toc101155797"/>
      <w:bookmarkStart w:id="1231" w:name="_Toc115511315"/>
      <w:bookmarkStart w:id="1232" w:name="_Toc100123522"/>
      <w:bookmarkStart w:id="1233" w:name="_Toc98239418"/>
      <w:bookmarkStart w:id="1234" w:name="_Toc231613095"/>
      <w:bookmarkStart w:id="1235" w:name="_Toc99792312"/>
      <w:bookmarkStart w:id="1236" w:name="_Toc231612947"/>
      <w:bookmarkStart w:id="1237" w:name="_Toc231612741"/>
      <w:r>
        <w:rPr>
          <w:rFonts w:hint="eastAsia" w:ascii="方正黑体_GBK" w:hAnsi="宋体" w:eastAsia="方正黑体_GBK" w:cs="宋体"/>
          <w:b/>
          <w:bCs/>
          <w:szCs w:val="21"/>
        </w:rPr>
        <w:t>十一、其他</w:t>
      </w:r>
      <w:bookmarkEnd w:id="1227"/>
      <w:bookmarkEnd w:id="1228"/>
      <w:bookmarkEnd w:id="1229"/>
      <w:bookmarkEnd w:id="1230"/>
      <w:bookmarkEnd w:id="1231"/>
      <w:bookmarkEnd w:id="1232"/>
      <w:bookmarkEnd w:id="1233"/>
      <w:bookmarkEnd w:id="1234"/>
      <w:bookmarkEnd w:id="1235"/>
      <w:bookmarkEnd w:id="1236"/>
      <w:bookmarkEnd w:id="1237"/>
    </w:p>
    <w:p>
      <w:pPr>
        <w:adjustRightInd w:val="0"/>
        <w:snapToGrid w:val="0"/>
        <w:spacing w:line="400" w:lineRule="exact"/>
        <w:ind w:firstLine="422" w:firstLineChars="200"/>
        <w:rPr>
          <w:rFonts w:ascii="宋体" w:hAnsi="宋体" w:cs="宋体"/>
          <w:b/>
          <w:bCs/>
          <w:szCs w:val="21"/>
        </w:rPr>
      </w:pPr>
      <w:bookmarkStart w:id="1238" w:name="_Toc98238955"/>
      <w:bookmarkStart w:id="1239" w:name="_Toc99792313"/>
      <w:bookmarkStart w:id="1240" w:name="_Toc98239419"/>
      <w:bookmarkStart w:id="1241" w:name="_Toc101155798"/>
      <w:bookmarkStart w:id="1242" w:name="_Toc193188667"/>
      <w:bookmarkStart w:id="1243" w:name="_Toc231612742"/>
      <w:bookmarkStart w:id="1244" w:name="_Toc115511316"/>
      <w:bookmarkStart w:id="1245" w:name="_Toc100123523"/>
      <w:bookmarkStart w:id="1246" w:name="_Toc101156001"/>
      <w:r>
        <w:rPr>
          <w:rFonts w:hint="eastAsia" w:ascii="宋体" w:hAnsi="宋体" w:cs="宋体"/>
          <w:b/>
          <w:bCs/>
          <w:szCs w:val="21"/>
        </w:rPr>
        <w:t>38、工程分包</w:t>
      </w:r>
      <w:bookmarkEnd w:id="1238"/>
      <w:bookmarkEnd w:id="1239"/>
      <w:bookmarkEnd w:id="1240"/>
      <w:bookmarkEnd w:id="1241"/>
      <w:bookmarkEnd w:id="1242"/>
      <w:bookmarkEnd w:id="1243"/>
      <w:bookmarkEnd w:id="1244"/>
      <w:bookmarkEnd w:id="1245"/>
      <w:bookmarkEnd w:id="1246"/>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38.1 承包人按专用条款的约定分包所承包的部分工程，并与分包单位签订分包合同。非经发包人同意，承包人不得将承包工程的任何部分分包。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38.2 承包人不得将其承包的全部工程转包给他人，也不得将其承包的全部工程肢解以后以分包的名义分别转包给他人。</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38.3 工程分包不能解除承包人任何责任与义务。承包人应在分包场地派驻相应管理人员，保证本合同的履行。分包单位的任何违约行为或疏忽导致工程损害或给发包人造成其他损失，承包人承担连带责任。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38.4 分包工程价款由承包人与分包单位结算。发包人未经承包人同意不得以任何形式向分包单位支付各种工程款项。</w:t>
      </w:r>
    </w:p>
    <w:p>
      <w:pPr>
        <w:adjustRightInd w:val="0"/>
        <w:snapToGrid w:val="0"/>
        <w:spacing w:line="400" w:lineRule="exact"/>
        <w:ind w:firstLine="422" w:firstLineChars="200"/>
        <w:rPr>
          <w:rFonts w:ascii="宋体" w:hAnsi="宋体" w:cs="宋体"/>
          <w:b/>
          <w:szCs w:val="21"/>
        </w:rPr>
      </w:pPr>
      <w:bookmarkStart w:id="1247" w:name="_Toc101155799"/>
      <w:bookmarkStart w:id="1248" w:name="_Toc231612743"/>
      <w:bookmarkStart w:id="1249" w:name="_Toc115511317"/>
      <w:bookmarkStart w:id="1250" w:name="_Toc99792314"/>
      <w:bookmarkStart w:id="1251" w:name="_Toc101156002"/>
      <w:bookmarkStart w:id="1252" w:name="_Toc193188668"/>
      <w:bookmarkStart w:id="1253" w:name="_Toc98238956"/>
      <w:bookmarkStart w:id="1254" w:name="_Toc98239420"/>
      <w:bookmarkStart w:id="1255" w:name="_Toc100123524"/>
      <w:r>
        <w:rPr>
          <w:rFonts w:hint="eastAsia" w:ascii="宋体" w:hAnsi="宋体" w:cs="宋体"/>
          <w:b/>
          <w:szCs w:val="21"/>
        </w:rPr>
        <w:t>39、不可抗力</w:t>
      </w:r>
      <w:bookmarkEnd w:id="1247"/>
      <w:bookmarkEnd w:id="1248"/>
      <w:bookmarkEnd w:id="1249"/>
      <w:bookmarkEnd w:id="1250"/>
      <w:bookmarkEnd w:id="1251"/>
      <w:bookmarkEnd w:id="1252"/>
      <w:bookmarkEnd w:id="1253"/>
      <w:bookmarkEnd w:id="1254"/>
      <w:bookmarkEnd w:id="1255"/>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39.1 不可抗力包括因战争、动乱、空中飞行物体坠落或其他非发包人承包人责任造成的爆炸、火灾，以及专用条款约定的风、雨、雪、洪、震等自然灾害。</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39.2 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结束后14天内，承包人向工程师提交清理和修复费用的正式报告及有关资料。</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39.3 因不可抗力事件导致的费用及延误的工期由双方按下列方法分别承担：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工程本身的损害、因工程损害导致第三人人员伤亡和财产损失以及运至施工场地用于施工的材料和待安装的设备的损害，由发包人承担；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发包人承包人人员伤亡由其所在单位负责，并承担相应费用；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 承包人机械设备损坏及停工损失，由承包人承担；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 停工期间，承包人应工程师要求留在施工场地的必要的管理人员及保卫人员的费用由发包人承担；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(5) 工程所需清理、修复费用，由发包人承担；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(6) 延误的工期相应顺延。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39.4 因合同一方迟延履行合同后发生不可抗力的，不能免除迟延履行方的相应责任。</w:t>
      </w:r>
    </w:p>
    <w:p>
      <w:pPr>
        <w:adjustRightInd w:val="0"/>
        <w:snapToGrid w:val="0"/>
        <w:spacing w:line="400" w:lineRule="exact"/>
        <w:ind w:firstLine="422" w:firstLineChars="200"/>
        <w:rPr>
          <w:rFonts w:ascii="宋体" w:hAnsi="宋体" w:cs="宋体"/>
          <w:b/>
          <w:szCs w:val="21"/>
        </w:rPr>
      </w:pPr>
      <w:bookmarkStart w:id="1256" w:name="_Toc101155800"/>
      <w:bookmarkStart w:id="1257" w:name="_Toc101156003"/>
      <w:bookmarkStart w:id="1258" w:name="_Toc98239421"/>
      <w:bookmarkStart w:id="1259" w:name="_Toc98238957"/>
      <w:bookmarkStart w:id="1260" w:name="_Toc231612744"/>
      <w:bookmarkStart w:id="1261" w:name="_Toc100123525"/>
      <w:bookmarkStart w:id="1262" w:name="_Toc193188669"/>
      <w:bookmarkStart w:id="1263" w:name="_Toc115511318"/>
      <w:bookmarkStart w:id="1264" w:name="_Toc99792315"/>
      <w:r>
        <w:rPr>
          <w:rFonts w:hint="eastAsia" w:ascii="宋体" w:hAnsi="宋体" w:cs="宋体"/>
          <w:b/>
          <w:szCs w:val="21"/>
        </w:rPr>
        <w:t>40、保险</w:t>
      </w:r>
      <w:bookmarkEnd w:id="1256"/>
      <w:bookmarkEnd w:id="1257"/>
      <w:bookmarkEnd w:id="1258"/>
      <w:bookmarkEnd w:id="1259"/>
      <w:bookmarkEnd w:id="1260"/>
      <w:bookmarkEnd w:id="1261"/>
      <w:bookmarkEnd w:id="1262"/>
      <w:bookmarkEnd w:id="1263"/>
      <w:bookmarkEnd w:id="1264"/>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40.1 工程开工前，发包人为建设工程和施工场地内的自有人员及第三人人员生命财产办理保险，支付保险费用。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40.2 运至施工场地内用于工程的材料和待安装设备，由发包人办理保险，并支付保险费用。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40.3 发包人可以将有关保险事项委托承包人办理，费用由发包人承担。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40.4 承包人须为从事危险作业的职工办理意外伤害保险，并为施工场地内自有人员生命财产和施工机械设备办理保险，支付保险费用。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40.5 保险事故发生时，发包人承包人有责任尽力采取必要的措施，防止或者减少损失。</w:t>
      </w:r>
    </w:p>
    <w:p>
      <w:pPr>
        <w:adjustRightInd w:val="0"/>
        <w:snapToGrid w:val="0"/>
        <w:spacing w:line="380" w:lineRule="exact"/>
        <w:ind w:firstLine="420" w:firstLineChars="200"/>
        <w:rPr>
          <w:rFonts w:ascii="宋体" w:hAnsi="宋体" w:cs="宋体"/>
          <w:szCs w:val="21"/>
        </w:rPr>
      </w:pPr>
      <w:bookmarkStart w:id="1265" w:name="_Toc231612948"/>
      <w:bookmarkStart w:id="1266" w:name="_Toc231613096"/>
      <w:bookmarkStart w:id="1267" w:name="_Toc231612745"/>
      <w:r>
        <w:rPr>
          <w:rFonts w:hint="eastAsia" w:ascii="宋体" w:hAnsi="宋体" w:cs="宋体"/>
          <w:szCs w:val="21"/>
        </w:rPr>
        <w:t>40.6 具体投保内容和相关责任，发包人承包人在专用条款中约定。</w:t>
      </w:r>
      <w:bookmarkEnd w:id="1265"/>
      <w:bookmarkEnd w:id="1266"/>
      <w:bookmarkEnd w:id="1267"/>
    </w:p>
    <w:p>
      <w:pPr>
        <w:adjustRightInd w:val="0"/>
        <w:snapToGrid w:val="0"/>
        <w:spacing w:line="400" w:lineRule="exact"/>
        <w:ind w:firstLine="422" w:firstLineChars="200"/>
        <w:rPr>
          <w:rFonts w:ascii="宋体" w:hAnsi="宋体" w:cs="宋体"/>
          <w:b/>
          <w:szCs w:val="21"/>
        </w:rPr>
      </w:pPr>
      <w:bookmarkStart w:id="1268" w:name="_Toc100123526"/>
      <w:bookmarkStart w:id="1269" w:name="_Toc101156004"/>
      <w:bookmarkStart w:id="1270" w:name="_Toc115511319"/>
      <w:bookmarkStart w:id="1271" w:name="_Toc99792316"/>
      <w:bookmarkStart w:id="1272" w:name="_Toc98239422"/>
      <w:bookmarkStart w:id="1273" w:name="_Toc193188670"/>
      <w:bookmarkStart w:id="1274" w:name="_Toc231612746"/>
      <w:bookmarkStart w:id="1275" w:name="_Toc98238958"/>
      <w:bookmarkStart w:id="1276" w:name="_Toc101155801"/>
      <w:r>
        <w:rPr>
          <w:rFonts w:hint="eastAsia" w:ascii="宋体" w:hAnsi="宋体" w:cs="宋体"/>
          <w:b/>
          <w:szCs w:val="21"/>
        </w:rPr>
        <w:t>41、担保</w:t>
      </w:r>
      <w:bookmarkEnd w:id="1268"/>
      <w:bookmarkEnd w:id="1269"/>
      <w:bookmarkEnd w:id="1270"/>
      <w:bookmarkEnd w:id="1271"/>
      <w:bookmarkEnd w:id="1272"/>
      <w:bookmarkEnd w:id="1273"/>
      <w:bookmarkEnd w:id="1274"/>
      <w:bookmarkEnd w:id="1275"/>
      <w:bookmarkEnd w:id="1276"/>
    </w:p>
    <w:p>
      <w:pPr>
        <w:adjustRightInd w:val="0"/>
        <w:snapToGrid w:val="0"/>
        <w:spacing w:line="380" w:lineRule="exact"/>
        <w:ind w:firstLine="420" w:firstLineChars="200"/>
        <w:rPr>
          <w:rFonts w:ascii="宋体" w:hAnsi="宋体" w:cs="宋体"/>
          <w:szCs w:val="21"/>
        </w:rPr>
      </w:pPr>
      <w:bookmarkStart w:id="1277" w:name="_Toc231613097"/>
      <w:bookmarkStart w:id="1278" w:name="_Toc231612747"/>
      <w:bookmarkStart w:id="1279" w:name="_Toc231612949"/>
      <w:r>
        <w:rPr>
          <w:rFonts w:hint="eastAsia" w:ascii="宋体" w:hAnsi="宋体" w:cs="宋体"/>
          <w:szCs w:val="21"/>
        </w:rPr>
        <w:t>41.1 发包人承包人为了全面履行合同，应互相提供以下担保：</w:t>
      </w:r>
      <w:bookmarkEnd w:id="1277"/>
      <w:bookmarkEnd w:id="1278"/>
      <w:bookmarkEnd w:id="1279"/>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发包人向承包人提供履约担保，按合同约定支付工程价款及履行合同约定的其他义务。</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承包人向发包人提供履约担保，按合同约定履行自己的各项义务。</w:t>
      </w:r>
    </w:p>
    <w:p>
      <w:pPr>
        <w:adjustRightInd w:val="0"/>
        <w:snapToGrid w:val="0"/>
        <w:spacing w:line="380" w:lineRule="exact"/>
        <w:ind w:firstLine="420" w:firstLineChars="200"/>
        <w:rPr>
          <w:rFonts w:ascii="宋体" w:hAnsi="宋体" w:cs="宋体"/>
          <w:szCs w:val="21"/>
        </w:rPr>
      </w:pPr>
      <w:bookmarkStart w:id="1280" w:name="_Toc231612950"/>
      <w:bookmarkStart w:id="1281" w:name="_Toc231612748"/>
      <w:bookmarkStart w:id="1282" w:name="_Toc231613098"/>
      <w:r>
        <w:rPr>
          <w:rFonts w:hint="eastAsia" w:ascii="宋体" w:hAnsi="宋体" w:cs="宋体"/>
          <w:szCs w:val="21"/>
        </w:rPr>
        <w:t>41.2 一方违约后，另一方可要求提供担保的第三人承担相应责任。</w:t>
      </w:r>
      <w:bookmarkEnd w:id="1280"/>
      <w:bookmarkEnd w:id="1281"/>
      <w:bookmarkEnd w:id="1282"/>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41.3 提供担保的内容、方式和相关责任，发包人承包人除在专用条款中约定外，被担保方与担保方还应签订担保合同，作为本合同附件。</w:t>
      </w:r>
    </w:p>
    <w:p>
      <w:pPr>
        <w:adjustRightInd w:val="0"/>
        <w:snapToGrid w:val="0"/>
        <w:spacing w:line="400" w:lineRule="exact"/>
        <w:ind w:firstLine="422" w:firstLineChars="200"/>
        <w:rPr>
          <w:rFonts w:ascii="宋体" w:hAnsi="宋体" w:cs="宋体"/>
          <w:b/>
          <w:szCs w:val="21"/>
        </w:rPr>
      </w:pPr>
      <w:bookmarkStart w:id="1283" w:name="_Toc231612749"/>
      <w:bookmarkStart w:id="1284" w:name="_Toc193188671"/>
      <w:bookmarkStart w:id="1285" w:name="_Toc99792317"/>
      <w:bookmarkStart w:id="1286" w:name="_Toc101156005"/>
      <w:bookmarkStart w:id="1287" w:name="_Toc98238959"/>
      <w:bookmarkStart w:id="1288" w:name="_Toc98239423"/>
      <w:bookmarkStart w:id="1289" w:name="_Toc101155802"/>
      <w:bookmarkStart w:id="1290" w:name="_Toc115511320"/>
      <w:bookmarkStart w:id="1291" w:name="_Toc100123527"/>
      <w:r>
        <w:rPr>
          <w:rFonts w:hint="eastAsia" w:ascii="宋体" w:hAnsi="宋体" w:cs="宋体"/>
          <w:b/>
          <w:szCs w:val="21"/>
        </w:rPr>
        <w:t>42、专利技术及特殊工艺</w:t>
      </w:r>
      <w:bookmarkEnd w:id="1283"/>
      <w:bookmarkEnd w:id="1284"/>
      <w:bookmarkEnd w:id="1285"/>
      <w:bookmarkEnd w:id="1286"/>
      <w:bookmarkEnd w:id="1287"/>
      <w:bookmarkEnd w:id="1288"/>
      <w:bookmarkEnd w:id="1289"/>
      <w:bookmarkEnd w:id="1290"/>
      <w:bookmarkEnd w:id="1291"/>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42.1 发包人要求使用专利技术或特殊工艺，应负责办理相应的申报手续，承担申报、试验、使用等费用；承包人提出使用专利技术或特殊工艺，应取得工程师认可，承包人负责办理申报手续并承担有关费用。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42.2 擅自使用专利技术侵犯他人专利权的，责任者依法承担相应责任。</w:t>
      </w:r>
    </w:p>
    <w:p>
      <w:pPr>
        <w:adjustRightInd w:val="0"/>
        <w:snapToGrid w:val="0"/>
        <w:spacing w:line="400" w:lineRule="exact"/>
        <w:ind w:firstLine="422" w:firstLineChars="200"/>
        <w:rPr>
          <w:rFonts w:ascii="宋体" w:hAnsi="宋体" w:cs="宋体"/>
          <w:b/>
          <w:szCs w:val="21"/>
        </w:rPr>
      </w:pPr>
      <w:bookmarkStart w:id="1292" w:name="_Toc98238960"/>
      <w:bookmarkStart w:id="1293" w:name="_Toc99792318"/>
      <w:bookmarkStart w:id="1294" w:name="_Toc98239424"/>
      <w:bookmarkStart w:id="1295" w:name="_Toc101156006"/>
      <w:bookmarkStart w:id="1296" w:name="_Toc115511321"/>
      <w:bookmarkStart w:id="1297" w:name="_Toc231612750"/>
      <w:bookmarkStart w:id="1298" w:name="_Toc100123528"/>
      <w:bookmarkStart w:id="1299" w:name="_Toc193188672"/>
      <w:bookmarkStart w:id="1300" w:name="_Toc101155803"/>
      <w:r>
        <w:rPr>
          <w:rFonts w:hint="eastAsia" w:ascii="宋体" w:hAnsi="宋体" w:cs="宋体"/>
          <w:b/>
          <w:szCs w:val="21"/>
        </w:rPr>
        <w:t>43、文物和地下障碍物</w:t>
      </w:r>
      <w:bookmarkEnd w:id="1292"/>
      <w:bookmarkEnd w:id="1293"/>
      <w:bookmarkEnd w:id="1294"/>
      <w:bookmarkEnd w:id="1295"/>
      <w:bookmarkEnd w:id="1296"/>
      <w:bookmarkEnd w:id="1297"/>
      <w:bookmarkEnd w:id="1298"/>
      <w:bookmarkEnd w:id="1299"/>
      <w:bookmarkEnd w:id="1300"/>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43.1 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如发现后隐瞒不报，致使文物遭受破坏，责任者依法承担相应责任。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43.2施工中发现影响施工的地下障碍物时，承包人应于8小时内以书面形式通知工程师，同时提出处置方案，工程师收到处置方案后24小时内予以认可或提出修正方案。发包人承担由此发生的费用，顺延延误的工期。</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所发现的地下障碍物有归属单位时，发包人应报请有关部门协同处置。</w:t>
      </w:r>
    </w:p>
    <w:p>
      <w:pPr>
        <w:adjustRightInd w:val="0"/>
        <w:snapToGrid w:val="0"/>
        <w:spacing w:line="400" w:lineRule="exact"/>
        <w:ind w:firstLine="422" w:firstLineChars="200"/>
        <w:rPr>
          <w:rFonts w:ascii="宋体" w:hAnsi="宋体" w:cs="宋体"/>
          <w:b/>
          <w:szCs w:val="21"/>
        </w:rPr>
      </w:pPr>
      <w:bookmarkStart w:id="1301" w:name="_Toc99792319"/>
      <w:bookmarkStart w:id="1302" w:name="_Toc100123529"/>
      <w:bookmarkStart w:id="1303" w:name="_Toc98239425"/>
      <w:bookmarkStart w:id="1304" w:name="_Toc231612751"/>
      <w:bookmarkStart w:id="1305" w:name="_Toc98238961"/>
      <w:bookmarkStart w:id="1306" w:name="_Toc115511322"/>
      <w:bookmarkStart w:id="1307" w:name="_Toc193188673"/>
      <w:bookmarkStart w:id="1308" w:name="_Toc101155804"/>
      <w:bookmarkStart w:id="1309" w:name="_Toc101156007"/>
      <w:r>
        <w:rPr>
          <w:rFonts w:hint="eastAsia" w:ascii="宋体" w:hAnsi="宋体" w:cs="宋体"/>
          <w:b/>
          <w:szCs w:val="21"/>
        </w:rPr>
        <w:t>44、合同解除</w:t>
      </w:r>
      <w:bookmarkEnd w:id="1301"/>
      <w:bookmarkEnd w:id="1302"/>
      <w:bookmarkEnd w:id="1303"/>
      <w:bookmarkEnd w:id="1304"/>
      <w:bookmarkEnd w:id="1305"/>
      <w:bookmarkEnd w:id="1306"/>
      <w:bookmarkEnd w:id="1307"/>
      <w:bookmarkEnd w:id="1308"/>
      <w:bookmarkEnd w:id="1309"/>
    </w:p>
    <w:p>
      <w:pPr>
        <w:adjustRightInd w:val="0"/>
        <w:snapToGrid w:val="0"/>
        <w:spacing w:line="380" w:lineRule="exact"/>
        <w:ind w:firstLine="420" w:firstLineChars="200"/>
        <w:rPr>
          <w:rFonts w:ascii="宋体" w:hAnsi="宋体" w:cs="宋体"/>
          <w:szCs w:val="21"/>
        </w:rPr>
      </w:pPr>
      <w:bookmarkStart w:id="1310" w:name="_Toc231613099"/>
      <w:bookmarkStart w:id="1311" w:name="_Toc231612752"/>
      <w:bookmarkStart w:id="1312" w:name="_Toc231612951"/>
      <w:r>
        <w:rPr>
          <w:rFonts w:hint="eastAsia" w:ascii="宋体" w:hAnsi="宋体" w:cs="宋体"/>
          <w:szCs w:val="21"/>
        </w:rPr>
        <w:t>44.1 发包人承包人协商一致，可以解除合同。</w:t>
      </w:r>
      <w:bookmarkEnd w:id="1310"/>
      <w:bookmarkEnd w:id="1311"/>
      <w:bookmarkEnd w:id="1312"/>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44.2 发生本通用条款第26.4款情况，停止施工超过56天，发包人仍不支付工程款（进度款），承包人有权解除合同。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44.3 发生本通用条款第38.2款禁止的情况，承包人将其承包的全部工程转包给他人或者肢解以后以分包的名义分别转包给他人，发包人有权解除合同。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44.4 有下列情形之一的，发包人承包人可以解除合同：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 因不可抗力致使合同无法履行；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 因一方违约（包括因发包人原因造成工程停建或缓建）致使合同无法履行。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44.5 一方依据44.2.44.3.44.4款约定要求解除合同的，应以书面形式向对方发出解除合同的通知，并在发出通知前7天告知对方，通知到达对方时合同解除。对解除合同有争议的，按本通用条款第37条关于争议的约定处理。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44.6 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44.7 合同解除后，不影响双方在合同中约定的结算和清理条款的效力。</w:t>
      </w:r>
    </w:p>
    <w:p>
      <w:pPr>
        <w:adjustRightInd w:val="0"/>
        <w:snapToGrid w:val="0"/>
        <w:spacing w:line="360" w:lineRule="auto"/>
        <w:ind w:firstLine="422" w:firstLineChars="200"/>
        <w:rPr>
          <w:rFonts w:ascii="宋体" w:hAnsi="宋体" w:cs="宋体"/>
          <w:b/>
          <w:szCs w:val="21"/>
        </w:rPr>
      </w:pPr>
      <w:bookmarkStart w:id="1313" w:name="_Toc231612753"/>
      <w:bookmarkStart w:id="1314" w:name="_Toc115511323"/>
      <w:bookmarkStart w:id="1315" w:name="_Toc101155805"/>
      <w:bookmarkStart w:id="1316" w:name="_Toc100123530"/>
      <w:bookmarkStart w:id="1317" w:name="_Toc193188674"/>
      <w:bookmarkStart w:id="1318" w:name="_Toc99792320"/>
      <w:bookmarkStart w:id="1319" w:name="_Toc98238962"/>
      <w:bookmarkStart w:id="1320" w:name="_Toc101156008"/>
      <w:bookmarkStart w:id="1321" w:name="_Toc98239426"/>
      <w:r>
        <w:rPr>
          <w:rFonts w:hint="eastAsia" w:ascii="宋体" w:hAnsi="宋体" w:cs="宋体"/>
          <w:b/>
          <w:szCs w:val="21"/>
        </w:rPr>
        <w:t>45、合同生效与终止</w:t>
      </w:r>
      <w:bookmarkEnd w:id="1313"/>
      <w:bookmarkEnd w:id="1314"/>
      <w:bookmarkEnd w:id="1315"/>
      <w:bookmarkEnd w:id="1316"/>
      <w:bookmarkEnd w:id="1317"/>
      <w:bookmarkEnd w:id="1318"/>
      <w:bookmarkEnd w:id="1319"/>
      <w:bookmarkEnd w:id="1320"/>
      <w:bookmarkEnd w:id="1321"/>
    </w:p>
    <w:p>
      <w:pPr>
        <w:adjustRightInd w:val="0"/>
        <w:snapToGrid w:val="0"/>
        <w:spacing w:line="360" w:lineRule="auto"/>
        <w:ind w:firstLine="420" w:firstLineChars="200"/>
        <w:rPr>
          <w:rFonts w:ascii="宋体" w:hAnsi="宋体" w:cs="宋体"/>
          <w:szCs w:val="21"/>
        </w:rPr>
      </w:pPr>
      <w:bookmarkStart w:id="1322" w:name="_Toc231613100"/>
      <w:bookmarkStart w:id="1323" w:name="_Toc231612952"/>
      <w:bookmarkStart w:id="1324" w:name="_Toc231612754"/>
      <w:r>
        <w:rPr>
          <w:rFonts w:hint="eastAsia" w:ascii="宋体" w:hAnsi="宋体" w:cs="宋体"/>
          <w:szCs w:val="21"/>
        </w:rPr>
        <w:t>45.1 双方在协议书中约定合同生效方式。</w:t>
      </w:r>
      <w:bookmarkEnd w:id="1322"/>
      <w:bookmarkEnd w:id="1323"/>
      <w:bookmarkEnd w:id="1324"/>
    </w:p>
    <w:p>
      <w:pPr>
        <w:adjustRightInd w:val="0"/>
        <w:snapToGrid w:val="0"/>
        <w:spacing w:line="360" w:lineRule="auto"/>
        <w:ind w:firstLine="420" w:firstLineChars="200"/>
        <w:rPr>
          <w:rFonts w:ascii="宋体" w:hAnsi="宋体" w:cs="宋体"/>
          <w:szCs w:val="21"/>
        </w:rPr>
      </w:pPr>
      <w:bookmarkStart w:id="1325" w:name="_Toc231612953"/>
      <w:bookmarkStart w:id="1326" w:name="_Toc231613101"/>
      <w:bookmarkStart w:id="1327" w:name="_Toc231612755"/>
      <w:r>
        <w:rPr>
          <w:rFonts w:hint="eastAsia" w:ascii="宋体" w:hAnsi="宋体" w:cs="宋体"/>
          <w:szCs w:val="21"/>
        </w:rPr>
        <w:t>45.2 除本通用条款第34条外，发包人承包人履行合同全部义务，竣工结算价款支付完毕，承包人向发包人交付竣工工程后，本合同即告终止。</w:t>
      </w:r>
      <w:bookmarkEnd w:id="1325"/>
      <w:bookmarkEnd w:id="1326"/>
      <w:bookmarkEnd w:id="1327"/>
    </w:p>
    <w:p>
      <w:pPr>
        <w:adjustRightInd w:val="0"/>
        <w:snapToGrid w:val="0"/>
        <w:spacing w:line="360" w:lineRule="auto"/>
        <w:ind w:firstLine="420" w:firstLineChars="200"/>
        <w:rPr>
          <w:rFonts w:ascii="宋体" w:hAnsi="宋体" w:cs="宋体"/>
          <w:szCs w:val="21"/>
        </w:rPr>
      </w:pPr>
      <w:bookmarkStart w:id="1328" w:name="_Toc231612954"/>
      <w:bookmarkStart w:id="1329" w:name="_Toc231612756"/>
      <w:bookmarkStart w:id="1330" w:name="_Toc231613102"/>
      <w:r>
        <w:rPr>
          <w:rFonts w:hint="eastAsia" w:ascii="宋体" w:hAnsi="宋体" w:cs="宋体"/>
          <w:szCs w:val="21"/>
        </w:rPr>
        <w:t>45.3 合同的权利义务终止后，发包人承包人应当遵循诚实信用原则，履行通知、协助、保密等义务。</w:t>
      </w:r>
      <w:bookmarkEnd w:id="1328"/>
      <w:bookmarkEnd w:id="1329"/>
      <w:bookmarkEnd w:id="1330"/>
    </w:p>
    <w:p>
      <w:pPr>
        <w:adjustRightInd w:val="0"/>
        <w:snapToGrid w:val="0"/>
        <w:spacing w:line="400" w:lineRule="exact"/>
        <w:ind w:firstLine="422" w:firstLineChars="200"/>
        <w:rPr>
          <w:rFonts w:ascii="宋体" w:hAnsi="宋体" w:cs="宋体"/>
          <w:b/>
          <w:szCs w:val="21"/>
        </w:rPr>
      </w:pPr>
      <w:bookmarkStart w:id="1331" w:name="_Toc231612757"/>
      <w:bookmarkStart w:id="1332" w:name="_Toc115511324"/>
      <w:bookmarkStart w:id="1333" w:name="_Toc98239427"/>
      <w:bookmarkStart w:id="1334" w:name="_Toc193188675"/>
      <w:bookmarkStart w:id="1335" w:name="_Toc101156009"/>
      <w:bookmarkStart w:id="1336" w:name="_Toc98238963"/>
      <w:bookmarkStart w:id="1337" w:name="_Toc101155806"/>
      <w:bookmarkStart w:id="1338" w:name="_Toc100123531"/>
      <w:bookmarkStart w:id="1339" w:name="_Toc99792321"/>
      <w:r>
        <w:rPr>
          <w:rFonts w:hint="eastAsia" w:ascii="宋体" w:hAnsi="宋体" w:cs="宋体"/>
          <w:b/>
          <w:szCs w:val="21"/>
        </w:rPr>
        <w:t>46、合同份数</w:t>
      </w:r>
      <w:bookmarkEnd w:id="1331"/>
      <w:bookmarkEnd w:id="1332"/>
      <w:bookmarkEnd w:id="1333"/>
      <w:bookmarkEnd w:id="1334"/>
      <w:bookmarkEnd w:id="1335"/>
      <w:bookmarkEnd w:id="1336"/>
      <w:bookmarkEnd w:id="1337"/>
      <w:bookmarkEnd w:id="1338"/>
      <w:bookmarkEnd w:id="1339"/>
    </w:p>
    <w:p>
      <w:pPr>
        <w:adjustRightInd w:val="0"/>
        <w:snapToGrid w:val="0"/>
        <w:spacing w:line="380" w:lineRule="exact"/>
        <w:ind w:firstLine="420" w:firstLineChars="200"/>
        <w:rPr>
          <w:rFonts w:ascii="宋体" w:hAnsi="宋体" w:cs="宋体"/>
          <w:szCs w:val="21"/>
        </w:rPr>
      </w:pPr>
      <w:bookmarkStart w:id="1340" w:name="_Toc231612955"/>
      <w:bookmarkStart w:id="1341" w:name="_Toc231612758"/>
      <w:bookmarkStart w:id="1342" w:name="_Toc231613103"/>
      <w:r>
        <w:rPr>
          <w:rFonts w:hint="eastAsia" w:ascii="宋体" w:hAnsi="宋体" w:cs="宋体"/>
          <w:szCs w:val="21"/>
        </w:rPr>
        <w:t>46.1 本合同正本两份，具有同等效力，由发包人承包人分别保存一份。</w:t>
      </w:r>
      <w:bookmarkEnd w:id="1340"/>
      <w:bookmarkEnd w:id="1341"/>
      <w:bookmarkEnd w:id="1342"/>
    </w:p>
    <w:p>
      <w:pPr>
        <w:adjustRightInd w:val="0"/>
        <w:snapToGrid w:val="0"/>
        <w:spacing w:line="380" w:lineRule="exact"/>
        <w:ind w:firstLine="420" w:firstLineChars="200"/>
        <w:rPr>
          <w:rFonts w:ascii="宋体" w:hAnsi="宋体" w:cs="宋体"/>
          <w:szCs w:val="21"/>
        </w:rPr>
      </w:pPr>
      <w:bookmarkStart w:id="1343" w:name="_Toc231613104"/>
      <w:bookmarkStart w:id="1344" w:name="_Toc231612759"/>
      <w:bookmarkStart w:id="1345" w:name="_Toc231612956"/>
      <w:r>
        <w:rPr>
          <w:rFonts w:hint="eastAsia" w:ascii="宋体" w:hAnsi="宋体" w:cs="宋体"/>
          <w:szCs w:val="21"/>
        </w:rPr>
        <w:t>46.2 本合同副本份数，由双方根据需要在专用条款内约定。</w:t>
      </w:r>
      <w:bookmarkEnd w:id="1343"/>
      <w:bookmarkEnd w:id="1344"/>
      <w:bookmarkEnd w:id="1345"/>
    </w:p>
    <w:p>
      <w:pPr>
        <w:adjustRightInd w:val="0"/>
        <w:snapToGrid w:val="0"/>
        <w:spacing w:line="380" w:lineRule="exact"/>
        <w:ind w:firstLine="422" w:firstLineChars="200"/>
        <w:rPr>
          <w:rFonts w:ascii="方正黑体_GBK" w:hAnsi="宋体" w:eastAsia="方正黑体_GBK" w:cs="宋体"/>
          <w:b/>
          <w:bCs/>
          <w:szCs w:val="21"/>
        </w:rPr>
      </w:pPr>
      <w:bookmarkStart w:id="1346" w:name="_Toc101156010"/>
      <w:bookmarkStart w:id="1347" w:name="_Toc99792322"/>
      <w:bookmarkStart w:id="1348" w:name="_Toc101155807"/>
      <w:bookmarkStart w:id="1349" w:name="_Toc231612760"/>
      <w:bookmarkStart w:id="1350" w:name="_Toc231613105"/>
      <w:bookmarkStart w:id="1351" w:name="_Toc98238964"/>
      <w:bookmarkStart w:id="1352" w:name="_Toc231612957"/>
      <w:bookmarkStart w:id="1353" w:name="_Toc98239428"/>
      <w:bookmarkStart w:id="1354" w:name="_Toc193188676"/>
      <w:bookmarkStart w:id="1355" w:name="_Toc100123532"/>
      <w:bookmarkStart w:id="1356" w:name="_Toc115511325"/>
      <w:r>
        <w:rPr>
          <w:rFonts w:hint="eastAsia" w:ascii="方正黑体_GBK" w:hAnsi="宋体" w:eastAsia="方正黑体_GBK" w:cs="宋体"/>
          <w:b/>
          <w:bCs/>
          <w:szCs w:val="21"/>
        </w:rPr>
        <w:t>十二、补充条款</w:t>
      </w:r>
      <w:bookmarkEnd w:id="1346"/>
      <w:bookmarkEnd w:id="1347"/>
      <w:bookmarkEnd w:id="1348"/>
      <w:bookmarkEnd w:id="1349"/>
      <w:bookmarkEnd w:id="1350"/>
      <w:bookmarkEnd w:id="1351"/>
      <w:bookmarkEnd w:id="1352"/>
      <w:bookmarkEnd w:id="1353"/>
      <w:bookmarkEnd w:id="1354"/>
      <w:bookmarkEnd w:id="1355"/>
      <w:bookmarkEnd w:id="1356"/>
    </w:p>
    <w:p>
      <w:pPr>
        <w:adjustRightInd w:val="0"/>
        <w:snapToGrid w:val="0"/>
        <w:spacing w:line="380" w:lineRule="exact"/>
        <w:ind w:firstLine="420" w:firstLineChars="200"/>
        <w:rPr>
          <w:rFonts w:ascii="宋体" w:hAnsi="宋体"/>
          <w:snapToGrid w:val="0"/>
          <w:kern w:val="0"/>
          <w:szCs w:val="21"/>
        </w:rPr>
      </w:pPr>
      <w:r>
        <w:rPr>
          <w:rFonts w:hint="eastAsia" w:ascii="宋体" w:hAnsi="宋体" w:cs="宋体"/>
          <w:szCs w:val="21"/>
        </w:rPr>
        <w:t>双方根据有关法律、行政法规规定，结合工程实际，经协商一致后，可对本通用条款内容具体化、补充或修改，在专用条款内约定。</w:t>
      </w:r>
    </w:p>
    <w:p>
      <w:pPr>
        <w:snapToGrid w:val="0"/>
        <w:spacing w:line="560" w:lineRule="exact"/>
        <w:rPr>
          <w:rFonts w:eastAsia="方正仿宋_GBK"/>
          <w:snapToGrid w:val="0"/>
          <w:kern w:val="0"/>
          <w:szCs w:val="32"/>
        </w:rPr>
      </w:pPr>
    </w:p>
    <w:p>
      <w:pPr>
        <w:keepNext/>
        <w:keepLines/>
        <w:snapToGrid w:val="0"/>
        <w:spacing w:before="260" w:after="260" w:line="360" w:lineRule="auto"/>
        <w:outlineLvl w:val="9"/>
        <w:rPr>
          <w:rFonts w:ascii="宋体" w:hAnsi="宋体"/>
          <w:b/>
          <w:bCs/>
          <w:szCs w:val="21"/>
          <w:lang w:val="zh-CN"/>
        </w:rPr>
      </w:pPr>
      <w:r>
        <w:rPr>
          <w:rFonts w:hint="eastAsia" w:ascii="宋体" w:hAnsi="宋体"/>
          <w:b/>
          <w:bCs/>
          <w:szCs w:val="21"/>
          <w:lang w:val="zh-CN"/>
        </w:rPr>
        <w:br w:type="page"/>
      </w:r>
    </w:p>
    <w:p>
      <w:pPr>
        <w:pStyle w:val="5"/>
        <w:jc w:val="center"/>
        <w:rPr>
          <w:rFonts w:ascii="宋体" w:hAnsi="宋体"/>
          <w:sz w:val="44"/>
          <w:szCs w:val="44"/>
        </w:rPr>
      </w:pPr>
      <w:bookmarkStart w:id="1357" w:name="_Toc529388290"/>
      <w:bookmarkStart w:id="1358" w:name="_Toc532377320"/>
      <w:bookmarkStart w:id="1359" w:name="_Toc27968"/>
      <w:bookmarkStart w:id="1360" w:name="_Toc532375607"/>
      <w:r>
        <w:rPr>
          <w:rFonts w:hint="eastAsia" w:ascii="宋体" w:hAnsi="宋体"/>
          <w:sz w:val="44"/>
          <w:szCs w:val="44"/>
        </w:rPr>
        <w:t>第三部分 专用合同条款</w:t>
      </w:r>
      <w:bookmarkEnd w:id="1357"/>
      <w:bookmarkEnd w:id="1358"/>
      <w:bookmarkEnd w:id="1359"/>
      <w:bookmarkEnd w:id="1360"/>
    </w:p>
    <w:p>
      <w:pPr>
        <w:adjustRightInd w:val="0"/>
        <w:snapToGrid w:val="0"/>
        <w:spacing w:line="360" w:lineRule="auto"/>
        <w:rPr>
          <w:rFonts w:ascii="方正黑体_GBK" w:hAnsi="宋体" w:eastAsia="方正黑体_GBK" w:cs="宋体"/>
          <w:b/>
          <w:bCs/>
          <w:szCs w:val="21"/>
        </w:rPr>
      </w:pPr>
      <w:bookmarkStart w:id="1361" w:name="_Toc532377425"/>
      <w:bookmarkStart w:id="1362" w:name="_Toc532375686"/>
      <w:bookmarkStart w:id="1363" w:name="_Toc351203652"/>
      <w:r>
        <w:rPr>
          <w:rFonts w:hint="eastAsia" w:ascii="方正黑体_GBK" w:hAnsi="宋体" w:eastAsia="方正黑体_GBK" w:cs="宋体"/>
          <w:b/>
          <w:bCs/>
          <w:szCs w:val="21"/>
        </w:rPr>
        <w:t xml:space="preserve">一、词语定义及合同文件 </w:t>
      </w:r>
    </w:p>
    <w:p>
      <w:pPr>
        <w:adjustRightInd w:val="0"/>
        <w:snapToGrid w:val="0"/>
        <w:spacing w:line="360" w:lineRule="auto"/>
        <w:ind w:firstLine="422" w:firstLineChars="200"/>
        <w:rPr>
          <w:rFonts w:ascii="宋体" w:hAnsi="宋体" w:cs="宋体"/>
          <w:b/>
          <w:szCs w:val="21"/>
        </w:rPr>
      </w:pPr>
      <w:bookmarkStart w:id="1364" w:name="_Toc193188679"/>
      <w:bookmarkStart w:id="1365" w:name="_Toc123715509"/>
      <w:bookmarkStart w:id="1366" w:name="_Toc231612763"/>
      <w:bookmarkStart w:id="1367" w:name="_Toc98238967"/>
      <w:bookmarkStart w:id="1368" w:name="_Toc100123535"/>
      <w:bookmarkStart w:id="1369" w:name="_Toc101156013"/>
      <w:bookmarkStart w:id="1370" w:name="_Toc115511328"/>
      <w:bookmarkStart w:id="1371" w:name="_Toc99792325"/>
      <w:bookmarkStart w:id="1372" w:name="_Toc101155810"/>
      <w:bookmarkStart w:id="1373" w:name="_Toc98239431"/>
      <w:r>
        <w:rPr>
          <w:rFonts w:hint="eastAsia" w:ascii="宋体" w:hAnsi="宋体" w:cs="宋体"/>
          <w:b/>
          <w:szCs w:val="21"/>
        </w:rPr>
        <w:t>1、词语定义</w:t>
      </w:r>
      <w:bookmarkEnd w:id="1364"/>
      <w:bookmarkEnd w:id="1365"/>
      <w:bookmarkEnd w:id="1366"/>
    </w:p>
    <w:p>
      <w:pPr>
        <w:snapToGrid w:val="0"/>
        <w:spacing w:line="360" w:lineRule="auto"/>
        <w:ind w:firstLine="422" w:firstLineChars="200"/>
        <w:rPr>
          <w:rFonts w:ascii="宋体" w:hAnsi="宋体" w:cs="宋体"/>
          <w:b/>
          <w:bCs/>
          <w:szCs w:val="21"/>
        </w:rPr>
      </w:pPr>
      <w:r>
        <w:rPr>
          <w:rFonts w:hint="eastAsia" w:ascii="宋体" w:hAnsi="宋体" w:cs="宋体"/>
          <w:b/>
          <w:bCs/>
          <w:szCs w:val="21"/>
        </w:rPr>
        <w:t>在本条内补充以下各款：</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1.24合同</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协议书、中标通知书、招标文件及其澄清、补充、答疑文件、投标文件、专用条款、通用条款、标准规范及有关技术说明、图纸、工程量清单以及其他双方约定构成合同组成部分的协议、往来信函、纪要、备忘等所有合同文件的总称。</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1.25协议书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指构成本合同一部分,需由发包人与承包人共同签署且以此标志合同成立的文件。</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1.26中标通知书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指发包人通知承包人中标的函。 </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1.27标准、规范及有关技术文件</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指构成本合同一部分的具有同样名称的文件，以及根据第 3.3 款由工程师批准的任何此类文件。</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1.28投标书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指承包人根据合同的各项约定，为工程的实施、完成和修补缺陷，向发包人提出并被发包人接受的报价书及其附属文件 </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1.29投标书附件</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指附于投标书之后的，己填写完内容的构成本合同一部分的文件。</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1.30其他承包人</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指发包人直接雇佣，从事承包人的承包范围之外但与本合同工程有关的其他工作的承包单位。</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l.31质量保修书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指由发承包双方签署的约定工程保修事宜及其双方的权力、义务的协议。</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1.32竣工验收证书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指由发包人、承包人、监理单位和设计单位四方共同签署，由工程师向承包人颁发的证明工程通过了竣工验收的文件。</w:t>
      </w:r>
    </w:p>
    <w:p>
      <w:pPr>
        <w:adjustRightInd w:val="0"/>
        <w:snapToGrid w:val="0"/>
        <w:spacing w:line="360" w:lineRule="auto"/>
        <w:ind w:firstLine="422" w:firstLineChars="200"/>
        <w:rPr>
          <w:rFonts w:ascii="宋体" w:hAnsi="宋体" w:cs="宋体"/>
          <w:b/>
          <w:szCs w:val="21"/>
        </w:rPr>
      </w:pPr>
      <w:bookmarkStart w:id="1374" w:name="_Toc231612764"/>
      <w:bookmarkStart w:id="1375" w:name="_Toc193188680"/>
      <w:bookmarkStart w:id="1376" w:name="_Toc123715510"/>
      <w:r>
        <w:rPr>
          <w:rFonts w:hint="eastAsia" w:ascii="宋体" w:hAnsi="宋体" w:cs="宋体"/>
          <w:b/>
          <w:szCs w:val="21"/>
        </w:rPr>
        <w:t>2、合同文件及解释顺序</w:t>
      </w:r>
      <w:bookmarkEnd w:id="1367"/>
      <w:bookmarkEnd w:id="1368"/>
      <w:bookmarkEnd w:id="1369"/>
      <w:bookmarkEnd w:id="1370"/>
      <w:bookmarkEnd w:id="1371"/>
      <w:bookmarkEnd w:id="1372"/>
      <w:bookmarkEnd w:id="1373"/>
      <w:bookmarkEnd w:id="1374"/>
      <w:bookmarkEnd w:id="1375"/>
      <w:bookmarkEnd w:id="1376"/>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2.1合同文件组成及解释顺序：</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（1）合同协议书；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（2）中标通知书；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（3）投标函；</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（4）专用合同条款；</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（5）通用合同条款；</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（6）技术标准和要求；</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（7）图纸；</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（8）</w:t>
      </w:r>
      <w:r>
        <w:rPr>
          <w:rFonts w:hint="eastAsia" w:ascii="宋体" w:hAnsi="宋体" w:cs="宋体"/>
          <w:szCs w:val="21"/>
          <w:u w:val="single"/>
        </w:rPr>
        <w:t>投标报价书（或已标价工程量清单</w:t>
      </w:r>
      <w:r>
        <w:rPr>
          <w:rFonts w:hint="eastAsia" w:ascii="宋体" w:hAnsi="宋体" w:cs="宋体"/>
          <w:szCs w:val="21"/>
        </w:rPr>
        <w:t>）；</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（9）其他合同文件。</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合同协议书中约定采用单价合同形式的，已标价工程量清单中的各项工程量对合同双方不具合同约束力。</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图纸与技术标准和要求之间有矛盾或者不一致的，以其中要求较严格的标准为准。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合同双方在合同履行过程中签订的补充协议亦构成合同文件的组成部分，其解释顺序视其内容与其他合同文件的相互关系而定。</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在本条内补充以下各款：</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2.1.1</w:t>
      </w:r>
      <w:r>
        <w:rPr>
          <w:rFonts w:hint="eastAsia" w:ascii="宋体" w:hAnsi="宋体" w:cs="宋体"/>
          <w:szCs w:val="21"/>
        </w:rPr>
        <w:t>本合同文件中对合同条款编号的引用，均是对合同通用条款相应条款的删除、补充和修改。</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2.1.2</w:t>
      </w:r>
      <w:r>
        <w:rPr>
          <w:rFonts w:hint="eastAsia" w:ascii="宋体" w:hAnsi="宋体" w:cs="宋体"/>
          <w:szCs w:val="21"/>
        </w:rPr>
        <w:t>本合同提及的通知、指示、同意、批准、证书或决定等，除非合同中另有约定，一律应是书面形式，且任何一方不得无故扣押或拖延。书面形式的通知、指示、同意、批准、证书及决定等，应由专人送达并取得书面签收，或通过传真送达并保存传真记录，或通过邮寄并保存邮局的邮寄证明，或以E-mail发送但随后以书面形式对文件收发进行确认。</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2.1.3</w:t>
      </w:r>
      <w:r>
        <w:rPr>
          <w:rFonts w:hint="eastAsia" w:ascii="宋体" w:hAnsi="宋体" w:cs="宋体"/>
          <w:szCs w:val="21"/>
        </w:rPr>
        <w:t xml:space="preserve"> 如果由于任何原因使得本合同中的某些条款或约定无效或无法履行,这种情况不应影响到本合同中其他条款或约定的有效性,也不应在任何方面使得本合同完全失效。</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如果发生上述情况并且发承包双方认为有必要对已经无效或无法履行的条款或约定进行修改时，发承包双方应本着不改变本合同的最终目的并最大限度地保证本合同的最终目的不受影响的原则进行修改和协商。</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2.1.4</w:t>
      </w:r>
      <w:r>
        <w:rPr>
          <w:rFonts w:hint="eastAsia" w:ascii="宋体" w:hAnsi="宋体" w:cs="宋体"/>
          <w:szCs w:val="21"/>
        </w:rPr>
        <w:t>除非合同中另有约定，第2.1款中提及的构成本合同的全部合同文件（包括可能对它们的修改或补充）应是本合同的全部和完整的内容。除此以外的发承包双方之间在签订本合同之前存在的任何谈判、协商、纪要、备忘录或协议等，除非在签订合同以前或以后经双方同意纳入本合同，否则均不构成本工程合同文件的组成部分。</w:t>
      </w:r>
    </w:p>
    <w:p>
      <w:pPr>
        <w:adjustRightInd w:val="0"/>
        <w:snapToGrid w:val="0"/>
        <w:spacing w:line="360" w:lineRule="auto"/>
        <w:ind w:firstLine="422" w:firstLineChars="200"/>
        <w:rPr>
          <w:rFonts w:ascii="宋体" w:hAnsi="宋体" w:cs="宋体"/>
          <w:b/>
          <w:szCs w:val="21"/>
        </w:rPr>
      </w:pPr>
      <w:bookmarkStart w:id="1377" w:name="_Toc101155811"/>
      <w:bookmarkStart w:id="1378" w:name="_Toc193188681"/>
      <w:bookmarkStart w:id="1379" w:name="_Toc123715511"/>
      <w:bookmarkStart w:id="1380" w:name="_Toc231612765"/>
      <w:bookmarkStart w:id="1381" w:name="_Toc101156014"/>
      <w:bookmarkStart w:id="1382" w:name="_Toc98239432"/>
      <w:bookmarkStart w:id="1383" w:name="_Toc98238968"/>
      <w:bookmarkStart w:id="1384" w:name="_Toc99792326"/>
      <w:bookmarkStart w:id="1385" w:name="_Toc100123536"/>
      <w:bookmarkStart w:id="1386" w:name="_Toc115511329"/>
      <w:r>
        <w:rPr>
          <w:rFonts w:hint="eastAsia" w:ascii="宋体" w:hAnsi="宋体" w:cs="宋体"/>
          <w:b/>
          <w:szCs w:val="21"/>
        </w:rPr>
        <w:t>3、语言文字和适用法律、标准及规范</w:t>
      </w:r>
      <w:bookmarkEnd w:id="1377"/>
      <w:bookmarkEnd w:id="1378"/>
      <w:bookmarkEnd w:id="1379"/>
      <w:bookmarkEnd w:id="1380"/>
      <w:bookmarkEnd w:id="1381"/>
      <w:bookmarkEnd w:id="1382"/>
      <w:bookmarkEnd w:id="1383"/>
      <w:bookmarkEnd w:id="1384"/>
      <w:bookmarkEnd w:id="1385"/>
      <w:bookmarkEnd w:id="1386"/>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3.1 本合同除使用汉语外，还使用无其他语言文字。</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3.2 适用法律和法规</w:t>
      </w:r>
    </w:p>
    <w:p>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需要明示的法律、行政法规：</w:t>
      </w:r>
      <w:r>
        <w:rPr>
          <w:rFonts w:hint="eastAsia" w:ascii="宋体" w:hAnsi="宋体" w:cs="宋体"/>
          <w:szCs w:val="21"/>
          <w:u w:val="single"/>
        </w:rPr>
        <w:t xml:space="preserve">  国家及重庆市现行相关法律、法规、规章，以及有关三期地质灾害防治的规定。</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 适用标准、规范</w:t>
      </w:r>
    </w:p>
    <w:p>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适用标准、规范的名称：</w:t>
      </w:r>
      <w:r>
        <w:rPr>
          <w:rFonts w:hint="eastAsia" w:ascii="宋体" w:hAnsi="宋体" w:cs="宋体"/>
          <w:szCs w:val="21"/>
          <w:u w:val="single"/>
        </w:rPr>
        <w:t>执行国家现行有效施工验收规范、质量标准及相关规定，同时执行地灾害相关管理规定及国家公安部对爆破资质单位所规定的相关管理要求。</w:t>
      </w:r>
    </w:p>
    <w:p>
      <w:pPr>
        <w:snapToGrid w:val="0"/>
        <w:spacing w:line="360" w:lineRule="auto"/>
        <w:ind w:firstLine="420" w:firstLineChars="200"/>
        <w:rPr>
          <w:rFonts w:ascii="宋体" w:hAnsi="宋体" w:cs="宋体"/>
          <w:szCs w:val="21"/>
        </w:rPr>
      </w:pPr>
      <w:r>
        <w:rPr>
          <w:rFonts w:hint="eastAsia" w:ascii="宋体" w:hAnsi="宋体" w:cs="宋体"/>
          <w:szCs w:val="21"/>
        </w:rPr>
        <w:t>发包人提供标准、规范的时间：</w:t>
      </w:r>
      <w:r>
        <w:rPr>
          <w:rFonts w:hint="eastAsia" w:ascii="宋体" w:hAnsi="宋体" w:cs="宋体"/>
          <w:szCs w:val="21"/>
          <w:u w:val="single"/>
        </w:rPr>
        <w:t>发包人只在招标文件中提供适用的标准及规范索引，由承包人自行收集或购买并承担相应费用。</w:t>
      </w:r>
    </w:p>
    <w:p>
      <w:pPr>
        <w:snapToGrid w:val="0"/>
        <w:spacing w:line="360" w:lineRule="auto"/>
        <w:ind w:firstLine="420" w:firstLineChars="200"/>
        <w:rPr>
          <w:rFonts w:ascii="宋体" w:hAnsi="宋体" w:cs="宋体"/>
          <w:szCs w:val="21"/>
          <w:u w:val="single"/>
        </w:rPr>
      </w:pPr>
      <w:r>
        <w:rPr>
          <w:rFonts w:hint="eastAsia" w:ascii="宋体" w:hAnsi="宋体" w:cs="宋体"/>
          <w:szCs w:val="21"/>
        </w:rPr>
        <w:t>国内没有相应标准、规范时的约定：</w:t>
      </w:r>
      <w:r>
        <w:rPr>
          <w:rFonts w:hint="eastAsia" w:ascii="宋体" w:hAnsi="宋体" w:cs="宋体"/>
          <w:szCs w:val="21"/>
          <w:u w:val="single"/>
        </w:rPr>
        <w:t xml:space="preserve">按通用条款执行。  </w:t>
      </w:r>
    </w:p>
    <w:p>
      <w:pPr>
        <w:adjustRightInd w:val="0"/>
        <w:snapToGrid w:val="0"/>
        <w:spacing w:line="360" w:lineRule="auto"/>
        <w:ind w:firstLine="422" w:firstLineChars="200"/>
        <w:rPr>
          <w:rFonts w:ascii="宋体" w:hAnsi="宋体" w:cs="宋体"/>
          <w:b/>
          <w:szCs w:val="21"/>
        </w:rPr>
      </w:pPr>
      <w:bookmarkStart w:id="1387" w:name="_Toc123715512"/>
      <w:bookmarkStart w:id="1388" w:name="_Toc101155812"/>
      <w:bookmarkStart w:id="1389" w:name="_Toc115511330"/>
      <w:bookmarkStart w:id="1390" w:name="_Toc231612766"/>
      <w:bookmarkStart w:id="1391" w:name="_Toc99792327"/>
      <w:bookmarkStart w:id="1392" w:name="_Toc101156015"/>
      <w:bookmarkStart w:id="1393" w:name="_Toc98239433"/>
      <w:bookmarkStart w:id="1394" w:name="_Toc100123537"/>
      <w:bookmarkStart w:id="1395" w:name="_Toc98238969"/>
      <w:bookmarkStart w:id="1396" w:name="_Toc193188682"/>
      <w:r>
        <w:rPr>
          <w:rFonts w:hint="eastAsia" w:ascii="宋体" w:hAnsi="宋体" w:cs="宋体"/>
          <w:b/>
          <w:szCs w:val="21"/>
        </w:rPr>
        <w:t>4、图纸</w:t>
      </w:r>
      <w:bookmarkEnd w:id="1387"/>
      <w:bookmarkEnd w:id="1388"/>
      <w:bookmarkEnd w:id="1389"/>
      <w:bookmarkEnd w:id="1390"/>
      <w:bookmarkEnd w:id="1391"/>
      <w:bookmarkEnd w:id="1392"/>
      <w:bookmarkEnd w:id="1393"/>
      <w:bookmarkEnd w:id="1394"/>
      <w:bookmarkEnd w:id="1395"/>
      <w:bookmarkEnd w:id="1396"/>
    </w:p>
    <w:p>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4.1 发包人向承包人提供图纸日期和套数：</w:t>
      </w:r>
      <w:r>
        <w:rPr>
          <w:rFonts w:hint="eastAsia" w:ascii="宋体" w:hAnsi="宋体" w:cs="宋体"/>
          <w:szCs w:val="21"/>
          <w:u w:val="single"/>
        </w:rPr>
        <w:t>合同签订后7天内提供2套施工图，若只能分期提供图纸的情况，发包人在相应的工程部位开始施工前提供相应的图纸。</w:t>
      </w:r>
    </w:p>
    <w:p>
      <w:pPr>
        <w:snapToGrid w:val="0"/>
        <w:spacing w:line="360" w:lineRule="auto"/>
        <w:ind w:firstLine="420" w:firstLineChars="200"/>
        <w:rPr>
          <w:rFonts w:ascii="宋体" w:hAnsi="宋体" w:cs="宋体"/>
          <w:szCs w:val="21"/>
          <w:u w:val="single"/>
        </w:rPr>
      </w:pPr>
      <w:r>
        <w:rPr>
          <w:rFonts w:hint="eastAsia" w:ascii="宋体" w:hAnsi="宋体" w:cs="宋体"/>
          <w:szCs w:val="21"/>
        </w:rPr>
        <w:t>发包人对图纸的保密要求：</w:t>
      </w:r>
      <w:r>
        <w:rPr>
          <w:rFonts w:hint="eastAsia" w:ascii="宋体" w:hAnsi="宋体" w:cs="宋体"/>
          <w:szCs w:val="21"/>
          <w:u w:val="single"/>
        </w:rPr>
        <w:t>参见通用条款。</w:t>
      </w:r>
    </w:p>
    <w:p>
      <w:pPr>
        <w:snapToGrid w:val="0"/>
        <w:spacing w:line="360" w:lineRule="auto"/>
        <w:ind w:firstLine="420" w:firstLineChars="200"/>
        <w:rPr>
          <w:rFonts w:ascii="宋体" w:hAnsi="宋体" w:cs="宋体"/>
          <w:szCs w:val="21"/>
          <w:u w:val="single"/>
        </w:rPr>
      </w:pPr>
      <w:r>
        <w:rPr>
          <w:rFonts w:hint="eastAsia" w:ascii="宋体" w:hAnsi="宋体" w:cs="宋体"/>
          <w:szCs w:val="21"/>
        </w:rPr>
        <w:t xml:space="preserve">使用国外图纸的要求及费用承担： </w:t>
      </w:r>
      <w:r>
        <w:rPr>
          <w:rFonts w:hint="eastAsia" w:ascii="宋体" w:hAnsi="宋体" w:cs="宋体"/>
          <w:szCs w:val="21"/>
          <w:u w:val="single"/>
        </w:rPr>
        <w:t xml:space="preserve">无。 </w:t>
      </w:r>
    </w:p>
    <w:p>
      <w:pPr>
        <w:adjustRightInd w:val="0"/>
        <w:snapToGrid w:val="0"/>
        <w:spacing w:line="360" w:lineRule="auto"/>
        <w:rPr>
          <w:rFonts w:ascii="方正黑体_GBK" w:hAnsi="宋体" w:eastAsia="方正黑体_GBK" w:cs="宋体"/>
          <w:b/>
          <w:bCs/>
          <w:szCs w:val="21"/>
        </w:rPr>
      </w:pPr>
      <w:bookmarkStart w:id="1397" w:name="_Toc231612960"/>
      <w:bookmarkStart w:id="1398" w:name="_Toc231613107"/>
      <w:bookmarkStart w:id="1399" w:name="_Toc100123538"/>
      <w:bookmarkStart w:id="1400" w:name="_Toc98238970"/>
      <w:bookmarkStart w:id="1401" w:name="_Toc193188683"/>
      <w:bookmarkStart w:id="1402" w:name="_Toc231612767"/>
      <w:bookmarkStart w:id="1403" w:name="_Toc123715513"/>
      <w:bookmarkStart w:id="1404" w:name="_Toc101155813"/>
      <w:bookmarkStart w:id="1405" w:name="_Toc99792328"/>
      <w:bookmarkStart w:id="1406" w:name="_Toc115511331"/>
      <w:bookmarkStart w:id="1407" w:name="_Toc98239434"/>
      <w:bookmarkStart w:id="1408" w:name="_Toc101156016"/>
      <w:r>
        <w:rPr>
          <w:rFonts w:hint="eastAsia" w:ascii="方正黑体_GBK" w:hAnsi="宋体" w:eastAsia="方正黑体_GBK" w:cs="宋体"/>
          <w:b/>
          <w:bCs/>
          <w:szCs w:val="21"/>
        </w:rPr>
        <w:t>二、双方一般权利和义务</w:t>
      </w:r>
      <w:bookmarkEnd w:id="1397"/>
      <w:bookmarkEnd w:id="1398"/>
      <w:bookmarkEnd w:id="1399"/>
      <w:bookmarkEnd w:id="1400"/>
      <w:bookmarkEnd w:id="1401"/>
      <w:bookmarkEnd w:id="1402"/>
      <w:bookmarkEnd w:id="1403"/>
      <w:bookmarkEnd w:id="1404"/>
      <w:bookmarkEnd w:id="1405"/>
      <w:bookmarkEnd w:id="1406"/>
      <w:bookmarkEnd w:id="1407"/>
      <w:bookmarkEnd w:id="1408"/>
    </w:p>
    <w:p>
      <w:pPr>
        <w:adjustRightInd w:val="0"/>
        <w:snapToGrid w:val="0"/>
        <w:spacing w:line="360" w:lineRule="auto"/>
        <w:ind w:firstLine="422" w:firstLineChars="200"/>
        <w:rPr>
          <w:rFonts w:ascii="宋体" w:hAnsi="宋体" w:cs="宋体"/>
          <w:b/>
          <w:szCs w:val="21"/>
        </w:rPr>
      </w:pPr>
      <w:bookmarkStart w:id="1409" w:name="_Toc231612768"/>
      <w:bookmarkStart w:id="1410" w:name="_Toc123715514"/>
      <w:bookmarkStart w:id="1411" w:name="_Toc98238971"/>
      <w:bookmarkStart w:id="1412" w:name="_Toc101155814"/>
      <w:bookmarkStart w:id="1413" w:name="_Toc100123539"/>
      <w:bookmarkStart w:id="1414" w:name="_Toc99792329"/>
      <w:bookmarkStart w:id="1415" w:name="_Toc193188684"/>
      <w:bookmarkStart w:id="1416" w:name="_Toc115511332"/>
      <w:bookmarkStart w:id="1417" w:name="_Toc98239435"/>
      <w:bookmarkStart w:id="1418" w:name="_Toc101156017"/>
      <w:r>
        <w:rPr>
          <w:rFonts w:hint="eastAsia" w:ascii="宋体" w:hAnsi="宋体" w:cs="宋体"/>
          <w:b/>
          <w:szCs w:val="21"/>
        </w:rPr>
        <w:t>5、工程师</w:t>
      </w:r>
      <w:bookmarkEnd w:id="1409"/>
      <w:bookmarkEnd w:id="1410"/>
      <w:bookmarkEnd w:id="1411"/>
      <w:bookmarkEnd w:id="1412"/>
      <w:bookmarkEnd w:id="1413"/>
      <w:bookmarkEnd w:id="1414"/>
      <w:bookmarkEnd w:id="1415"/>
      <w:bookmarkEnd w:id="1416"/>
      <w:bookmarkEnd w:id="1417"/>
      <w:bookmarkEnd w:id="1418"/>
    </w:p>
    <w:p>
      <w:pPr>
        <w:adjustRightInd w:val="0"/>
        <w:snapToGrid w:val="0"/>
        <w:spacing w:line="360" w:lineRule="auto"/>
        <w:ind w:firstLine="420" w:firstLineChars="200"/>
        <w:rPr>
          <w:rFonts w:ascii="宋体" w:hAnsi="宋体" w:cs="宋体"/>
          <w:szCs w:val="21"/>
        </w:rPr>
      </w:pPr>
      <w:bookmarkStart w:id="1419" w:name="_Toc231612961"/>
      <w:bookmarkStart w:id="1420" w:name="_Toc231613108"/>
      <w:bookmarkStart w:id="1421" w:name="_Toc231612769"/>
      <w:r>
        <w:rPr>
          <w:rFonts w:hint="eastAsia" w:ascii="宋体" w:hAnsi="宋体" w:cs="宋体"/>
          <w:szCs w:val="21"/>
        </w:rPr>
        <w:t>5.1 监理单位委派的工程师</w:t>
      </w:r>
      <w:bookmarkEnd w:id="1419"/>
      <w:bookmarkEnd w:id="1420"/>
      <w:bookmarkEnd w:id="1421"/>
    </w:p>
    <w:p>
      <w:pPr>
        <w:snapToGrid w:val="0"/>
        <w:spacing w:line="360" w:lineRule="auto"/>
        <w:ind w:firstLine="420" w:firstLineChars="200"/>
        <w:rPr>
          <w:rFonts w:ascii="宋体" w:hAnsi="宋体" w:cs="宋体"/>
          <w:szCs w:val="21"/>
          <w:u w:val="single"/>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总监工程师</w:t>
      </w:r>
    </w:p>
    <w:p>
      <w:pPr>
        <w:snapToGrid w:val="0"/>
        <w:spacing w:line="360" w:lineRule="auto"/>
        <w:ind w:firstLine="420" w:firstLineChars="200"/>
        <w:rPr>
          <w:rFonts w:ascii="宋体" w:hAnsi="宋体" w:cs="宋体"/>
          <w:szCs w:val="21"/>
          <w:u w:val="single"/>
        </w:rPr>
      </w:pPr>
      <w:r>
        <w:rPr>
          <w:rFonts w:hint="eastAsia" w:ascii="宋体" w:hAnsi="宋体" w:cs="宋体"/>
          <w:szCs w:val="21"/>
        </w:rPr>
        <w:t>发包人委托的职权：</w:t>
      </w:r>
      <w:r>
        <w:rPr>
          <w:rFonts w:hint="eastAsia" w:ascii="宋体" w:hAnsi="宋体" w:cs="宋体"/>
          <w:szCs w:val="21"/>
          <w:u w:val="single"/>
        </w:rPr>
        <w:t>以发包人与监理公司签订的相关合同、协议为准。</w:t>
      </w:r>
    </w:p>
    <w:p>
      <w:pPr>
        <w:snapToGrid w:val="0"/>
        <w:spacing w:line="360" w:lineRule="auto"/>
        <w:ind w:firstLine="420" w:firstLineChars="200"/>
        <w:rPr>
          <w:rFonts w:ascii="宋体" w:hAnsi="宋体" w:cs="宋体"/>
          <w:szCs w:val="21"/>
          <w:u w:val="single"/>
        </w:rPr>
      </w:pPr>
      <w:r>
        <w:rPr>
          <w:rFonts w:hint="eastAsia" w:ascii="宋体" w:hAnsi="宋体" w:cs="宋体"/>
          <w:szCs w:val="21"/>
        </w:rPr>
        <w:t>需要取得发包人批准才能行使的职权：</w:t>
      </w:r>
      <w:r>
        <w:rPr>
          <w:rFonts w:hint="eastAsia" w:ascii="宋体" w:hAnsi="宋体" w:cs="宋体"/>
          <w:szCs w:val="21"/>
          <w:u w:val="single"/>
        </w:rPr>
        <w:t>以发包人与监理公司签订的相关合同、协议为准。</w:t>
      </w:r>
    </w:p>
    <w:p>
      <w:pPr>
        <w:snapToGrid w:val="0"/>
        <w:spacing w:line="360" w:lineRule="auto"/>
        <w:ind w:firstLine="420" w:firstLineChars="200"/>
        <w:rPr>
          <w:rFonts w:ascii="宋体" w:hAnsi="宋体" w:cs="宋体"/>
          <w:szCs w:val="21"/>
        </w:rPr>
      </w:pPr>
      <w:bookmarkStart w:id="1422" w:name="_Toc231612770"/>
      <w:bookmarkStart w:id="1423" w:name="_Toc231613109"/>
      <w:bookmarkStart w:id="1424" w:name="_Toc231612962"/>
      <w:r>
        <w:rPr>
          <w:rFonts w:hint="eastAsia" w:ascii="宋体" w:hAnsi="宋体" w:cs="宋体"/>
          <w:szCs w:val="21"/>
        </w:rPr>
        <w:t>5.3 发包人派驻的工程师</w:t>
      </w:r>
      <w:bookmarkEnd w:id="1422"/>
      <w:bookmarkEnd w:id="1423"/>
      <w:bookmarkEnd w:id="1424"/>
    </w:p>
    <w:p>
      <w:pPr>
        <w:snapToGrid w:val="0"/>
        <w:spacing w:line="360" w:lineRule="auto"/>
        <w:ind w:firstLine="420" w:firstLineChars="200"/>
        <w:rPr>
          <w:rFonts w:ascii="宋体" w:hAnsi="宋体" w:cs="宋体"/>
          <w:szCs w:val="21"/>
        </w:rPr>
      </w:pPr>
      <w:r>
        <w:rPr>
          <w:rFonts w:hint="eastAsia" w:ascii="宋体" w:hAnsi="宋体" w:cs="宋体"/>
          <w:szCs w:val="21"/>
        </w:rPr>
        <w:t>姓名：</w:t>
      </w:r>
      <w:r>
        <w:rPr>
          <w:rFonts w:hint="eastAsia" w:ascii="宋体" w:hAnsi="宋体" w:cs="宋体"/>
          <w:szCs w:val="21"/>
          <w:u w:val="single"/>
        </w:rPr>
        <w:t>发包人另行确定。</w:t>
      </w:r>
      <w:r>
        <w:rPr>
          <w:rFonts w:hint="eastAsia" w:ascii="宋体" w:hAnsi="宋体" w:cs="宋体"/>
          <w:szCs w:val="21"/>
        </w:rPr>
        <w:t xml:space="preserve">                           职务：</w:t>
      </w:r>
      <w:r>
        <w:rPr>
          <w:rFonts w:hint="eastAsia" w:ascii="宋体" w:hAnsi="宋体" w:cs="宋体"/>
          <w:szCs w:val="21"/>
          <w:u w:val="single"/>
        </w:rPr>
        <w:t>驻地工程师</w:t>
      </w:r>
    </w:p>
    <w:p>
      <w:pPr>
        <w:snapToGrid w:val="0"/>
        <w:spacing w:line="360" w:lineRule="auto"/>
        <w:ind w:firstLine="420" w:firstLineChars="200"/>
        <w:rPr>
          <w:rFonts w:ascii="宋体" w:hAnsi="宋体" w:cs="宋体"/>
          <w:szCs w:val="21"/>
          <w:u w:val="single"/>
        </w:rPr>
      </w:pPr>
      <w:r>
        <w:rPr>
          <w:rFonts w:hint="eastAsia" w:ascii="宋体" w:hAnsi="宋体" w:cs="宋体"/>
          <w:szCs w:val="21"/>
        </w:rPr>
        <w:t>职权：</w:t>
      </w:r>
      <w:r>
        <w:rPr>
          <w:rFonts w:hint="eastAsia" w:ascii="宋体" w:hAnsi="宋体" w:cs="宋体"/>
          <w:szCs w:val="21"/>
          <w:u w:val="single"/>
        </w:rPr>
        <w:t>发包人另行确定。</w:t>
      </w:r>
    </w:p>
    <w:p>
      <w:pPr>
        <w:snapToGrid w:val="0"/>
        <w:spacing w:line="360" w:lineRule="auto"/>
        <w:ind w:firstLine="420" w:firstLineChars="200"/>
        <w:rPr>
          <w:rFonts w:ascii="宋体" w:hAnsi="宋体" w:cs="宋体"/>
          <w:szCs w:val="21"/>
          <w:u w:val="single"/>
        </w:rPr>
      </w:pPr>
      <w:r>
        <w:rPr>
          <w:rFonts w:hint="eastAsia" w:ascii="宋体" w:hAnsi="宋体" w:cs="宋体"/>
          <w:szCs w:val="21"/>
        </w:rPr>
        <w:t>5.6 不实行监理的，工程师的职权：</w:t>
      </w:r>
      <w:r>
        <w:rPr>
          <w:rFonts w:hint="eastAsia" w:ascii="宋体" w:hAnsi="宋体" w:cs="宋体"/>
          <w:szCs w:val="21"/>
          <w:u w:val="single"/>
        </w:rPr>
        <w:t>发包人另行确定。</w:t>
      </w:r>
    </w:p>
    <w:p>
      <w:pPr>
        <w:adjustRightInd w:val="0"/>
        <w:snapToGrid w:val="0"/>
        <w:spacing w:line="360" w:lineRule="auto"/>
        <w:ind w:firstLine="422" w:firstLineChars="200"/>
        <w:rPr>
          <w:rFonts w:ascii="宋体" w:hAnsi="宋体" w:cs="宋体"/>
          <w:b/>
          <w:szCs w:val="21"/>
        </w:rPr>
      </w:pPr>
      <w:bookmarkStart w:id="1425" w:name="_Toc231612771"/>
      <w:bookmarkStart w:id="1426" w:name="_Toc101155815"/>
      <w:bookmarkStart w:id="1427" w:name="_Toc98239436"/>
      <w:bookmarkStart w:id="1428" w:name="_Toc100123540"/>
      <w:bookmarkStart w:id="1429" w:name="_Toc99792330"/>
      <w:bookmarkStart w:id="1430" w:name="_Toc123715515"/>
      <w:bookmarkStart w:id="1431" w:name="_Toc98238972"/>
      <w:bookmarkStart w:id="1432" w:name="_Toc193188685"/>
      <w:bookmarkStart w:id="1433" w:name="_Toc115511333"/>
      <w:bookmarkStart w:id="1434" w:name="_Toc101156018"/>
      <w:r>
        <w:rPr>
          <w:rFonts w:hint="eastAsia" w:ascii="宋体" w:hAnsi="宋体" w:cs="宋体"/>
          <w:b/>
          <w:szCs w:val="21"/>
        </w:rPr>
        <w:t>7、项目经理</w:t>
      </w:r>
      <w:bookmarkEnd w:id="1425"/>
      <w:bookmarkEnd w:id="1426"/>
      <w:bookmarkEnd w:id="1427"/>
      <w:bookmarkEnd w:id="1428"/>
      <w:bookmarkEnd w:id="1429"/>
      <w:bookmarkEnd w:id="1430"/>
      <w:bookmarkEnd w:id="1431"/>
      <w:bookmarkEnd w:id="1432"/>
      <w:bookmarkEnd w:id="1433"/>
      <w:bookmarkEnd w:id="1434"/>
    </w:p>
    <w:p>
      <w:pPr>
        <w:snapToGrid w:val="0"/>
        <w:spacing w:line="360" w:lineRule="auto"/>
        <w:ind w:firstLine="420" w:firstLineChars="200"/>
        <w:rPr>
          <w:rFonts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项目经理 </w:t>
      </w:r>
    </w:p>
    <w:p>
      <w:pPr>
        <w:adjustRightInd w:val="0"/>
        <w:snapToGrid w:val="0"/>
        <w:spacing w:line="360" w:lineRule="auto"/>
        <w:ind w:firstLine="422" w:firstLineChars="200"/>
        <w:rPr>
          <w:rFonts w:ascii="宋体" w:hAnsi="宋体" w:cs="宋体"/>
          <w:b/>
          <w:szCs w:val="21"/>
        </w:rPr>
      </w:pPr>
      <w:bookmarkStart w:id="1435" w:name="_Toc231612772"/>
      <w:bookmarkStart w:id="1436" w:name="_Toc100123541"/>
      <w:bookmarkStart w:id="1437" w:name="_Toc98238973"/>
      <w:bookmarkStart w:id="1438" w:name="_Toc98239437"/>
      <w:bookmarkStart w:id="1439" w:name="_Toc101156019"/>
      <w:bookmarkStart w:id="1440" w:name="_Toc99792331"/>
      <w:bookmarkStart w:id="1441" w:name="_Toc115511334"/>
      <w:bookmarkStart w:id="1442" w:name="_Toc101155816"/>
      <w:bookmarkStart w:id="1443" w:name="_Toc123715516"/>
      <w:bookmarkStart w:id="1444" w:name="_Toc193188686"/>
      <w:r>
        <w:rPr>
          <w:rFonts w:hint="eastAsia" w:ascii="宋体" w:hAnsi="宋体" w:cs="宋体"/>
          <w:b/>
          <w:szCs w:val="21"/>
        </w:rPr>
        <w:t>8、发包人工作</w:t>
      </w:r>
      <w:bookmarkEnd w:id="1435"/>
      <w:bookmarkEnd w:id="1436"/>
      <w:bookmarkEnd w:id="1437"/>
      <w:bookmarkEnd w:id="1438"/>
      <w:bookmarkEnd w:id="1439"/>
      <w:bookmarkEnd w:id="1440"/>
      <w:bookmarkEnd w:id="1441"/>
      <w:bookmarkEnd w:id="1442"/>
      <w:bookmarkEnd w:id="1443"/>
      <w:bookmarkEnd w:id="1444"/>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8.1 发包人应按约定的时间和要求完成以下工作：</w:t>
      </w:r>
    </w:p>
    <w:p>
      <w:pPr>
        <w:snapToGrid w:val="0"/>
        <w:spacing w:line="360" w:lineRule="auto"/>
        <w:ind w:firstLine="420" w:firstLineChars="200"/>
        <w:rPr>
          <w:rFonts w:ascii="宋体" w:hAnsi="宋体" w:cs="宋体"/>
          <w:szCs w:val="21"/>
        </w:rPr>
      </w:pPr>
      <w:r>
        <w:rPr>
          <w:rFonts w:hint="eastAsia" w:ascii="宋体" w:hAnsi="宋体" w:cs="宋体"/>
          <w:szCs w:val="21"/>
        </w:rPr>
        <w:t>(1) 施工场地具备施工条件的要求及完成的时间：</w:t>
      </w:r>
      <w:r>
        <w:rPr>
          <w:rFonts w:hint="eastAsia" w:ascii="宋体" w:hAnsi="宋体" w:cs="宋体"/>
          <w:szCs w:val="21"/>
          <w:u w:val="single"/>
        </w:rPr>
        <w:t>开工前完成通用条款中约定的条件及要求。</w:t>
      </w:r>
    </w:p>
    <w:p>
      <w:pPr>
        <w:snapToGrid w:val="0"/>
        <w:spacing w:line="360" w:lineRule="auto"/>
        <w:ind w:firstLine="420" w:firstLineChars="200"/>
        <w:rPr>
          <w:rFonts w:ascii="宋体" w:hAnsi="宋体" w:cs="宋体"/>
          <w:szCs w:val="21"/>
          <w:u w:val="single"/>
        </w:rPr>
      </w:pPr>
      <w:r>
        <w:rPr>
          <w:rFonts w:hint="eastAsia" w:ascii="宋体" w:hAnsi="宋体" w:cs="宋体"/>
          <w:szCs w:val="21"/>
        </w:rPr>
        <w:t>(2) 将施工所需的水、电线路接至施工场地的时间、地点和供应要求：</w:t>
      </w:r>
      <w:r>
        <w:rPr>
          <w:rFonts w:hint="eastAsia" w:ascii="宋体" w:hAnsi="宋体" w:cs="宋体"/>
          <w:szCs w:val="21"/>
          <w:u w:val="single"/>
        </w:rPr>
        <w:t>从接口至施工现场的施工用水的管道及临时用电线路的铺设均由承包人按批准的施工方案实施，发包人承担由此发生的费用。</w:t>
      </w:r>
    </w:p>
    <w:p>
      <w:pPr>
        <w:snapToGrid w:val="0"/>
        <w:spacing w:line="360" w:lineRule="auto"/>
        <w:ind w:firstLine="420" w:firstLineChars="200"/>
        <w:rPr>
          <w:rFonts w:ascii="宋体" w:hAnsi="宋体" w:cs="宋体"/>
          <w:szCs w:val="21"/>
          <w:u w:val="single"/>
        </w:rPr>
      </w:pPr>
      <w:r>
        <w:rPr>
          <w:rFonts w:hint="eastAsia" w:ascii="宋体" w:hAnsi="宋体" w:cs="宋体"/>
          <w:szCs w:val="21"/>
        </w:rPr>
        <w:t>(3) 施工场地与公共道路的通道开通时间和要求：</w:t>
      </w:r>
      <w:r>
        <w:rPr>
          <w:rFonts w:hint="eastAsia" w:ascii="宋体" w:hAnsi="宋体" w:cs="宋体"/>
          <w:szCs w:val="21"/>
          <w:u w:val="single"/>
        </w:rPr>
        <w:t>由承包人按批准的施工方案实施，发包人承担由此发生的费用。</w:t>
      </w:r>
    </w:p>
    <w:p>
      <w:pPr>
        <w:snapToGrid w:val="0"/>
        <w:spacing w:line="360" w:lineRule="auto"/>
        <w:ind w:firstLine="420" w:firstLineChars="200"/>
        <w:rPr>
          <w:rFonts w:ascii="宋体" w:hAnsi="宋体" w:cs="宋体"/>
          <w:szCs w:val="21"/>
          <w:u w:val="single"/>
        </w:rPr>
      </w:pPr>
      <w:r>
        <w:rPr>
          <w:rFonts w:hint="eastAsia" w:ascii="宋体" w:hAnsi="宋体" w:cs="宋体"/>
          <w:szCs w:val="21"/>
        </w:rPr>
        <w:t>(4) 工程地质和地下管线资料的提供时间：</w:t>
      </w:r>
      <w:r>
        <w:rPr>
          <w:rFonts w:hint="eastAsia" w:ascii="宋体" w:hAnsi="宋体" w:cs="宋体"/>
          <w:szCs w:val="21"/>
          <w:u w:val="single"/>
        </w:rPr>
        <w:t>与招标文件同时发放</w:t>
      </w:r>
      <w:r>
        <w:rPr>
          <w:rFonts w:hint="eastAsia" w:ascii="宋体" w:hAnsi="宋体" w:cs="宋体"/>
          <w:szCs w:val="21"/>
        </w:rPr>
        <w:t>。</w:t>
      </w:r>
    </w:p>
    <w:p>
      <w:pPr>
        <w:snapToGrid w:val="0"/>
        <w:spacing w:line="360" w:lineRule="auto"/>
        <w:ind w:firstLine="420" w:firstLineChars="200"/>
        <w:rPr>
          <w:rFonts w:ascii="宋体" w:hAnsi="宋体" w:cs="宋体"/>
          <w:szCs w:val="21"/>
          <w:u w:val="single"/>
        </w:rPr>
      </w:pPr>
      <w:r>
        <w:rPr>
          <w:rFonts w:hint="eastAsia" w:ascii="宋体" w:hAnsi="宋体" w:cs="宋体"/>
          <w:szCs w:val="21"/>
        </w:rPr>
        <w:t>(5) 由发包人办理的施工所需证件、批件的名称和完成时间：</w:t>
      </w:r>
      <w:r>
        <w:rPr>
          <w:rFonts w:hint="eastAsia" w:ascii="宋体" w:hAnsi="宋体" w:cs="宋体"/>
          <w:szCs w:val="21"/>
          <w:u w:val="single"/>
        </w:rPr>
        <w:t>开工前由发包人向承包人提供。</w:t>
      </w:r>
    </w:p>
    <w:p>
      <w:pPr>
        <w:snapToGrid w:val="0"/>
        <w:spacing w:line="360" w:lineRule="auto"/>
        <w:ind w:firstLine="420" w:firstLineChars="200"/>
        <w:rPr>
          <w:rFonts w:ascii="宋体" w:hAnsi="宋体" w:cs="宋体"/>
          <w:szCs w:val="21"/>
          <w:u w:val="single"/>
        </w:rPr>
      </w:pPr>
      <w:r>
        <w:rPr>
          <w:rFonts w:hint="eastAsia" w:ascii="宋体" w:hAnsi="宋体" w:cs="宋体"/>
          <w:szCs w:val="21"/>
        </w:rPr>
        <w:t>(6) 水准点与座标控制点交验要求：</w:t>
      </w:r>
      <w:r>
        <w:rPr>
          <w:rFonts w:hint="eastAsia" w:ascii="宋体" w:hAnsi="宋体" w:cs="宋体"/>
          <w:szCs w:val="21"/>
          <w:u w:val="single"/>
        </w:rPr>
        <w:t>工程开工前由发包人和监理工程师以书面形式提供给承包人，并组织现场校验。</w:t>
      </w:r>
    </w:p>
    <w:p>
      <w:pPr>
        <w:snapToGrid w:val="0"/>
        <w:spacing w:line="360" w:lineRule="auto"/>
        <w:ind w:firstLine="420" w:firstLineChars="200"/>
        <w:rPr>
          <w:rFonts w:ascii="宋体" w:hAnsi="宋体" w:cs="宋体"/>
          <w:szCs w:val="21"/>
          <w:u w:val="single"/>
        </w:rPr>
      </w:pPr>
      <w:r>
        <w:rPr>
          <w:rFonts w:hint="eastAsia" w:ascii="宋体" w:hAnsi="宋体" w:cs="宋体"/>
          <w:szCs w:val="21"/>
        </w:rPr>
        <w:t>(7) 图纸会审和设计交底时间：</w:t>
      </w:r>
      <w:r>
        <w:rPr>
          <w:rFonts w:hint="eastAsia" w:ascii="宋体" w:hAnsi="宋体" w:cs="宋体"/>
          <w:szCs w:val="21"/>
          <w:u w:val="single"/>
        </w:rPr>
        <w:t>在工程开工前由发包人组织承包人、监理单位和设计单位进行图纸会审并向承包人进行设计交底。</w:t>
      </w:r>
    </w:p>
    <w:p>
      <w:pPr>
        <w:snapToGrid w:val="0"/>
        <w:spacing w:line="360" w:lineRule="auto"/>
        <w:ind w:firstLine="420" w:firstLineChars="200"/>
        <w:rPr>
          <w:rFonts w:ascii="宋体" w:hAnsi="宋体" w:cs="宋体"/>
          <w:szCs w:val="21"/>
          <w:u w:val="single"/>
        </w:rPr>
      </w:pPr>
      <w:r>
        <w:rPr>
          <w:rFonts w:hint="eastAsia" w:ascii="宋体" w:hAnsi="宋体" w:cs="宋体"/>
          <w:szCs w:val="21"/>
        </w:rPr>
        <w:t>(8)  协调处理施工场地周围地下管线和邻近建筑物、构筑物（含文物保护建筑）、古树名木的保护工作：</w:t>
      </w:r>
      <w:r>
        <w:rPr>
          <w:rFonts w:hint="eastAsia" w:ascii="宋体" w:hAnsi="宋体" w:cs="宋体"/>
          <w:szCs w:val="21"/>
          <w:u w:val="single"/>
        </w:rPr>
        <w:t>由承包人按批准的防护方案实施，发包人承担由此发生的费用。</w:t>
      </w:r>
    </w:p>
    <w:p>
      <w:pPr>
        <w:snapToGrid w:val="0"/>
        <w:spacing w:line="360" w:lineRule="auto"/>
        <w:ind w:firstLine="420" w:firstLineChars="200"/>
        <w:rPr>
          <w:rFonts w:ascii="宋体" w:hAnsi="宋体" w:cs="宋体"/>
          <w:szCs w:val="21"/>
        </w:rPr>
      </w:pPr>
      <w:r>
        <w:rPr>
          <w:rFonts w:hint="eastAsia" w:ascii="宋体" w:hAnsi="宋体" w:cs="宋体"/>
          <w:szCs w:val="21"/>
        </w:rPr>
        <w:t>(9) 双方约定发包人应做的其他工作：</w:t>
      </w:r>
      <w:r>
        <w:rPr>
          <w:rFonts w:hint="eastAsia" w:ascii="宋体" w:hAnsi="宋体" w:cs="宋体"/>
          <w:szCs w:val="21"/>
          <w:u w:val="single"/>
        </w:rPr>
        <w:t xml:space="preserve">协助处理周边关系及环保的有关事宜。 </w:t>
      </w:r>
    </w:p>
    <w:p>
      <w:pPr>
        <w:snapToGrid w:val="0"/>
        <w:spacing w:line="360" w:lineRule="auto"/>
        <w:ind w:firstLine="420" w:firstLineChars="200"/>
        <w:rPr>
          <w:rFonts w:ascii="宋体" w:hAnsi="宋体" w:cs="宋体"/>
          <w:szCs w:val="21"/>
        </w:rPr>
      </w:pPr>
      <w:r>
        <w:rPr>
          <w:rFonts w:hint="eastAsia" w:ascii="宋体" w:hAnsi="宋体" w:cs="宋体"/>
          <w:szCs w:val="21"/>
        </w:rPr>
        <w:t>8.2 发包人委托承包人办理的工作：</w:t>
      </w:r>
      <w:r>
        <w:rPr>
          <w:rFonts w:hint="eastAsia" w:ascii="宋体" w:hAnsi="宋体" w:cs="宋体"/>
          <w:szCs w:val="21"/>
          <w:u w:val="single"/>
        </w:rPr>
        <w:t xml:space="preserve">   另议   </w:t>
      </w:r>
    </w:p>
    <w:p>
      <w:pPr>
        <w:adjustRightInd w:val="0"/>
        <w:snapToGrid w:val="0"/>
        <w:spacing w:line="360" w:lineRule="auto"/>
        <w:ind w:firstLine="422" w:firstLineChars="200"/>
        <w:rPr>
          <w:rFonts w:ascii="宋体" w:hAnsi="宋体" w:cs="宋体"/>
          <w:b/>
          <w:szCs w:val="21"/>
        </w:rPr>
      </w:pPr>
      <w:bookmarkStart w:id="1445" w:name="_Toc101156020"/>
      <w:bookmarkStart w:id="1446" w:name="_Toc101155817"/>
      <w:bookmarkStart w:id="1447" w:name="_Toc99792332"/>
      <w:bookmarkStart w:id="1448" w:name="_Toc100123542"/>
      <w:bookmarkStart w:id="1449" w:name="_Toc193188687"/>
      <w:bookmarkStart w:id="1450" w:name="_Toc115511335"/>
      <w:bookmarkStart w:id="1451" w:name="_Toc123715517"/>
      <w:bookmarkStart w:id="1452" w:name="_Toc98239438"/>
      <w:bookmarkStart w:id="1453" w:name="_Toc231612773"/>
      <w:bookmarkStart w:id="1454" w:name="_Toc98238974"/>
      <w:r>
        <w:rPr>
          <w:rFonts w:hint="eastAsia" w:ascii="宋体" w:hAnsi="宋体" w:cs="宋体"/>
          <w:b/>
          <w:szCs w:val="21"/>
        </w:rPr>
        <w:t>9、承包人工作</w:t>
      </w:r>
      <w:bookmarkEnd w:id="1445"/>
      <w:bookmarkEnd w:id="1446"/>
      <w:bookmarkEnd w:id="1447"/>
      <w:bookmarkEnd w:id="1448"/>
      <w:bookmarkEnd w:id="1449"/>
      <w:bookmarkEnd w:id="1450"/>
      <w:bookmarkEnd w:id="1451"/>
      <w:bookmarkEnd w:id="1452"/>
      <w:bookmarkEnd w:id="1453"/>
      <w:bookmarkEnd w:id="1454"/>
    </w:p>
    <w:p>
      <w:pPr>
        <w:adjustRightInd w:val="0"/>
        <w:snapToGrid w:val="0"/>
        <w:spacing w:line="360" w:lineRule="auto"/>
        <w:ind w:firstLine="420" w:firstLineChars="200"/>
        <w:rPr>
          <w:rFonts w:ascii="宋体" w:hAnsi="宋体" w:cs="宋体"/>
          <w:szCs w:val="21"/>
        </w:rPr>
      </w:pPr>
      <w:bookmarkStart w:id="1455" w:name="_Toc231612774"/>
      <w:bookmarkStart w:id="1456" w:name="_Toc231613110"/>
      <w:bookmarkStart w:id="1457" w:name="_Toc231612963"/>
      <w:bookmarkStart w:id="1458" w:name="_Toc123715518"/>
      <w:r>
        <w:rPr>
          <w:rFonts w:hint="eastAsia" w:ascii="宋体" w:hAnsi="宋体" w:cs="宋体"/>
          <w:szCs w:val="21"/>
        </w:rPr>
        <w:t>9.1承包人应按约定的时间和要求完成以下工作：</w:t>
      </w:r>
      <w:bookmarkEnd w:id="1455"/>
      <w:bookmarkEnd w:id="1456"/>
      <w:bookmarkEnd w:id="1457"/>
      <w:bookmarkEnd w:id="1458"/>
    </w:p>
    <w:p>
      <w:pPr>
        <w:snapToGrid w:val="0"/>
        <w:spacing w:line="360" w:lineRule="auto"/>
        <w:ind w:firstLine="420" w:firstLineChars="200"/>
        <w:rPr>
          <w:rFonts w:ascii="宋体" w:hAnsi="宋体" w:cs="宋体"/>
          <w:szCs w:val="21"/>
        </w:rPr>
      </w:pPr>
      <w:r>
        <w:rPr>
          <w:rFonts w:hint="eastAsia" w:ascii="宋体" w:hAnsi="宋体" w:cs="宋体"/>
          <w:szCs w:val="21"/>
        </w:rPr>
        <w:t>(1) 需由设计资质等级和业务范围允许的承包人完成的设计文件提交时间：无。</w:t>
      </w:r>
    </w:p>
    <w:p>
      <w:pPr>
        <w:snapToGrid w:val="0"/>
        <w:spacing w:line="360" w:lineRule="auto"/>
        <w:ind w:firstLine="420" w:firstLineChars="200"/>
        <w:rPr>
          <w:rFonts w:ascii="宋体" w:hAnsi="宋体" w:cs="宋体"/>
          <w:szCs w:val="21"/>
        </w:rPr>
      </w:pPr>
      <w:r>
        <w:rPr>
          <w:rFonts w:hint="eastAsia" w:ascii="宋体" w:hAnsi="宋体" w:cs="宋体"/>
          <w:szCs w:val="21"/>
        </w:rPr>
        <w:t>(2) 应提供计划、报表的名称及完成时间：按发包方要求。</w:t>
      </w:r>
    </w:p>
    <w:p>
      <w:pPr>
        <w:snapToGrid w:val="0"/>
        <w:spacing w:line="360" w:lineRule="auto"/>
        <w:ind w:firstLine="420" w:firstLineChars="200"/>
        <w:rPr>
          <w:rFonts w:ascii="宋体" w:hAnsi="宋体" w:cs="宋体"/>
          <w:szCs w:val="21"/>
        </w:rPr>
      </w:pPr>
      <w:r>
        <w:rPr>
          <w:rFonts w:hint="eastAsia" w:ascii="宋体" w:hAnsi="宋体" w:cs="宋体"/>
          <w:szCs w:val="21"/>
        </w:rPr>
        <w:t>(3) 承担施工安全保卫工作及非夜间施工照明的责任和要求：由承包人按甲方或监理工程师的要求承担全部此类责任并承担与此相关的费用。</w:t>
      </w:r>
    </w:p>
    <w:p>
      <w:pPr>
        <w:snapToGrid w:val="0"/>
        <w:spacing w:line="360" w:lineRule="auto"/>
        <w:ind w:firstLine="420" w:firstLineChars="200"/>
        <w:rPr>
          <w:rFonts w:ascii="宋体" w:hAnsi="宋体" w:cs="宋体"/>
          <w:szCs w:val="21"/>
        </w:rPr>
      </w:pPr>
      <w:r>
        <w:rPr>
          <w:rFonts w:hint="eastAsia" w:ascii="宋体" w:hAnsi="宋体" w:cs="宋体"/>
          <w:szCs w:val="21"/>
        </w:rPr>
        <w:t>(4) 向发包人和工程师提供的办公和生活房屋及设施的要求：</w:t>
      </w:r>
      <w:r>
        <w:rPr>
          <w:rFonts w:hint="eastAsia" w:ascii="宋体" w:hAnsi="宋体" w:cs="宋体"/>
          <w:szCs w:val="21"/>
          <w:u w:val="single"/>
        </w:rPr>
        <w:t xml:space="preserve">            。</w:t>
      </w:r>
    </w:p>
    <w:p>
      <w:pPr>
        <w:snapToGrid w:val="0"/>
        <w:spacing w:line="360" w:lineRule="auto"/>
        <w:ind w:firstLine="420" w:firstLineChars="200"/>
        <w:rPr>
          <w:rFonts w:ascii="宋体" w:hAnsi="宋体" w:cs="宋体"/>
          <w:szCs w:val="21"/>
          <w:u w:val="single"/>
        </w:rPr>
      </w:pPr>
      <w:r>
        <w:rPr>
          <w:rFonts w:hint="eastAsia" w:ascii="宋体" w:hAnsi="宋体" w:cs="宋体"/>
          <w:szCs w:val="21"/>
        </w:rPr>
        <w:t>(5) 需承包人办理的有关施工场地交通、环卫和施工噪声管理等手续：</w:t>
      </w:r>
      <w:r>
        <w:rPr>
          <w:rFonts w:hint="eastAsia" w:ascii="宋体" w:hAnsi="宋体" w:cs="宋体"/>
          <w:szCs w:val="21"/>
          <w:u w:val="single"/>
        </w:rPr>
        <w:t>由承包人按行政主管部门的相关规定以及发包人和监理工程师的要求办理并承担与此相关的全部费用。</w:t>
      </w:r>
    </w:p>
    <w:p>
      <w:pPr>
        <w:snapToGrid w:val="0"/>
        <w:spacing w:line="360" w:lineRule="auto"/>
        <w:ind w:firstLine="420" w:firstLineChars="200"/>
        <w:rPr>
          <w:rFonts w:ascii="宋体" w:hAnsi="宋体" w:cs="宋体"/>
          <w:szCs w:val="21"/>
          <w:u w:val="single"/>
        </w:rPr>
      </w:pPr>
      <w:r>
        <w:rPr>
          <w:rFonts w:hint="eastAsia" w:ascii="宋体" w:hAnsi="宋体" w:cs="宋体"/>
          <w:szCs w:val="21"/>
        </w:rPr>
        <w:t>(6) 已完工程成品保护的特殊要求及费用承担：</w:t>
      </w:r>
      <w:r>
        <w:rPr>
          <w:rFonts w:hint="eastAsia" w:ascii="宋体" w:hAnsi="宋体" w:cs="宋体"/>
          <w:szCs w:val="21"/>
          <w:u w:val="single"/>
        </w:rPr>
        <w:t>工程竣工验收并正式移交前的所有成品保护工作由承包人按照监理工程师的要求承担全部成品保护工作及费用。</w:t>
      </w:r>
    </w:p>
    <w:p>
      <w:pPr>
        <w:snapToGrid w:val="0"/>
        <w:spacing w:line="360" w:lineRule="auto"/>
        <w:ind w:firstLine="420" w:firstLineChars="200"/>
        <w:rPr>
          <w:rFonts w:ascii="宋体" w:hAnsi="宋体" w:cs="宋体"/>
          <w:szCs w:val="21"/>
        </w:rPr>
      </w:pPr>
      <w:r>
        <w:rPr>
          <w:rFonts w:hint="eastAsia" w:ascii="宋体" w:hAnsi="宋体" w:cs="宋体"/>
          <w:szCs w:val="21"/>
        </w:rPr>
        <w:t>(7) 施工场地周围地下管线和邻近建筑物、构筑物（含文物保护建筑）、古树名木的保护要求及费用承担</w:t>
      </w:r>
      <w:r>
        <w:rPr>
          <w:rFonts w:hint="eastAsia" w:ascii="宋体" w:hAnsi="宋体" w:cs="宋体"/>
          <w:szCs w:val="21"/>
          <w:u w:val="single"/>
        </w:rPr>
        <w:t>：由承包人按批准的防护方案实施，发包人承担由此发生的费用。</w:t>
      </w:r>
    </w:p>
    <w:p>
      <w:pPr>
        <w:snapToGrid w:val="0"/>
        <w:spacing w:line="360" w:lineRule="auto"/>
        <w:ind w:firstLine="420" w:firstLineChars="200"/>
        <w:rPr>
          <w:rFonts w:ascii="宋体" w:hAnsi="宋体" w:cs="宋体"/>
          <w:szCs w:val="21"/>
        </w:rPr>
      </w:pPr>
      <w:r>
        <w:rPr>
          <w:rFonts w:hint="eastAsia" w:ascii="宋体" w:hAnsi="宋体" w:cs="宋体"/>
          <w:szCs w:val="21"/>
        </w:rPr>
        <w:t>(8) 施工场地清洁卫生的要求：</w:t>
      </w:r>
      <w:r>
        <w:rPr>
          <w:rFonts w:hint="eastAsia" w:ascii="宋体" w:hAnsi="宋体" w:cs="宋体"/>
          <w:szCs w:val="21"/>
          <w:u w:val="single"/>
        </w:rPr>
        <w:t>由承包人按行政主管部门的相关规定以及发包人和监理工程师的要求办理并承担全部与此相关的费用。</w:t>
      </w:r>
    </w:p>
    <w:p>
      <w:pPr>
        <w:snapToGrid w:val="0"/>
        <w:spacing w:line="360" w:lineRule="auto"/>
        <w:ind w:firstLine="420" w:firstLineChars="200"/>
        <w:rPr>
          <w:rFonts w:ascii="宋体" w:hAnsi="宋体" w:cs="宋体"/>
          <w:szCs w:val="21"/>
          <w:u w:val="single"/>
        </w:rPr>
      </w:pPr>
      <w:r>
        <w:rPr>
          <w:rFonts w:hint="eastAsia" w:ascii="宋体" w:hAnsi="宋体" w:cs="宋体"/>
          <w:szCs w:val="21"/>
        </w:rPr>
        <w:t xml:space="preserve"> (9) 双方约定承包人应做的其他工作：</w:t>
      </w:r>
      <w:r>
        <w:rPr>
          <w:rFonts w:hint="eastAsia" w:ascii="宋体" w:hAnsi="宋体" w:cs="宋体"/>
          <w:szCs w:val="21"/>
          <w:u w:val="single"/>
        </w:rPr>
        <w:t>在施工过程中发生的所有问题，包括但不限于扰民、民扰、安全、消防、保卫、交通、环保、周边关系等工作全部由承包人负责并承担与之相关的一切费用。</w:t>
      </w:r>
    </w:p>
    <w:p>
      <w:pPr>
        <w:adjustRightInd w:val="0"/>
        <w:snapToGrid w:val="0"/>
        <w:spacing w:line="360" w:lineRule="auto"/>
        <w:rPr>
          <w:rFonts w:ascii="方正黑体_GBK" w:hAnsi="宋体" w:eastAsia="方正黑体_GBK" w:cs="宋体"/>
          <w:b/>
          <w:bCs/>
          <w:szCs w:val="21"/>
        </w:rPr>
      </w:pPr>
      <w:bookmarkStart w:id="1459" w:name="_Toc193188688"/>
      <w:bookmarkStart w:id="1460" w:name="_Toc115511336"/>
      <w:bookmarkStart w:id="1461" w:name="_Toc101156021"/>
      <w:bookmarkStart w:id="1462" w:name="_Toc123715519"/>
      <w:bookmarkStart w:id="1463" w:name="_Toc99792333"/>
      <w:bookmarkStart w:id="1464" w:name="_Toc231612775"/>
      <w:bookmarkStart w:id="1465" w:name="_Toc100123543"/>
      <w:bookmarkStart w:id="1466" w:name="_Toc98238975"/>
      <w:bookmarkStart w:id="1467" w:name="_Toc101155818"/>
      <w:bookmarkStart w:id="1468" w:name="_Toc98239439"/>
      <w:r>
        <w:rPr>
          <w:rFonts w:hint="eastAsia" w:ascii="方正黑体_GBK" w:hAnsi="宋体" w:eastAsia="方正黑体_GBK" w:cs="宋体"/>
          <w:b/>
          <w:bCs/>
          <w:szCs w:val="21"/>
        </w:rPr>
        <w:t>三、施工组织设计和工期</w:t>
      </w:r>
      <w:bookmarkEnd w:id="1459"/>
      <w:bookmarkEnd w:id="1460"/>
      <w:bookmarkEnd w:id="1461"/>
      <w:bookmarkEnd w:id="1462"/>
      <w:bookmarkEnd w:id="1463"/>
      <w:bookmarkEnd w:id="1464"/>
      <w:bookmarkEnd w:id="1465"/>
      <w:bookmarkEnd w:id="1466"/>
      <w:bookmarkEnd w:id="1467"/>
      <w:bookmarkEnd w:id="1468"/>
    </w:p>
    <w:p>
      <w:pPr>
        <w:adjustRightInd w:val="0"/>
        <w:snapToGrid w:val="0"/>
        <w:spacing w:line="360" w:lineRule="auto"/>
        <w:ind w:firstLine="422" w:firstLineChars="200"/>
        <w:rPr>
          <w:rFonts w:ascii="宋体" w:hAnsi="宋体" w:cs="宋体"/>
          <w:b/>
          <w:szCs w:val="21"/>
        </w:rPr>
      </w:pPr>
      <w:bookmarkStart w:id="1469" w:name="_Toc115511337"/>
      <w:bookmarkStart w:id="1470" w:name="_Toc101156022"/>
      <w:bookmarkStart w:id="1471" w:name="_Toc193188689"/>
      <w:bookmarkStart w:id="1472" w:name="_Toc123715520"/>
      <w:bookmarkStart w:id="1473" w:name="_Toc101155819"/>
      <w:bookmarkStart w:id="1474" w:name="_Toc100123544"/>
      <w:bookmarkStart w:id="1475" w:name="_Toc231612776"/>
      <w:bookmarkStart w:id="1476" w:name="_Toc98238976"/>
      <w:bookmarkStart w:id="1477" w:name="_Toc99792334"/>
      <w:bookmarkStart w:id="1478" w:name="_Toc98239440"/>
      <w:r>
        <w:rPr>
          <w:rFonts w:hint="eastAsia" w:ascii="宋体" w:hAnsi="宋体" w:cs="宋体"/>
          <w:b/>
          <w:szCs w:val="21"/>
        </w:rPr>
        <w:t>10、进度计划</w:t>
      </w:r>
      <w:bookmarkEnd w:id="1469"/>
      <w:bookmarkEnd w:id="1470"/>
      <w:bookmarkEnd w:id="1471"/>
      <w:bookmarkEnd w:id="1472"/>
      <w:bookmarkEnd w:id="1473"/>
      <w:bookmarkEnd w:id="1474"/>
      <w:bookmarkEnd w:id="1475"/>
      <w:bookmarkEnd w:id="1476"/>
      <w:bookmarkEnd w:id="1477"/>
      <w:bookmarkEnd w:id="1478"/>
    </w:p>
    <w:p>
      <w:pPr>
        <w:snapToGrid w:val="0"/>
        <w:spacing w:line="360" w:lineRule="auto"/>
        <w:ind w:firstLine="420" w:firstLineChars="200"/>
        <w:rPr>
          <w:rFonts w:ascii="宋体" w:hAnsi="宋体" w:cs="宋体"/>
          <w:szCs w:val="21"/>
          <w:u w:val="single"/>
        </w:rPr>
      </w:pPr>
      <w:bookmarkStart w:id="1479" w:name="_Toc231612964"/>
      <w:bookmarkStart w:id="1480" w:name="_Toc231613111"/>
      <w:bookmarkStart w:id="1481" w:name="_Toc231612777"/>
      <w:r>
        <w:rPr>
          <w:rFonts w:hint="eastAsia" w:ascii="宋体" w:hAnsi="宋体" w:cs="宋体"/>
          <w:szCs w:val="21"/>
        </w:rPr>
        <w:t>10.1 承包人提供施工组织设计（施工方案）和进度计划的时间：</w:t>
      </w:r>
      <w:r>
        <w:rPr>
          <w:rFonts w:hint="eastAsia" w:ascii="宋体" w:hAnsi="宋体" w:cs="宋体"/>
          <w:szCs w:val="21"/>
          <w:u w:val="single"/>
        </w:rPr>
        <w:t>承包人应在收到全部施工图纸、技术资料和发包人组织的设计交底后7日内提供。</w:t>
      </w:r>
      <w:bookmarkEnd w:id="1479"/>
      <w:bookmarkEnd w:id="1480"/>
      <w:bookmarkEnd w:id="1481"/>
    </w:p>
    <w:p>
      <w:pPr>
        <w:snapToGrid w:val="0"/>
        <w:spacing w:line="360" w:lineRule="auto"/>
        <w:ind w:firstLine="420" w:firstLineChars="200"/>
        <w:rPr>
          <w:rFonts w:ascii="宋体" w:hAnsi="宋体" w:cs="宋体"/>
          <w:szCs w:val="21"/>
          <w:u w:val="single"/>
        </w:rPr>
      </w:pPr>
      <w:r>
        <w:rPr>
          <w:rFonts w:hint="eastAsia" w:ascii="宋体" w:hAnsi="宋体" w:cs="宋体"/>
          <w:szCs w:val="21"/>
        </w:rPr>
        <w:t xml:space="preserve">工程师确认的时间： </w:t>
      </w:r>
      <w:r>
        <w:rPr>
          <w:rFonts w:hint="eastAsia" w:ascii="宋体" w:hAnsi="宋体" w:cs="宋体"/>
          <w:szCs w:val="21"/>
          <w:u w:val="single"/>
        </w:rPr>
        <w:t>收到承包人提供的施工组织设计（施工方案）和进度计划7日内确认。</w:t>
      </w:r>
    </w:p>
    <w:p>
      <w:pPr>
        <w:snapToGrid w:val="0"/>
        <w:spacing w:line="360" w:lineRule="auto"/>
        <w:ind w:firstLine="420" w:firstLineChars="200"/>
        <w:rPr>
          <w:rFonts w:ascii="宋体" w:hAnsi="宋体" w:cs="宋体"/>
          <w:szCs w:val="21"/>
          <w:u w:val="single"/>
        </w:rPr>
      </w:pPr>
      <w:r>
        <w:rPr>
          <w:rFonts w:hint="eastAsia" w:ascii="宋体" w:hAnsi="宋体" w:cs="宋体"/>
          <w:szCs w:val="21"/>
        </w:rPr>
        <w:t>10.2 群体工程中有关进度计划的要求：</w:t>
      </w:r>
      <w:r>
        <w:rPr>
          <w:rFonts w:hint="eastAsia" w:ascii="宋体" w:hAnsi="宋体" w:cs="宋体"/>
          <w:szCs w:val="21"/>
          <w:u w:val="single"/>
        </w:rPr>
        <w:t>群体工程中的单位工程进度应在总进度控制之下，按单位工程进度计划进行控制。</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10.4</w:t>
      </w:r>
      <w:r>
        <w:rPr>
          <w:rFonts w:hint="eastAsia" w:ascii="宋体" w:hAnsi="宋体" w:cs="宋体"/>
          <w:szCs w:val="21"/>
        </w:rPr>
        <w:t>本条所述的施工组织设计和进度计划不应对随投标文件提交的施工组织设计、进度计划做实质性变动，而是对其的进一步细化。在施工过程中，工程师有权要求承包人随时提交工程师认为必要的关于施工组织设计和进度计划的任何说明或文件，对此类指示，承包人应遵照执行。</w:t>
      </w:r>
    </w:p>
    <w:p>
      <w:pPr>
        <w:snapToGrid w:val="0"/>
        <w:spacing w:line="360" w:lineRule="auto"/>
        <w:ind w:firstLine="420" w:firstLineChars="200"/>
        <w:rPr>
          <w:rFonts w:ascii="宋体" w:hAnsi="宋体" w:cs="宋体"/>
          <w:szCs w:val="21"/>
        </w:rPr>
      </w:pPr>
      <w:r>
        <w:rPr>
          <w:rFonts w:hint="eastAsia" w:ascii="宋体" w:hAnsi="宋体" w:cs="宋体"/>
          <w:szCs w:val="21"/>
        </w:rPr>
        <w:t>承包人应按照经工程师批准的上述施工组织设计和进度计划进行施工。但在任何情况下，工程师对上述施工组织设计、进度计划的批准不应解除承包人对其应负的责任。</w:t>
      </w:r>
    </w:p>
    <w:p>
      <w:pPr>
        <w:adjustRightInd w:val="0"/>
        <w:snapToGrid w:val="0"/>
        <w:spacing w:line="360" w:lineRule="auto"/>
        <w:ind w:firstLine="422" w:firstLineChars="200"/>
        <w:rPr>
          <w:rFonts w:ascii="宋体" w:hAnsi="宋体" w:cs="宋体"/>
          <w:b/>
          <w:szCs w:val="21"/>
        </w:rPr>
      </w:pPr>
      <w:bookmarkStart w:id="1482" w:name="_Toc123715521"/>
      <w:bookmarkStart w:id="1483" w:name="_Toc193188690"/>
      <w:bookmarkStart w:id="1484" w:name="_Toc231612778"/>
      <w:r>
        <w:rPr>
          <w:rFonts w:hint="eastAsia" w:ascii="宋体" w:hAnsi="宋体" w:cs="宋体"/>
          <w:b/>
          <w:szCs w:val="21"/>
        </w:rPr>
        <w:t>12、暂停施工</w:t>
      </w:r>
      <w:bookmarkEnd w:id="1482"/>
      <w:bookmarkEnd w:id="1483"/>
      <w:bookmarkEnd w:id="1484"/>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在本条内补充以下各款：</w:t>
      </w:r>
    </w:p>
    <w:p>
      <w:pPr>
        <w:snapToGrid w:val="0"/>
        <w:spacing w:line="360" w:lineRule="auto"/>
        <w:ind w:firstLine="422" w:firstLineChars="200"/>
        <w:rPr>
          <w:rFonts w:ascii="宋体" w:hAnsi="宋体" w:cs="宋体"/>
          <w:szCs w:val="21"/>
        </w:rPr>
      </w:pPr>
      <w:r>
        <w:rPr>
          <w:rFonts w:hint="eastAsia" w:ascii="宋体" w:hAnsi="宋体" w:cs="宋体"/>
          <w:b/>
          <w:bCs/>
          <w:szCs w:val="21"/>
        </w:rPr>
        <w:t>12.2</w:t>
      </w:r>
      <w:r>
        <w:rPr>
          <w:rFonts w:hint="eastAsia" w:ascii="宋体" w:hAnsi="宋体" w:cs="宋体"/>
          <w:szCs w:val="21"/>
        </w:rPr>
        <w:t>如果在工程师依据第12.1款发出部分或全部工程暂停指令之前，承包人已经订购有关工程设备或材料，并且工程暂停已经超过 28 天，则承包人有权获得该未被运到现场的工程设备或材料的支付。但以下列条件为前提：</w:t>
      </w:r>
    </w:p>
    <w:p>
      <w:pPr>
        <w:snapToGrid w:val="0"/>
        <w:spacing w:line="360" w:lineRule="auto"/>
        <w:ind w:firstLine="420" w:firstLineChars="200"/>
        <w:rPr>
          <w:rFonts w:ascii="宋体" w:hAnsi="宋体" w:cs="宋体"/>
          <w:szCs w:val="21"/>
        </w:rPr>
      </w:pPr>
      <w:r>
        <w:rPr>
          <w:rFonts w:hint="eastAsia" w:ascii="宋体" w:hAnsi="宋体" w:cs="宋体"/>
          <w:szCs w:val="21"/>
        </w:rPr>
        <w:t>（1）承包人根据工程师的指示已将该工程设备或材料标记为发包人的财产；</w:t>
      </w:r>
    </w:p>
    <w:p>
      <w:pPr>
        <w:snapToGrid w:val="0"/>
        <w:spacing w:line="360" w:lineRule="auto"/>
        <w:ind w:firstLine="420" w:firstLineChars="200"/>
        <w:rPr>
          <w:rFonts w:ascii="宋体" w:hAnsi="宋体" w:cs="宋体"/>
          <w:szCs w:val="21"/>
        </w:rPr>
      </w:pPr>
      <w:r>
        <w:rPr>
          <w:rFonts w:hint="eastAsia" w:ascii="宋体" w:hAnsi="宋体" w:cs="宋体"/>
          <w:szCs w:val="21"/>
        </w:rPr>
        <w:t>（2）暂时停工不是由于承包人原因造成的。如果承包人要求，发包人应随后接管该工程设备或材料的保护、照管、保障及保险的责任。</w:t>
      </w:r>
    </w:p>
    <w:p>
      <w:pPr>
        <w:snapToGrid w:val="0"/>
        <w:spacing w:line="360" w:lineRule="auto"/>
        <w:ind w:firstLine="422" w:firstLineChars="200"/>
        <w:rPr>
          <w:rFonts w:ascii="宋体" w:hAnsi="宋体" w:cs="宋体"/>
          <w:szCs w:val="21"/>
        </w:rPr>
      </w:pPr>
      <w:r>
        <w:rPr>
          <w:rFonts w:hint="eastAsia" w:ascii="宋体" w:hAnsi="宋体" w:cs="宋体"/>
          <w:b/>
          <w:bCs/>
          <w:szCs w:val="21"/>
        </w:rPr>
        <w:t>12.3</w:t>
      </w:r>
      <w:r>
        <w:rPr>
          <w:rFonts w:hint="eastAsia" w:ascii="宋体" w:hAnsi="宋体" w:cs="宋体"/>
          <w:szCs w:val="21"/>
        </w:rPr>
        <w:t>如果第12.1款所述的暂停已持续56天以上，且此暂停不是由于承包人的原因引起的，则承包人可通知工程师，要求工程师自接到该通知后28天内同意己中断的工程或其部分继续施工；若在上述时间内未得到许可，承包人可以做如下选择：</w:t>
      </w:r>
    </w:p>
    <w:p>
      <w:pPr>
        <w:snapToGrid w:val="0"/>
        <w:spacing w:line="360" w:lineRule="auto"/>
        <w:ind w:firstLine="420" w:firstLineChars="200"/>
        <w:rPr>
          <w:rFonts w:ascii="宋体" w:hAnsi="宋体" w:cs="宋体"/>
          <w:szCs w:val="21"/>
        </w:rPr>
      </w:pPr>
      <w:r>
        <w:rPr>
          <w:rFonts w:hint="eastAsia" w:ascii="宋体" w:hAnsi="宋体" w:cs="宋体"/>
          <w:szCs w:val="21"/>
        </w:rPr>
        <w:t>当暂时停工仅影响工程的局部时，承包人可以将此暂停所影响的工程内容视为删除工作；当此类暂停影响到整个工程，承包人可以将此暂停视为发包人违约，并根据第44.2款解除合同，此时应执行第 44 条的约定。</w:t>
      </w:r>
    </w:p>
    <w:p>
      <w:pPr>
        <w:adjustRightInd w:val="0"/>
        <w:snapToGrid w:val="0"/>
        <w:spacing w:line="360" w:lineRule="auto"/>
        <w:ind w:firstLine="422" w:firstLineChars="200"/>
        <w:rPr>
          <w:rFonts w:ascii="宋体" w:hAnsi="宋体" w:cs="宋体"/>
          <w:b/>
          <w:szCs w:val="21"/>
        </w:rPr>
      </w:pPr>
      <w:bookmarkStart w:id="1485" w:name="_Toc101155820"/>
      <w:bookmarkStart w:id="1486" w:name="_Toc193188691"/>
      <w:bookmarkStart w:id="1487" w:name="_Toc100123545"/>
      <w:bookmarkStart w:id="1488" w:name="_Toc231612779"/>
      <w:bookmarkStart w:id="1489" w:name="_Toc115511338"/>
      <w:bookmarkStart w:id="1490" w:name="_Toc98238977"/>
      <w:bookmarkStart w:id="1491" w:name="_Toc99792335"/>
      <w:bookmarkStart w:id="1492" w:name="_Toc101156023"/>
      <w:bookmarkStart w:id="1493" w:name="_Toc123715522"/>
      <w:bookmarkStart w:id="1494" w:name="_Toc98239441"/>
      <w:r>
        <w:rPr>
          <w:rFonts w:hint="eastAsia" w:ascii="宋体" w:hAnsi="宋体" w:cs="宋体"/>
          <w:b/>
          <w:szCs w:val="21"/>
        </w:rPr>
        <w:t>13、工期延误</w:t>
      </w:r>
      <w:bookmarkEnd w:id="1485"/>
      <w:bookmarkEnd w:id="1486"/>
      <w:bookmarkEnd w:id="1487"/>
      <w:bookmarkEnd w:id="1488"/>
      <w:bookmarkEnd w:id="1489"/>
      <w:bookmarkEnd w:id="1490"/>
      <w:bookmarkEnd w:id="1491"/>
      <w:bookmarkEnd w:id="1492"/>
      <w:bookmarkEnd w:id="1493"/>
      <w:bookmarkEnd w:id="1494"/>
    </w:p>
    <w:p>
      <w:pPr>
        <w:adjustRightInd w:val="0"/>
        <w:snapToGrid w:val="0"/>
        <w:spacing w:line="360" w:lineRule="auto"/>
        <w:ind w:firstLine="420" w:firstLineChars="200"/>
        <w:rPr>
          <w:rFonts w:ascii="宋体" w:hAnsi="宋体" w:cs="宋体"/>
          <w:szCs w:val="21"/>
        </w:rPr>
      </w:pPr>
      <w:bookmarkStart w:id="1495" w:name="_Toc123715523"/>
      <w:r>
        <w:rPr>
          <w:rFonts w:hint="eastAsia" w:ascii="宋体" w:hAnsi="宋体" w:cs="宋体"/>
          <w:szCs w:val="21"/>
        </w:rPr>
        <w:t>13.1 双方约定工期顺延的其他情况：</w:t>
      </w:r>
      <w:r>
        <w:rPr>
          <w:rFonts w:hint="eastAsia" w:ascii="宋体" w:hAnsi="宋体" w:cs="宋体"/>
          <w:szCs w:val="21"/>
          <w:u w:val="single"/>
        </w:rPr>
        <w:t xml:space="preserve">  无</w:t>
      </w:r>
      <w:r>
        <w:rPr>
          <w:rFonts w:hint="eastAsia" w:ascii="宋体" w:hAnsi="宋体" w:cs="宋体"/>
          <w:szCs w:val="21"/>
        </w:rPr>
        <w:t>。</w:t>
      </w:r>
      <w:bookmarkEnd w:id="1495"/>
      <w:r>
        <w:rPr>
          <w:rFonts w:hint="eastAsia" w:ascii="宋体" w:hAnsi="宋体" w:cs="宋体"/>
          <w:szCs w:val="21"/>
        </w:rPr>
        <w:t xml:space="preserve">  </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13.1.1</w:t>
      </w:r>
      <w:r>
        <w:rPr>
          <w:rFonts w:hint="eastAsia" w:ascii="宋体" w:hAnsi="宋体" w:cs="宋体"/>
          <w:szCs w:val="21"/>
        </w:rPr>
        <w:t xml:space="preserve"> 如果承包人已努力遵守了政府及有关管理机构制定的程序和规定，但因为第三方（且按照合同约定不应由承包人代其承担责任）原因延误、干扰或阻碍承包人正常履行合同，且这种延误、干扰或阻碍 对工程造成的延误是在事前无法合理预见的，则承包人应就此通知工程师，工程师在收到此类通知并于承包人适当协商之后应决定；</w:t>
      </w:r>
    </w:p>
    <w:p>
      <w:pPr>
        <w:snapToGrid w:val="0"/>
        <w:spacing w:line="360" w:lineRule="auto"/>
        <w:ind w:firstLine="420" w:firstLineChars="200"/>
        <w:rPr>
          <w:rFonts w:ascii="宋体" w:hAnsi="宋体" w:cs="宋体"/>
          <w:szCs w:val="21"/>
        </w:rPr>
      </w:pPr>
      <w:r>
        <w:rPr>
          <w:rFonts w:hint="eastAsia" w:ascii="宋体" w:hAnsi="宋体" w:cs="宋体"/>
          <w:szCs w:val="21"/>
        </w:rPr>
        <w:t>（1）依据实际延误情况延长工期；</w:t>
      </w:r>
    </w:p>
    <w:p>
      <w:pPr>
        <w:snapToGrid w:val="0"/>
        <w:spacing w:line="360" w:lineRule="auto"/>
        <w:ind w:firstLine="420" w:firstLineChars="200"/>
        <w:rPr>
          <w:rFonts w:ascii="宋体" w:hAnsi="宋体" w:cs="宋体"/>
          <w:szCs w:val="21"/>
        </w:rPr>
      </w:pPr>
      <w:r>
        <w:rPr>
          <w:rFonts w:hint="eastAsia" w:ascii="宋体" w:hAnsi="宋体" w:cs="宋体"/>
          <w:szCs w:val="21"/>
        </w:rPr>
        <w:t>（2）根据现场实际情况，因工期顺延，不得增加任何费用。</w:t>
      </w:r>
    </w:p>
    <w:p>
      <w:pPr>
        <w:adjustRightInd w:val="0"/>
        <w:snapToGrid w:val="0"/>
        <w:spacing w:line="360" w:lineRule="auto"/>
        <w:rPr>
          <w:rFonts w:ascii="方正黑体_GBK" w:hAnsi="宋体" w:eastAsia="方正黑体_GBK" w:cs="宋体"/>
          <w:b/>
          <w:bCs/>
          <w:szCs w:val="21"/>
        </w:rPr>
      </w:pPr>
      <w:bookmarkStart w:id="1496" w:name="_Toc100123546"/>
      <w:bookmarkStart w:id="1497" w:name="_Toc123715524"/>
      <w:bookmarkStart w:id="1498" w:name="_Toc98238978"/>
      <w:bookmarkStart w:id="1499" w:name="_Toc193188692"/>
      <w:bookmarkStart w:id="1500" w:name="_Toc231612780"/>
      <w:bookmarkStart w:id="1501" w:name="_Toc98239442"/>
      <w:bookmarkStart w:id="1502" w:name="_Toc99792336"/>
      <w:bookmarkStart w:id="1503" w:name="_Toc115511339"/>
      <w:bookmarkStart w:id="1504" w:name="_Toc101156024"/>
      <w:bookmarkStart w:id="1505" w:name="_Toc101155821"/>
      <w:r>
        <w:rPr>
          <w:rFonts w:hint="eastAsia" w:ascii="方正黑体_GBK" w:hAnsi="宋体" w:eastAsia="方正黑体_GBK" w:cs="宋体"/>
          <w:b/>
          <w:bCs/>
          <w:szCs w:val="21"/>
        </w:rPr>
        <w:t>四、质量与</w:t>
      </w:r>
      <w:bookmarkEnd w:id="1496"/>
      <w:bookmarkEnd w:id="1497"/>
      <w:bookmarkEnd w:id="1498"/>
      <w:bookmarkEnd w:id="1499"/>
      <w:bookmarkEnd w:id="1500"/>
      <w:bookmarkEnd w:id="1501"/>
      <w:bookmarkEnd w:id="1502"/>
      <w:bookmarkEnd w:id="1503"/>
      <w:bookmarkEnd w:id="1504"/>
      <w:bookmarkEnd w:id="1505"/>
      <w:r>
        <w:rPr>
          <w:rFonts w:hint="eastAsia" w:ascii="方正黑体_GBK" w:hAnsi="宋体" w:eastAsia="方正黑体_GBK" w:cs="宋体"/>
          <w:b/>
          <w:bCs/>
          <w:szCs w:val="21"/>
        </w:rPr>
        <w:t>检验</w:t>
      </w:r>
    </w:p>
    <w:p>
      <w:pPr>
        <w:adjustRightInd w:val="0"/>
        <w:snapToGrid w:val="0"/>
        <w:spacing w:line="360" w:lineRule="auto"/>
        <w:ind w:firstLine="422" w:firstLineChars="200"/>
        <w:rPr>
          <w:rFonts w:ascii="宋体" w:hAnsi="宋体" w:cs="宋体"/>
          <w:b/>
          <w:szCs w:val="21"/>
        </w:rPr>
      </w:pPr>
      <w:bookmarkStart w:id="1506" w:name="_Toc123715525"/>
      <w:bookmarkStart w:id="1507" w:name="_Toc231612781"/>
      <w:bookmarkStart w:id="1508" w:name="_Toc193188693"/>
      <w:bookmarkStart w:id="1509" w:name="_Toc101156025"/>
      <w:bookmarkStart w:id="1510" w:name="_Toc98239443"/>
      <w:bookmarkStart w:id="1511" w:name="_Toc99792337"/>
      <w:bookmarkStart w:id="1512" w:name="_Toc98238979"/>
      <w:bookmarkStart w:id="1513" w:name="_Toc115511340"/>
      <w:bookmarkStart w:id="1514" w:name="_Toc100123547"/>
      <w:bookmarkStart w:id="1515" w:name="_Toc101155822"/>
      <w:r>
        <w:rPr>
          <w:rFonts w:hint="eastAsia" w:ascii="宋体" w:hAnsi="宋体" w:cs="宋体"/>
          <w:b/>
          <w:szCs w:val="21"/>
        </w:rPr>
        <w:t>15、工程质量</w:t>
      </w:r>
      <w:bookmarkEnd w:id="1506"/>
      <w:bookmarkEnd w:id="1507"/>
      <w:bookmarkEnd w:id="1508"/>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 xml:space="preserve">15.3 </w:t>
      </w:r>
      <w:r>
        <w:rPr>
          <w:rFonts w:hint="eastAsia" w:ascii="宋体" w:hAnsi="宋体" w:cs="宋体"/>
          <w:szCs w:val="21"/>
        </w:rPr>
        <w:t>不仅限于合同文件中“标准、规范及有关技术文件”部分构成合同的任何合同文件中的相关约定或描述，只要适用均应理解为是对工程质量标准的定义。承包人应按照合同中约定的标准和方法进行工程的实施、竣工和修补缺陷。</w:t>
      </w:r>
    </w:p>
    <w:p>
      <w:pPr>
        <w:adjustRightInd w:val="0"/>
        <w:snapToGrid w:val="0"/>
        <w:spacing w:line="360" w:lineRule="auto"/>
        <w:ind w:firstLine="422" w:firstLineChars="200"/>
        <w:rPr>
          <w:rFonts w:ascii="宋体" w:hAnsi="宋体" w:cs="宋体"/>
          <w:b/>
          <w:szCs w:val="21"/>
        </w:rPr>
      </w:pPr>
      <w:bookmarkStart w:id="1516" w:name="_Toc231612782"/>
      <w:bookmarkStart w:id="1517" w:name="_Toc193188694"/>
      <w:bookmarkStart w:id="1518" w:name="_Toc123715526"/>
      <w:r>
        <w:rPr>
          <w:rFonts w:hint="eastAsia" w:ascii="宋体" w:hAnsi="宋体" w:cs="宋体"/>
          <w:b/>
          <w:szCs w:val="21"/>
        </w:rPr>
        <w:t>17、隐蔽工程和中间验收</w:t>
      </w:r>
      <w:bookmarkEnd w:id="1509"/>
      <w:bookmarkEnd w:id="1510"/>
      <w:bookmarkEnd w:id="1511"/>
      <w:bookmarkEnd w:id="1512"/>
      <w:bookmarkEnd w:id="1513"/>
      <w:bookmarkEnd w:id="1514"/>
      <w:bookmarkEnd w:id="1515"/>
      <w:bookmarkEnd w:id="1516"/>
      <w:bookmarkEnd w:id="1517"/>
      <w:bookmarkEnd w:id="1518"/>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17.1 双方约定中间验收部位： </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所有隐蔽工程必须经过检查和验收，但此类检查和验收合格不能免除整体工程不合格的责任。</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17.4</w:t>
      </w:r>
      <w:r>
        <w:rPr>
          <w:rFonts w:hint="eastAsia" w:ascii="宋体" w:hAnsi="宋体" w:cs="宋体"/>
          <w:szCs w:val="21"/>
        </w:rPr>
        <w:t>工程师按时到达隐蔽工程和中间验收现场，而承包人在工程师到达现场之前已将隐蔽工程分项施工完毕，工程师无法确认被隐蔽的分项工程质量，则工程师有权要求承包人进行剥离或开孔检验，检验结果无论合格与否，承包人均须承担与上述工作相关的全部费用，且工期不得顺延。</w:t>
      </w:r>
    </w:p>
    <w:p>
      <w:pPr>
        <w:adjustRightInd w:val="0"/>
        <w:snapToGrid w:val="0"/>
        <w:spacing w:line="360" w:lineRule="auto"/>
        <w:ind w:firstLine="422" w:firstLineChars="200"/>
        <w:rPr>
          <w:rFonts w:ascii="宋体" w:hAnsi="宋体" w:cs="宋体"/>
          <w:b/>
          <w:szCs w:val="21"/>
        </w:rPr>
      </w:pPr>
      <w:bookmarkStart w:id="1519" w:name="_Toc98239444"/>
      <w:bookmarkStart w:id="1520" w:name="_Toc100123548"/>
      <w:bookmarkStart w:id="1521" w:name="_Toc101155823"/>
      <w:bookmarkStart w:id="1522" w:name="_Toc99792338"/>
      <w:bookmarkStart w:id="1523" w:name="_Toc115511341"/>
      <w:bookmarkStart w:id="1524" w:name="_Toc101156026"/>
      <w:bookmarkStart w:id="1525" w:name="_Toc98238980"/>
      <w:bookmarkStart w:id="1526" w:name="_Toc193188695"/>
      <w:bookmarkStart w:id="1527" w:name="_Toc123715527"/>
      <w:bookmarkStart w:id="1528" w:name="_Toc231612783"/>
      <w:r>
        <w:rPr>
          <w:rFonts w:hint="eastAsia" w:ascii="宋体" w:hAnsi="宋体" w:cs="宋体"/>
          <w:b/>
          <w:szCs w:val="21"/>
        </w:rPr>
        <w:t>19、工程试车</w:t>
      </w:r>
      <w:bookmarkEnd w:id="1519"/>
      <w:bookmarkEnd w:id="1520"/>
      <w:bookmarkEnd w:id="1521"/>
      <w:bookmarkEnd w:id="1522"/>
      <w:bookmarkEnd w:id="1523"/>
      <w:bookmarkEnd w:id="1524"/>
      <w:bookmarkEnd w:id="1525"/>
      <w:bookmarkEnd w:id="1526"/>
      <w:bookmarkEnd w:id="1527"/>
      <w:bookmarkEnd w:id="1528"/>
    </w:p>
    <w:p>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19.1 试车费用的承担：</w:t>
      </w:r>
      <w:r>
        <w:rPr>
          <w:rFonts w:hint="eastAsia" w:ascii="宋体" w:hAnsi="宋体" w:cs="宋体"/>
          <w:szCs w:val="21"/>
          <w:u w:val="single"/>
        </w:rPr>
        <w:t xml:space="preserve">       </w:t>
      </w:r>
    </w:p>
    <w:p>
      <w:pPr>
        <w:adjustRightInd w:val="0"/>
        <w:snapToGrid w:val="0"/>
        <w:spacing w:line="360" w:lineRule="auto"/>
        <w:rPr>
          <w:rFonts w:ascii="方正黑体_GBK" w:hAnsi="宋体" w:eastAsia="方正黑体_GBK" w:cs="宋体"/>
          <w:b/>
          <w:bCs/>
          <w:szCs w:val="21"/>
        </w:rPr>
      </w:pPr>
      <w:bookmarkStart w:id="1529" w:name="_Toc193188696"/>
      <w:bookmarkStart w:id="1530" w:name="_Toc231612784"/>
      <w:bookmarkStart w:id="1531" w:name="_Toc98239445"/>
      <w:bookmarkStart w:id="1532" w:name="_Toc98238981"/>
      <w:bookmarkStart w:id="1533" w:name="_Toc231612965"/>
      <w:bookmarkStart w:id="1534" w:name="_Toc100123549"/>
      <w:bookmarkStart w:id="1535" w:name="_Toc123715528"/>
      <w:bookmarkStart w:id="1536" w:name="_Toc231613112"/>
      <w:bookmarkStart w:id="1537" w:name="_Toc99792339"/>
      <w:bookmarkStart w:id="1538" w:name="_Toc101155824"/>
      <w:bookmarkStart w:id="1539" w:name="_Toc115511342"/>
      <w:bookmarkStart w:id="1540" w:name="_Toc101156027"/>
      <w:r>
        <w:rPr>
          <w:rFonts w:hint="eastAsia" w:ascii="方正黑体_GBK" w:hAnsi="宋体" w:eastAsia="方正黑体_GBK" w:cs="宋体"/>
          <w:b/>
          <w:bCs/>
          <w:szCs w:val="21"/>
        </w:rPr>
        <w:t>五、安全施工</w:t>
      </w:r>
      <w:bookmarkEnd w:id="1529"/>
      <w:bookmarkEnd w:id="1530"/>
      <w:bookmarkEnd w:id="1531"/>
      <w:bookmarkEnd w:id="1532"/>
      <w:bookmarkEnd w:id="1533"/>
      <w:bookmarkEnd w:id="1534"/>
      <w:bookmarkEnd w:id="1535"/>
      <w:bookmarkEnd w:id="1536"/>
      <w:bookmarkEnd w:id="1537"/>
      <w:bookmarkEnd w:id="1538"/>
      <w:bookmarkEnd w:id="1539"/>
      <w:bookmarkEnd w:id="1540"/>
    </w:p>
    <w:p>
      <w:pPr>
        <w:adjustRightInd w:val="0"/>
        <w:snapToGrid w:val="0"/>
        <w:spacing w:line="360" w:lineRule="auto"/>
        <w:ind w:firstLine="422" w:firstLineChars="200"/>
        <w:rPr>
          <w:rFonts w:ascii="宋体" w:hAnsi="宋体" w:cs="宋体"/>
          <w:b/>
          <w:szCs w:val="21"/>
        </w:rPr>
      </w:pPr>
      <w:bookmarkStart w:id="1541" w:name="_Toc231612785"/>
      <w:bookmarkStart w:id="1542" w:name="_Toc193188697"/>
      <w:bookmarkStart w:id="1543" w:name="_Toc123715529"/>
      <w:r>
        <w:rPr>
          <w:rFonts w:hint="eastAsia" w:ascii="宋体" w:hAnsi="宋体" w:cs="宋体"/>
          <w:b/>
          <w:szCs w:val="21"/>
        </w:rPr>
        <w:t>20、安全施工与检查</w:t>
      </w:r>
      <w:bookmarkEnd w:id="1541"/>
      <w:bookmarkEnd w:id="1542"/>
      <w:bookmarkEnd w:id="1543"/>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20.3</w:t>
      </w:r>
      <w:r>
        <w:rPr>
          <w:rFonts w:hint="eastAsia" w:ascii="宋体" w:hAnsi="宋体" w:cs="宋体"/>
          <w:szCs w:val="21"/>
        </w:rPr>
        <w:t>在开始施工前，承包人应将细化的安全保证措施方案以书面形式报工程师审查，并须提交书面承诺，保证其提交且经工程师审定的安全保证措施方案将完整、有效的实施。</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将通用条款21.1款修改如下：</w:t>
      </w:r>
      <w:r>
        <w:rPr>
          <w:rFonts w:hint="eastAsia" w:ascii="宋体" w:hAnsi="宋体" w:cs="宋体"/>
          <w:szCs w:val="21"/>
        </w:rPr>
        <w:t>承包人在动力设备、输电线路、地下管道、密封防震车间、易燃易爆地段以及临街交通要道附近施工时，施工开始前应向工程师提出安全防护措施，经工程师认可后实施。</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将通用条款21.2款修改如下：</w:t>
      </w:r>
      <w:bookmarkStart w:id="1544" w:name="_Toc123715530"/>
      <w:bookmarkStart w:id="1545" w:name="_Toc231612786"/>
      <w:bookmarkStart w:id="1546" w:name="_Toc231612966"/>
      <w:bookmarkStart w:id="1547" w:name="_Toc193188698"/>
      <w:bookmarkStart w:id="1548" w:name="_Toc98239446"/>
      <w:bookmarkStart w:id="1549" w:name="_Toc231613113"/>
      <w:bookmarkStart w:id="1550" w:name="_Toc101155825"/>
      <w:bookmarkStart w:id="1551" w:name="_Toc100123550"/>
      <w:bookmarkStart w:id="1552" w:name="_Toc98238982"/>
      <w:bookmarkStart w:id="1553" w:name="_Toc115511343"/>
      <w:bookmarkStart w:id="1554" w:name="_Toc101156028"/>
      <w:bookmarkStart w:id="1555" w:name="_Toc99792340"/>
      <w:r>
        <w:rPr>
          <w:rFonts w:hint="eastAsia" w:ascii="宋体" w:hAnsi="宋体" w:cs="宋体"/>
          <w:szCs w:val="21"/>
        </w:rPr>
        <w:t>实施爆破作业，在放射、毒害性环境中施工（含储存、运输、使用）及使用毒害性、腐蚀性物品施工时，承包人应在施工前14天以书面形式通知工程师，并提出相应的安全防护措施，经工程师认可后实施，费用已包含在合同内。</w:t>
      </w:r>
    </w:p>
    <w:p>
      <w:pPr>
        <w:adjustRightInd w:val="0"/>
        <w:snapToGrid w:val="0"/>
        <w:spacing w:line="360" w:lineRule="auto"/>
        <w:ind w:firstLine="420" w:firstLineChars="200"/>
        <w:rPr>
          <w:rFonts w:ascii="方正黑体_GBK" w:hAnsi="宋体" w:eastAsia="方正黑体_GBK" w:cs="宋体"/>
          <w:szCs w:val="21"/>
        </w:rPr>
      </w:pPr>
      <w:r>
        <w:rPr>
          <w:rFonts w:hint="eastAsia" w:ascii="方正黑体_GBK" w:hAnsi="宋体" w:eastAsia="方正黑体_GBK" w:cs="宋体"/>
          <w:szCs w:val="21"/>
        </w:rPr>
        <w:t>六、合同价款与支付</w:t>
      </w:r>
      <w:bookmarkEnd w:id="1544"/>
      <w:bookmarkEnd w:id="1545"/>
      <w:bookmarkEnd w:id="1546"/>
      <w:bookmarkEnd w:id="1547"/>
      <w:bookmarkEnd w:id="1548"/>
      <w:bookmarkEnd w:id="1549"/>
      <w:bookmarkEnd w:id="1550"/>
      <w:bookmarkEnd w:id="1551"/>
      <w:bookmarkEnd w:id="1552"/>
      <w:bookmarkEnd w:id="1553"/>
      <w:bookmarkEnd w:id="1554"/>
      <w:bookmarkEnd w:id="1555"/>
    </w:p>
    <w:p>
      <w:pPr>
        <w:adjustRightInd w:val="0"/>
        <w:snapToGrid w:val="0"/>
        <w:spacing w:line="360" w:lineRule="auto"/>
        <w:ind w:firstLine="422" w:firstLineChars="200"/>
        <w:rPr>
          <w:rFonts w:ascii="宋体" w:hAnsi="宋体" w:cs="宋体"/>
          <w:b/>
          <w:szCs w:val="21"/>
        </w:rPr>
      </w:pPr>
      <w:bookmarkStart w:id="1556" w:name="_Toc231612787"/>
      <w:bookmarkStart w:id="1557" w:name="_Toc98239447"/>
      <w:bookmarkStart w:id="1558" w:name="_Toc101155826"/>
      <w:bookmarkStart w:id="1559" w:name="_Toc98238983"/>
      <w:bookmarkStart w:id="1560" w:name="_Toc99792341"/>
      <w:bookmarkStart w:id="1561" w:name="_Toc100123551"/>
      <w:bookmarkStart w:id="1562" w:name="_Toc123715531"/>
      <w:bookmarkStart w:id="1563" w:name="_Toc115511344"/>
      <w:bookmarkStart w:id="1564" w:name="_Toc193188699"/>
      <w:bookmarkStart w:id="1565" w:name="_Toc101156029"/>
      <w:r>
        <w:rPr>
          <w:rFonts w:hint="eastAsia" w:ascii="宋体" w:hAnsi="宋体" w:cs="宋体"/>
          <w:b/>
          <w:szCs w:val="21"/>
        </w:rPr>
        <w:t>23、合同价款及调整</w:t>
      </w:r>
      <w:bookmarkEnd w:id="1556"/>
      <w:bookmarkEnd w:id="1557"/>
      <w:bookmarkEnd w:id="1558"/>
      <w:bookmarkEnd w:id="1559"/>
      <w:bookmarkEnd w:id="1560"/>
      <w:bookmarkEnd w:id="1561"/>
      <w:bookmarkEnd w:id="1562"/>
      <w:bookmarkEnd w:id="1563"/>
      <w:bookmarkEnd w:id="1564"/>
      <w:bookmarkEnd w:id="1565"/>
    </w:p>
    <w:p>
      <w:pPr>
        <w:snapToGrid w:val="0"/>
        <w:spacing w:line="360" w:lineRule="auto"/>
        <w:ind w:firstLine="420" w:firstLineChars="200"/>
        <w:rPr>
          <w:rFonts w:ascii="宋体" w:hAnsi="宋体" w:cs="宋体"/>
          <w:szCs w:val="21"/>
        </w:rPr>
      </w:pPr>
      <w:r>
        <w:rPr>
          <w:rFonts w:hint="eastAsia" w:ascii="宋体" w:hAnsi="宋体" w:cs="宋体"/>
          <w:szCs w:val="21"/>
        </w:rPr>
        <w:t>23.2  本合同价款采用</w:t>
      </w:r>
      <w:r>
        <w:rPr>
          <w:rFonts w:hint="eastAsia" w:ascii="宋体" w:hAnsi="宋体" w:cs="宋体"/>
          <w:szCs w:val="21"/>
          <w:u w:val="single"/>
          <w:lang w:val="en-US" w:eastAsia="zh-CN"/>
        </w:rPr>
        <w:t>固定合同单价</w:t>
      </w:r>
      <w:r>
        <w:rPr>
          <w:rFonts w:hint="eastAsia" w:ascii="宋体" w:hAnsi="宋体" w:cs="宋体"/>
          <w:szCs w:val="21"/>
        </w:rPr>
        <w:t>方式确定。</w:t>
      </w:r>
    </w:p>
    <w:p>
      <w:pPr>
        <w:snapToGrid w:val="0"/>
        <w:spacing w:line="360" w:lineRule="auto"/>
        <w:ind w:firstLine="420" w:firstLineChars="200"/>
        <w:rPr>
          <w:rFonts w:ascii="宋体" w:hAnsi="宋体" w:cs="宋体"/>
          <w:szCs w:val="21"/>
        </w:rPr>
      </w:pPr>
      <w:r>
        <w:rPr>
          <w:rFonts w:hint="eastAsia" w:ascii="宋体" w:hAnsi="宋体" w:cs="宋体"/>
          <w:szCs w:val="21"/>
        </w:rPr>
        <w:t>物价波动引起的价格调整方法</w:t>
      </w:r>
      <w:r>
        <w:rPr>
          <w:rFonts w:hint="eastAsia" w:ascii="宋体" w:hAnsi="宋体" w:cs="宋体"/>
          <w:szCs w:val="21"/>
          <w:u w:val="single"/>
        </w:rPr>
        <w:t>：</w:t>
      </w:r>
      <w:r>
        <w:rPr>
          <w:rFonts w:hint="eastAsia" w:ascii="宋体" w:hAnsi="宋体" w:cs="宋体"/>
          <w:szCs w:val="21"/>
          <w:u w:val="single"/>
          <w:lang w:val="en-US" w:eastAsia="zh-CN"/>
        </w:rPr>
        <w:t>不调整</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（1）合同价格形式：</w:t>
      </w:r>
    </w:p>
    <w:p>
      <w:pPr>
        <w:snapToGrid w:val="0"/>
        <w:spacing w:line="360" w:lineRule="auto"/>
        <w:ind w:firstLine="420" w:firstLineChars="200"/>
        <w:rPr>
          <w:rFonts w:ascii="宋体" w:hAnsi="宋体" w:cs="宋体"/>
          <w:szCs w:val="21"/>
        </w:rPr>
      </w:pPr>
      <w:r>
        <w:rPr>
          <w:rFonts w:hint="eastAsia" w:ascii="宋体" w:hAnsi="宋体" w:cs="宋体"/>
          <w:szCs w:val="21"/>
        </w:rPr>
        <w:t>1）单价合同</w:t>
      </w:r>
    </w:p>
    <w:p>
      <w:pPr>
        <w:snapToGrid w:val="0"/>
        <w:spacing w:line="360" w:lineRule="auto"/>
        <w:ind w:firstLine="420" w:firstLineChars="200"/>
        <w:rPr>
          <w:rFonts w:ascii="宋体" w:hAnsi="宋体" w:cs="宋体"/>
          <w:szCs w:val="21"/>
        </w:rPr>
      </w:pPr>
      <w:r>
        <w:rPr>
          <w:rFonts w:hint="eastAsia" w:ascii="宋体" w:hAnsi="宋体" w:cs="宋体"/>
          <w:szCs w:val="21"/>
        </w:rPr>
        <w:t>综合单价包含的风险范围：</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风险费用的计算方法：</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风险范围以外合同价格的调整方法：</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2）总价合同</w:t>
      </w:r>
    </w:p>
    <w:p>
      <w:pPr>
        <w:snapToGrid w:val="0"/>
        <w:spacing w:line="360" w:lineRule="auto"/>
        <w:ind w:firstLine="420" w:firstLineChars="200"/>
        <w:rPr>
          <w:rFonts w:ascii="宋体" w:hAnsi="宋体" w:cs="宋体"/>
          <w:szCs w:val="21"/>
        </w:rPr>
      </w:pPr>
      <w:r>
        <w:rPr>
          <w:rFonts w:hint="eastAsia" w:ascii="宋体" w:hAnsi="宋体" w:cs="宋体"/>
          <w:szCs w:val="21"/>
        </w:rPr>
        <w:t>总价包含的风险范围：</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风险费用的计算方法：</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风险范围以外合同价格的调整方法：</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t>3）其他价格方式：</w:t>
      </w:r>
      <w:r>
        <w:rPr>
          <w:rFonts w:hint="eastAsia" w:ascii="宋体" w:hAnsi="宋体" w:cs="宋体"/>
          <w:szCs w:val="21"/>
          <w:u w:val="single"/>
        </w:rPr>
        <w:t xml:space="preserve">                                          </w:t>
      </w:r>
      <w:r>
        <w:rPr>
          <w:rFonts w:hint="eastAsia" w:ascii="宋体" w:hAnsi="宋体" w:cs="宋体"/>
          <w:szCs w:val="21"/>
        </w:rPr>
        <w:t>。</w:t>
      </w:r>
    </w:p>
    <w:p>
      <w:pPr>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,1)</w:instrText>
      </w:r>
      <w:r>
        <w:rPr>
          <w:rFonts w:hint="eastAsia" w:ascii="宋体" w:hAnsi="宋体" w:cs="宋体"/>
          <w:szCs w:val="21"/>
        </w:rPr>
        <w:fldChar w:fldCharType="end"/>
      </w:r>
      <w:r>
        <w:rPr>
          <w:rFonts w:hint="eastAsia" w:ascii="宋体" w:hAnsi="宋体" w:cs="宋体"/>
          <w:szCs w:val="21"/>
        </w:rPr>
        <w:t>本合同签订后，合同总价对应的工程量清单中的所有单价包死，任何情况下不得调整。发包人不接受承包人基于任何清单项目单价在投标时的组价不当（包括但不限于项目名称对应的工作内容理解的偏差、工料耗量水平的确定、生产要素市场价格的判断、取费、材料涨价等）或任何其他差错而主张的任何损失或索赔。</w:t>
      </w:r>
    </w:p>
    <w:p>
      <w:pPr>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,2)</w:instrText>
      </w:r>
      <w:r>
        <w:rPr>
          <w:rFonts w:hint="eastAsia" w:ascii="宋体" w:hAnsi="宋体" w:cs="宋体"/>
          <w:szCs w:val="21"/>
        </w:rPr>
        <w:fldChar w:fldCharType="end"/>
      </w:r>
      <w:r>
        <w:rPr>
          <w:rFonts w:hint="eastAsia" w:ascii="宋体" w:hAnsi="宋体" w:cs="宋体"/>
          <w:szCs w:val="21"/>
        </w:rPr>
        <w:t>本合同签订后，合同总价对应的工程量清单中各分部分项工程的工程量本身不具备合同约束力。尽管这些工程量最初可能是由发包人随招标文件提供的，但承包人已经根据工程规范和技术要求、图纸及其他合同文件的要求对工程量清单进行了检查和校核并在此基础上已经进行了充分的修正。任何情况下，发包人不接受承包人基于在投标阶段对工程量计算或复核存在任何差错或疏忽而主张的任何损失或索赔。</w:t>
      </w:r>
    </w:p>
    <w:p>
      <w:pPr>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,3)</w:instrText>
      </w:r>
      <w:r>
        <w:rPr>
          <w:rFonts w:hint="eastAsia" w:ascii="宋体" w:hAnsi="宋体" w:cs="宋体"/>
          <w:szCs w:val="21"/>
        </w:rPr>
        <w:fldChar w:fldCharType="end"/>
      </w:r>
      <w:r>
        <w:rPr>
          <w:rFonts w:hint="eastAsia" w:ascii="宋体" w:hAnsi="宋体" w:cs="宋体"/>
          <w:szCs w:val="21"/>
        </w:rPr>
        <w:t>本合同签订以后，工程量清单中施工临时工程费固定包死。承包人已经在投标阶段充分理解了发包人在招标文件中为其设定的所有义务、责任和条件，并在其投标价格中已做考虑。除非发包人发布的变更导致相应的施工方案或施工组织设计发生实质性的变化，否则任何变更对合同内工作内容或工程量造成任何形式或程度的改变，都不构成承包人修改其措施项目和其他项目价格（费率）或提出任何索赔的理由。</w:t>
      </w:r>
    </w:p>
    <w:p>
      <w:pPr>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,4)</w:instrText>
      </w:r>
      <w:r>
        <w:rPr>
          <w:rFonts w:hint="eastAsia" w:ascii="宋体" w:hAnsi="宋体" w:cs="宋体"/>
          <w:szCs w:val="21"/>
        </w:rPr>
        <w:fldChar w:fldCharType="end"/>
      </w:r>
      <w:r>
        <w:rPr>
          <w:rFonts w:hint="eastAsia" w:ascii="宋体" w:hAnsi="宋体" w:cs="宋体"/>
          <w:szCs w:val="21"/>
        </w:rPr>
        <w:t>本合同签订后，合同单价中的各项取费，包括但不限于其管理费、利润、税金的取费水平（无论是费率还是绝对金额）固定包死，任何情况下均不得调整。</w:t>
      </w:r>
    </w:p>
    <w:p>
      <w:pPr>
        <w:snapToGrid w:val="0"/>
        <w:spacing w:line="360" w:lineRule="auto"/>
        <w:ind w:firstLine="420" w:firstLineChars="200"/>
        <w:rPr>
          <w:rFonts w:ascii="宋体" w:hAnsi="宋体" w:cs="宋体"/>
          <w:szCs w:val="21"/>
        </w:rPr>
      </w:pPr>
      <w:r>
        <w:rPr>
          <w:rFonts w:hint="eastAsia" w:ascii="宋体" w:hAnsi="宋体" w:cs="宋体"/>
          <w:szCs w:val="21"/>
        </w:rPr>
        <w:t xml:space="preserve"> 承包人进一步确认并同意：除本合同另有约定外，合同价格中已经包括完成招标文件及图纸范围内全部工作内容所需的费用以及：</w:t>
      </w: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,1)</w:instrText>
      </w:r>
      <w:r>
        <w:rPr>
          <w:rFonts w:hint="eastAsia" w:ascii="宋体" w:hAnsi="宋体" w:cs="宋体"/>
          <w:szCs w:val="21"/>
        </w:rPr>
        <w:fldChar w:fldCharType="end"/>
      </w:r>
      <w:r>
        <w:rPr>
          <w:rFonts w:hint="eastAsia" w:ascii="宋体" w:hAnsi="宋体" w:cs="宋体"/>
          <w:szCs w:val="21"/>
        </w:rPr>
        <w:t>所有的分部分项工程成本和措施项目成本；</w:t>
      </w: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,2)</w:instrText>
      </w:r>
      <w:r>
        <w:rPr>
          <w:rFonts w:hint="eastAsia" w:ascii="宋体" w:hAnsi="宋体" w:cs="宋体"/>
          <w:szCs w:val="21"/>
        </w:rPr>
        <w:fldChar w:fldCharType="end"/>
      </w:r>
      <w:r>
        <w:rPr>
          <w:rFonts w:hint="eastAsia" w:ascii="宋体" w:hAnsi="宋体" w:cs="宋体"/>
          <w:szCs w:val="21"/>
        </w:rPr>
        <w:t>承包人由承担此工程所需的管理费、利润、风险、税费；</w:t>
      </w: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,3)</w:instrText>
      </w:r>
      <w:r>
        <w:rPr>
          <w:rFonts w:hint="eastAsia" w:ascii="宋体" w:hAnsi="宋体" w:cs="宋体"/>
          <w:szCs w:val="21"/>
        </w:rPr>
        <w:fldChar w:fldCharType="end"/>
      </w:r>
      <w:r>
        <w:rPr>
          <w:rFonts w:hint="eastAsia" w:ascii="宋体" w:hAnsi="宋体" w:cs="宋体"/>
          <w:szCs w:val="21"/>
        </w:rPr>
        <w:t>缺陷修复和保修费用；</w:t>
      </w: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,4)</w:instrText>
      </w:r>
      <w:r>
        <w:rPr>
          <w:rFonts w:hint="eastAsia" w:ascii="宋体" w:hAnsi="宋体" w:cs="宋体"/>
          <w:szCs w:val="21"/>
        </w:rPr>
        <w:fldChar w:fldCharType="end"/>
      </w:r>
      <w:r>
        <w:rPr>
          <w:rFonts w:hint="eastAsia" w:ascii="宋体" w:hAnsi="宋体" w:cs="宋体"/>
          <w:szCs w:val="21"/>
        </w:rPr>
        <w:t>合同期内市场价格、政府收费等因素造成的价格变动；</w:t>
      </w: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,5)</w:instrText>
      </w:r>
      <w:r>
        <w:rPr>
          <w:rFonts w:hint="eastAsia" w:ascii="宋体" w:hAnsi="宋体" w:cs="宋体"/>
          <w:szCs w:val="21"/>
        </w:rPr>
        <w:fldChar w:fldCharType="end"/>
      </w:r>
      <w:r>
        <w:rPr>
          <w:rFonts w:hint="eastAsia" w:ascii="宋体" w:hAnsi="宋体" w:cs="宋体"/>
          <w:szCs w:val="21"/>
        </w:rPr>
        <w:t>为符合或满足发包人在本合同中为承包人设定的全部责任和义务所需要发生的所有费用。包括多次验收检查等。</w:t>
      </w:r>
    </w:p>
    <w:p>
      <w:pPr>
        <w:snapToGrid w:val="0"/>
        <w:spacing w:line="360" w:lineRule="auto"/>
        <w:ind w:firstLine="422" w:firstLineChars="200"/>
        <w:rPr>
          <w:rFonts w:ascii="宋体" w:hAnsi="宋体" w:cs="宋体"/>
          <w:b/>
          <w:bCs/>
          <w:szCs w:val="21"/>
        </w:rPr>
      </w:pPr>
      <w:r>
        <w:rPr>
          <w:rFonts w:hint="eastAsia" w:ascii="宋体" w:hAnsi="宋体" w:cs="宋体"/>
          <w:b/>
          <w:bCs/>
          <w:szCs w:val="21"/>
        </w:rPr>
        <w:t>风险范围以外合同价款调整方法：</w:t>
      </w:r>
    </w:p>
    <w:p>
      <w:pPr>
        <w:snapToGrid w:val="0"/>
        <w:spacing w:line="360" w:lineRule="auto"/>
        <w:ind w:firstLine="420" w:firstLineChars="200"/>
        <w:rPr>
          <w:rFonts w:ascii="宋体" w:hAnsi="宋体" w:cs="宋体"/>
          <w:szCs w:val="21"/>
          <w:u w:val="single"/>
        </w:rPr>
      </w:pPr>
      <w:r>
        <w:rPr>
          <w:rFonts w:hint="eastAsia" w:ascii="宋体" w:hAnsi="宋体" w:cs="宋体"/>
          <w:szCs w:val="21"/>
        </w:rPr>
        <w:t>除本合同另有约定或发生设计变更（受本合同23.3款的约束）以外，合同价格一律不予调整：</w:t>
      </w:r>
    </w:p>
    <w:p>
      <w:pPr>
        <w:snapToGrid w:val="0"/>
        <w:spacing w:line="360" w:lineRule="auto"/>
        <w:ind w:firstLine="420" w:firstLineChars="200"/>
        <w:rPr>
          <w:rFonts w:ascii="宋体" w:hAnsi="宋体" w:cs="宋体"/>
          <w:szCs w:val="21"/>
        </w:rPr>
      </w:pPr>
      <w:r>
        <w:rPr>
          <w:rFonts w:hint="eastAsia" w:ascii="宋体" w:hAnsi="宋体" w:cs="宋体"/>
          <w:szCs w:val="21"/>
        </w:rPr>
        <w:t>以上所述对合同价格的调整仅限于对上述因素影响所涉及的工作子目或项目的价格进行调整。任何根据本款调整后的合同价格适用于本合同下任何性质的计价、结算和支付。</w:t>
      </w:r>
    </w:p>
    <w:p>
      <w:pPr>
        <w:snapToGrid w:val="0"/>
        <w:spacing w:line="360" w:lineRule="auto"/>
        <w:ind w:firstLine="420" w:firstLineChars="200"/>
        <w:rPr>
          <w:rFonts w:ascii="宋体" w:hAnsi="宋体" w:cs="宋体"/>
          <w:szCs w:val="21"/>
          <w:u w:val="single"/>
        </w:rPr>
      </w:pPr>
      <w:bookmarkStart w:id="1566" w:name="_Toc123715532"/>
      <w:bookmarkStart w:id="1567" w:name="_Toc231612967"/>
      <w:bookmarkStart w:id="1568" w:name="_Toc231613114"/>
      <w:bookmarkStart w:id="1569" w:name="_Toc231612788"/>
      <w:r>
        <w:rPr>
          <w:rFonts w:hint="eastAsia" w:ascii="宋体" w:hAnsi="宋体" w:cs="宋体"/>
          <w:szCs w:val="21"/>
          <w:u w:val="single"/>
        </w:rPr>
        <w:t>(2) 采用可调价格合同，合同价款调整方法：不适用</w:t>
      </w:r>
      <w:bookmarkEnd w:id="1566"/>
      <w:bookmarkEnd w:id="1567"/>
      <w:bookmarkEnd w:id="1568"/>
      <w:bookmarkEnd w:id="1569"/>
      <w:r>
        <w:rPr>
          <w:rFonts w:hint="eastAsia" w:ascii="宋体" w:hAnsi="宋体" w:cs="宋体"/>
          <w:szCs w:val="21"/>
          <w:u w:val="single"/>
        </w:rPr>
        <w:t xml:space="preserve"> </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 xml:space="preserve">(3) 采用成本加酬金合同，有关成本和酬金的约定：不适用 </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23.3 双方约定合同价款的其他调整因素：除经批准的设计变更外，无其他调整因素。</w:t>
      </w:r>
    </w:p>
    <w:p>
      <w:pPr>
        <w:adjustRightInd w:val="0"/>
        <w:snapToGrid w:val="0"/>
        <w:spacing w:line="360" w:lineRule="auto"/>
        <w:ind w:firstLine="422" w:firstLineChars="200"/>
        <w:rPr>
          <w:rFonts w:ascii="宋体" w:hAnsi="宋体" w:cs="宋体"/>
          <w:b/>
          <w:szCs w:val="21"/>
        </w:rPr>
      </w:pPr>
      <w:bookmarkStart w:id="1570" w:name="_Toc98239448"/>
      <w:bookmarkStart w:id="1571" w:name="_Toc100123552"/>
      <w:bookmarkStart w:id="1572" w:name="_Toc115511345"/>
      <w:bookmarkStart w:id="1573" w:name="_Toc231612789"/>
      <w:bookmarkStart w:id="1574" w:name="_Toc123715533"/>
      <w:bookmarkStart w:id="1575" w:name="_Toc101156030"/>
      <w:bookmarkStart w:id="1576" w:name="_Toc193188700"/>
      <w:bookmarkStart w:id="1577" w:name="_Toc101155827"/>
      <w:bookmarkStart w:id="1578" w:name="_Toc99792342"/>
      <w:bookmarkStart w:id="1579" w:name="_Toc98238984"/>
      <w:r>
        <w:rPr>
          <w:rFonts w:hint="eastAsia" w:ascii="宋体" w:hAnsi="宋体" w:cs="宋体"/>
          <w:b/>
          <w:szCs w:val="21"/>
        </w:rPr>
        <w:t>24、工程预付款</w:t>
      </w:r>
      <w:bookmarkEnd w:id="1570"/>
      <w:bookmarkEnd w:id="1571"/>
      <w:bookmarkEnd w:id="1572"/>
      <w:bookmarkEnd w:id="1573"/>
      <w:bookmarkEnd w:id="1574"/>
      <w:bookmarkEnd w:id="1575"/>
      <w:bookmarkEnd w:id="1576"/>
      <w:bookmarkEnd w:id="1577"/>
      <w:bookmarkEnd w:id="1578"/>
      <w:bookmarkEnd w:id="1579"/>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24.1本款补充如下内容：</w:t>
      </w:r>
    </w:p>
    <w:p>
      <w:pPr>
        <w:snapToGrid w:val="0"/>
        <w:spacing w:line="360" w:lineRule="auto"/>
        <w:ind w:firstLine="420" w:firstLineChars="200"/>
        <w:rPr>
          <w:rFonts w:ascii="宋体" w:hAnsi="宋体" w:cs="宋体"/>
          <w:szCs w:val="21"/>
        </w:rPr>
      </w:pPr>
      <w:r>
        <w:rPr>
          <w:rFonts w:hint="eastAsia" w:ascii="宋体" w:hAnsi="宋体" w:cs="宋体"/>
          <w:szCs w:val="21"/>
        </w:rPr>
        <w:t>除合同中另有约定，承包人应于收到中标通知书之日后28天内向工程师提交一份体现整个合同期内资金流量的计划，资金流量计划的格式应经过工程师批准。此资金流量计划编制的具体要求为：</w:t>
      </w:r>
    </w:p>
    <w:p>
      <w:pPr>
        <w:snapToGrid w:val="0"/>
        <w:spacing w:line="360" w:lineRule="auto"/>
        <w:ind w:firstLine="420" w:firstLineChars="200"/>
        <w:rPr>
          <w:rFonts w:ascii="宋体" w:hAnsi="宋体" w:cs="宋体"/>
          <w:szCs w:val="21"/>
        </w:rPr>
      </w:pPr>
      <w:r>
        <w:rPr>
          <w:rFonts w:hint="eastAsia" w:ascii="宋体" w:hAnsi="宋体" w:cs="宋体"/>
          <w:szCs w:val="21"/>
        </w:rPr>
        <w:t>发包人向承包人预付工程款的前提条件是承包人已向发包人提交了符合合同约定的履约保证金。发包人按合同约定支付给承包人的预付款应是无息的。</w:t>
      </w:r>
    </w:p>
    <w:p>
      <w:pPr>
        <w:snapToGrid w:val="0"/>
        <w:spacing w:line="360" w:lineRule="auto"/>
        <w:ind w:firstLine="420" w:firstLineChars="200"/>
        <w:rPr>
          <w:rFonts w:ascii="宋体" w:hAnsi="宋体" w:cs="宋体"/>
          <w:szCs w:val="21"/>
        </w:rPr>
      </w:pPr>
      <w:r>
        <w:rPr>
          <w:rFonts w:hint="eastAsia" w:ascii="宋体" w:hAnsi="宋体" w:cs="宋体"/>
          <w:szCs w:val="21"/>
        </w:rPr>
        <w:t>如果承包人在颁发工程竣工移交证书之前或按本合同第44条解除合同前尚未按照本款偿清预付款，承包人应将当时未偿还部分的全部余额支付给发包人，否则发包人有权从任何应该支付或将要支付给承包人的金额中扣除该部分未偿还金额。</w:t>
      </w:r>
    </w:p>
    <w:p>
      <w:pPr>
        <w:snapToGrid w:val="0"/>
        <w:spacing w:line="360" w:lineRule="auto"/>
        <w:ind w:firstLine="420" w:firstLineChars="200"/>
        <w:rPr>
          <w:rFonts w:ascii="宋体" w:hAnsi="宋体" w:cs="宋体"/>
          <w:szCs w:val="21"/>
          <w:u w:val="single"/>
        </w:rPr>
      </w:pPr>
      <w:r>
        <w:rPr>
          <w:rFonts w:hint="eastAsia" w:ascii="宋体" w:hAnsi="宋体" w:cs="宋体"/>
          <w:szCs w:val="21"/>
        </w:rPr>
        <w:t>发包人向承包人预付工程款的时间和金额或占合同价款总额的比例：</w:t>
      </w:r>
      <w:r>
        <w:rPr>
          <w:rFonts w:hint="eastAsia" w:ascii="宋体" w:hAnsi="宋体" w:cs="宋体"/>
          <w:szCs w:val="21"/>
          <w:u w:val="single"/>
        </w:rPr>
        <w:t>预付款为合同价款总额的10%，在承包人向发包人提交了符合合同约定的履约保证金及风险保证金（如有）并签订合同后，按施工现场材料或机械购进情况以及支付事项经现场监理，业主审核后再支付承包人。</w:t>
      </w:r>
    </w:p>
    <w:p>
      <w:pPr>
        <w:snapToGrid w:val="0"/>
        <w:spacing w:line="360" w:lineRule="auto"/>
        <w:ind w:firstLine="420" w:firstLineChars="200"/>
        <w:rPr>
          <w:rFonts w:ascii="宋体" w:hAnsi="宋体" w:cs="宋体"/>
          <w:szCs w:val="21"/>
          <w:u w:val="single"/>
        </w:rPr>
      </w:pPr>
      <w:r>
        <w:rPr>
          <w:rFonts w:hint="eastAsia" w:ascii="宋体" w:hAnsi="宋体" w:cs="宋体"/>
          <w:szCs w:val="21"/>
        </w:rPr>
        <w:t>扣回预付款的时间、比例：</w:t>
      </w:r>
      <w:r>
        <w:rPr>
          <w:rFonts w:hint="eastAsia" w:ascii="宋体" w:hAnsi="宋体" w:cs="宋体"/>
          <w:szCs w:val="21"/>
          <w:u w:val="single"/>
        </w:rPr>
        <w:t>付款额达到50%合同价款时，开始逐月扣回预付款，并在付款额达到80%的合同价时全额扣完。</w:t>
      </w:r>
    </w:p>
    <w:p>
      <w:pPr>
        <w:adjustRightInd w:val="0"/>
        <w:snapToGrid w:val="0"/>
        <w:spacing w:line="360" w:lineRule="auto"/>
        <w:ind w:firstLine="422" w:firstLineChars="200"/>
        <w:rPr>
          <w:rFonts w:ascii="宋体" w:hAnsi="宋体" w:cs="宋体"/>
          <w:b/>
          <w:szCs w:val="21"/>
        </w:rPr>
      </w:pPr>
      <w:bookmarkStart w:id="1580" w:name="_Toc98239449"/>
      <w:bookmarkStart w:id="1581" w:name="_Toc100123553"/>
      <w:bookmarkStart w:id="1582" w:name="_Toc231612790"/>
      <w:bookmarkStart w:id="1583" w:name="_Toc115511346"/>
      <w:bookmarkStart w:id="1584" w:name="_Toc101155828"/>
      <w:bookmarkStart w:id="1585" w:name="_Toc193188701"/>
      <w:bookmarkStart w:id="1586" w:name="_Toc101156031"/>
      <w:bookmarkStart w:id="1587" w:name="_Toc123715534"/>
      <w:bookmarkStart w:id="1588" w:name="_Toc99792343"/>
      <w:bookmarkStart w:id="1589" w:name="_Toc98238985"/>
      <w:r>
        <w:rPr>
          <w:rFonts w:hint="eastAsia" w:ascii="宋体" w:hAnsi="宋体" w:cs="宋体"/>
          <w:b/>
          <w:szCs w:val="21"/>
        </w:rPr>
        <w:t>25、工程量的确认</w:t>
      </w:r>
      <w:bookmarkEnd w:id="1580"/>
      <w:bookmarkEnd w:id="1581"/>
      <w:bookmarkEnd w:id="1582"/>
      <w:bookmarkEnd w:id="1583"/>
      <w:bookmarkEnd w:id="1584"/>
      <w:bookmarkEnd w:id="1585"/>
      <w:bookmarkEnd w:id="1586"/>
      <w:bookmarkEnd w:id="1587"/>
      <w:bookmarkEnd w:id="1588"/>
      <w:bookmarkEnd w:id="1589"/>
    </w:p>
    <w:p>
      <w:pPr>
        <w:adjustRightInd w:val="0"/>
        <w:snapToGrid w:val="0"/>
        <w:spacing w:line="360" w:lineRule="auto"/>
        <w:ind w:firstLine="420" w:firstLineChars="200"/>
        <w:rPr>
          <w:rFonts w:ascii="宋体" w:hAnsi="宋体" w:cs="宋体"/>
          <w:szCs w:val="21"/>
        </w:rPr>
      </w:pPr>
      <w:bookmarkStart w:id="1590" w:name="_Toc123715535"/>
      <w:r>
        <w:rPr>
          <w:rFonts w:hint="eastAsia" w:ascii="宋体" w:hAnsi="宋体" w:cs="宋体"/>
          <w:szCs w:val="21"/>
        </w:rPr>
        <w:t>25.1 承包人向工程师提交已完工程量报告的时间：</w:t>
      </w:r>
      <w:bookmarkEnd w:id="1590"/>
    </w:p>
    <w:p>
      <w:pPr>
        <w:snapToGrid w:val="0"/>
        <w:spacing w:line="360" w:lineRule="auto"/>
        <w:ind w:firstLine="420" w:firstLineChars="200"/>
        <w:rPr>
          <w:rFonts w:ascii="宋体" w:hAnsi="宋体" w:cs="宋体"/>
          <w:szCs w:val="21"/>
        </w:rPr>
      </w:pPr>
      <w:r>
        <w:rPr>
          <w:rFonts w:hint="eastAsia" w:ascii="宋体" w:hAnsi="宋体" w:cs="宋体"/>
          <w:szCs w:val="21"/>
        </w:rPr>
        <w:t>承包人应于每月25日向监理人报送上月20日至当月19日已完成的工程量报告，并附具进度付款申请单、已完成工程量报表和有关资料。</w:t>
      </w:r>
      <w:bookmarkStart w:id="1591" w:name="_Toc193188702"/>
      <w:bookmarkStart w:id="1592" w:name="_Toc101156032"/>
      <w:bookmarkStart w:id="1593" w:name="_Toc231612791"/>
      <w:bookmarkStart w:id="1594" w:name="_Toc123715536"/>
      <w:bookmarkStart w:id="1595" w:name="_Toc101155829"/>
      <w:bookmarkStart w:id="1596" w:name="_Toc98239450"/>
      <w:bookmarkStart w:id="1597" w:name="_Toc100123554"/>
      <w:bookmarkStart w:id="1598" w:name="_Toc115511347"/>
      <w:bookmarkStart w:id="1599" w:name="_Toc98238986"/>
      <w:bookmarkStart w:id="1600" w:name="_Toc99792344"/>
    </w:p>
    <w:p>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26、工程款（进度款）支付</w:t>
      </w:r>
      <w:bookmarkEnd w:id="1591"/>
      <w:bookmarkEnd w:id="1592"/>
      <w:bookmarkEnd w:id="1593"/>
      <w:bookmarkEnd w:id="1594"/>
      <w:bookmarkEnd w:id="1595"/>
      <w:bookmarkEnd w:id="1596"/>
      <w:bookmarkEnd w:id="1597"/>
      <w:bookmarkEnd w:id="1598"/>
      <w:bookmarkEnd w:id="1599"/>
      <w:bookmarkEnd w:id="1600"/>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双方约定的工程款（进度款）支付的方式和时间：</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（1）除本合同中另有约定外，本工程的进度款支付将采用按月支付的方式。</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2）在收到承包人提交的已完工程量报告和进度款请款单后的7天内，工程师应向发包人发送一份进度款付款单，列出工程师认为该月应向承包人支付的工程进度款金额，同时将一份副本开具给承包人。如果对承包人提交的进度款请款单的某部分有争议，工程师就无争议的部分开具进度款付款单。</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（3）发包人应在工程师向发包人发送进度款付款单之日后14天内完成对工程师开具的进度款付款单中所列的款额的审核和批复，并应在完成审核和批复之后14天内按照审核的款项的80%向承包人支付款项。</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（4）如果上月或当月有不合格的分部、分项工程且未按工程师的要求整改，按当月进度款的1%-10%扣罚，且本月进度款暂不予支付，直到整改合格后支付（不含利息）。</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（5）当工程进度款支付到合同金额的80%时，发包人不再向承包人支付工程款，待财政部门出具工程决算批复报告后，再依此付至合同金额的97%，剩余的3%工程款作为本工程的工程保修金。</w:t>
      </w:r>
    </w:p>
    <w:p>
      <w:pPr>
        <w:snapToGrid w:val="0"/>
        <w:spacing w:line="360" w:lineRule="auto"/>
        <w:ind w:firstLine="420" w:firstLineChars="200"/>
        <w:rPr>
          <w:rFonts w:ascii="宋体" w:hAnsi="宋体" w:cs="宋体"/>
          <w:szCs w:val="21"/>
          <w:u w:val="single"/>
        </w:rPr>
      </w:pPr>
      <w:r>
        <w:rPr>
          <w:rFonts w:hint="eastAsia" w:ascii="宋体" w:hAnsi="宋体" w:cs="宋体"/>
          <w:szCs w:val="21"/>
          <w:u w:val="single"/>
        </w:rPr>
        <w:t>（6）项目最终验收后28天内，发包人向承包人支付工程保修金。</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另本条中补充以下各款：</w:t>
      </w:r>
    </w:p>
    <w:p>
      <w:pPr>
        <w:snapToGrid w:val="0"/>
        <w:spacing w:line="360" w:lineRule="auto"/>
        <w:ind w:firstLine="422" w:firstLineChars="200"/>
        <w:rPr>
          <w:rFonts w:ascii="宋体" w:hAnsi="宋体" w:cs="宋体"/>
          <w:szCs w:val="21"/>
        </w:rPr>
      </w:pPr>
      <w:r>
        <w:rPr>
          <w:rFonts w:hint="eastAsia" w:ascii="宋体" w:hAnsi="宋体" w:cs="宋体"/>
          <w:b/>
          <w:bCs/>
          <w:szCs w:val="21"/>
        </w:rPr>
        <w:t>26.5</w:t>
      </w:r>
      <w:r>
        <w:rPr>
          <w:rFonts w:hint="eastAsia" w:ascii="宋体" w:hAnsi="宋体" w:cs="宋体"/>
          <w:szCs w:val="21"/>
        </w:rPr>
        <w:t>承包人应编制已完工程量报告，并作为第26.6款所述的月度进度款请款单的附件或证明文件提交给工程师。第一份已完工程量报告应在开工日期所在月份的最后一天之后的14天内提交，所包含的期间应从开工日期起至开工日期所在月历的最后一天止；此后的每份已完工程量报告均应在当月最后一天之后的14天内提交，所包含的期间应从当月的第一天起至当月的最后一天止，直至工程竣工并移交为止。每一份已完工程量报告应包括：</w:t>
      </w:r>
    </w:p>
    <w:p>
      <w:pPr>
        <w:snapToGrid w:val="0"/>
        <w:spacing w:line="360" w:lineRule="auto"/>
        <w:ind w:firstLine="420" w:firstLineChars="200"/>
        <w:rPr>
          <w:rFonts w:ascii="宋体" w:hAnsi="宋体" w:cs="宋体"/>
          <w:szCs w:val="21"/>
        </w:rPr>
      </w:pPr>
      <w:bookmarkStart w:id="1601" w:name="_Toc231613115"/>
      <w:bookmarkStart w:id="1602" w:name="_Toc231612968"/>
      <w:bookmarkStart w:id="1603" w:name="_Toc231612792"/>
      <w:r>
        <w:rPr>
          <w:rFonts w:hint="eastAsia" w:ascii="宋体" w:hAnsi="宋体" w:cs="宋体"/>
          <w:szCs w:val="21"/>
        </w:rPr>
        <w:t>（1）已完工程量和本月完成工程量；</w:t>
      </w:r>
      <w:bookmarkEnd w:id="1601"/>
      <w:bookmarkEnd w:id="1602"/>
      <w:bookmarkEnd w:id="1603"/>
    </w:p>
    <w:p>
      <w:pPr>
        <w:snapToGrid w:val="0"/>
        <w:spacing w:line="360" w:lineRule="auto"/>
        <w:ind w:firstLine="420" w:firstLineChars="200"/>
        <w:rPr>
          <w:rFonts w:ascii="宋体" w:hAnsi="宋体" w:cs="宋体"/>
          <w:szCs w:val="21"/>
        </w:rPr>
      </w:pPr>
      <w:r>
        <w:rPr>
          <w:rFonts w:hint="eastAsia" w:ascii="宋体" w:hAnsi="宋体" w:cs="宋体"/>
          <w:szCs w:val="21"/>
        </w:rPr>
        <w:t>（2）反映工程进展情况的详细说明和任何必要的图表；</w:t>
      </w:r>
    </w:p>
    <w:p>
      <w:pPr>
        <w:snapToGrid w:val="0"/>
        <w:spacing w:line="360" w:lineRule="auto"/>
        <w:ind w:firstLine="420" w:firstLineChars="200"/>
        <w:rPr>
          <w:rFonts w:ascii="宋体" w:hAnsi="宋体" w:cs="宋体"/>
          <w:szCs w:val="21"/>
        </w:rPr>
      </w:pPr>
      <w:bookmarkStart w:id="1604" w:name="_Toc231612969"/>
      <w:bookmarkStart w:id="1605" w:name="_Toc231613116"/>
      <w:bookmarkStart w:id="1606" w:name="_Toc231612793"/>
      <w:r>
        <w:rPr>
          <w:rFonts w:hint="eastAsia" w:ascii="宋体" w:hAnsi="宋体" w:cs="宋体"/>
          <w:szCs w:val="21"/>
        </w:rPr>
        <w:t>（3）承包人在现场的人员及施工机械的记录；</w:t>
      </w:r>
      <w:bookmarkEnd w:id="1604"/>
      <w:bookmarkEnd w:id="1605"/>
      <w:bookmarkEnd w:id="1606"/>
    </w:p>
    <w:p>
      <w:pPr>
        <w:snapToGrid w:val="0"/>
        <w:spacing w:line="360" w:lineRule="auto"/>
        <w:ind w:firstLine="420" w:firstLineChars="200"/>
        <w:rPr>
          <w:rFonts w:ascii="宋体" w:hAnsi="宋体" w:cs="宋体"/>
          <w:szCs w:val="21"/>
        </w:rPr>
      </w:pPr>
      <w:r>
        <w:rPr>
          <w:rFonts w:hint="eastAsia" w:ascii="宋体" w:hAnsi="宋体" w:cs="宋体"/>
          <w:szCs w:val="21"/>
        </w:rPr>
        <w:t>（4）必要的质量证明文件、材料的检验结果及证书；</w:t>
      </w:r>
    </w:p>
    <w:p>
      <w:pPr>
        <w:snapToGrid w:val="0"/>
        <w:spacing w:line="360" w:lineRule="auto"/>
        <w:ind w:firstLine="420" w:firstLineChars="200"/>
        <w:rPr>
          <w:rFonts w:ascii="宋体" w:hAnsi="宋体" w:cs="宋体"/>
          <w:szCs w:val="21"/>
        </w:rPr>
      </w:pPr>
      <w:bookmarkStart w:id="1607" w:name="_Toc231612794"/>
      <w:bookmarkStart w:id="1608" w:name="_Toc231612970"/>
      <w:bookmarkStart w:id="1609" w:name="_Toc231613117"/>
      <w:r>
        <w:rPr>
          <w:rFonts w:hint="eastAsia" w:ascii="宋体" w:hAnsi="宋体" w:cs="宋体"/>
          <w:szCs w:val="21"/>
        </w:rPr>
        <w:t>（5）安全状况；</w:t>
      </w:r>
      <w:bookmarkEnd w:id="1607"/>
      <w:bookmarkEnd w:id="1608"/>
      <w:bookmarkEnd w:id="1609"/>
    </w:p>
    <w:p>
      <w:pPr>
        <w:snapToGrid w:val="0"/>
        <w:spacing w:line="360" w:lineRule="auto"/>
        <w:ind w:firstLine="420" w:firstLineChars="200"/>
        <w:rPr>
          <w:rFonts w:ascii="宋体" w:hAnsi="宋体" w:cs="宋体"/>
          <w:szCs w:val="21"/>
        </w:rPr>
      </w:pPr>
      <w:r>
        <w:rPr>
          <w:rFonts w:hint="eastAsia" w:ascii="宋体" w:hAnsi="宋体" w:cs="宋体"/>
          <w:szCs w:val="21"/>
        </w:rPr>
        <w:t>（6）实际进度与计划进度的对比，包括可能影响工程按照进度计划进行的任何因素，以及为消除这些因素正在采取（或准备采取）的措施。</w:t>
      </w:r>
    </w:p>
    <w:p>
      <w:pPr>
        <w:snapToGrid w:val="0"/>
        <w:spacing w:line="360" w:lineRule="auto"/>
        <w:ind w:firstLine="422" w:firstLineChars="200"/>
        <w:rPr>
          <w:rFonts w:ascii="宋体" w:hAnsi="宋体" w:cs="宋体"/>
          <w:szCs w:val="21"/>
        </w:rPr>
      </w:pPr>
      <w:r>
        <w:rPr>
          <w:rFonts w:hint="eastAsia" w:ascii="宋体" w:hAnsi="宋体" w:cs="宋体"/>
          <w:b/>
          <w:bCs/>
          <w:szCs w:val="21"/>
        </w:rPr>
        <w:t>26.6</w:t>
      </w:r>
      <w:r>
        <w:rPr>
          <w:rFonts w:hint="eastAsia" w:ascii="宋体" w:hAnsi="宋体" w:cs="宋体"/>
          <w:szCs w:val="21"/>
        </w:rPr>
        <w:t>承包人应按工程师同意的格式，并按照第26.5款中相同的时间要求，每月向工程师提交一式三份的月度进度款请款单，说明承包人认为自己在该月度有权得到的款额，同时提交包括第 26.5 款中已完工程量报告在内的任何必要的计算书、清单或其他证明文件。</w:t>
      </w:r>
    </w:p>
    <w:p>
      <w:pPr>
        <w:adjustRightInd w:val="0"/>
        <w:snapToGrid w:val="0"/>
        <w:spacing w:line="360" w:lineRule="auto"/>
        <w:rPr>
          <w:rFonts w:ascii="方正黑体_GBK" w:hAnsi="宋体" w:eastAsia="方正黑体_GBK" w:cs="宋体"/>
          <w:b/>
          <w:bCs/>
          <w:szCs w:val="21"/>
        </w:rPr>
      </w:pPr>
      <w:bookmarkStart w:id="1610" w:name="_Toc98239451"/>
      <w:bookmarkStart w:id="1611" w:name="_Toc123715537"/>
      <w:bookmarkStart w:id="1612" w:name="_Toc115511348"/>
      <w:bookmarkStart w:id="1613" w:name="_Toc101155830"/>
      <w:bookmarkStart w:id="1614" w:name="_Toc231612971"/>
      <w:bookmarkStart w:id="1615" w:name="_Toc193188703"/>
      <w:bookmarkStart w:id="1616" w:name="_Toc101156033"/>
      <w:bookmarkStart w:id="1617" w:name="_Toc98238987"/>
      <w:bookmarkStart w:id="1618" w:name="_Toc100123555"/>
      <w:bookmarkStart w:id="1619" w:name="_Toc231613118"/>
      <w:bookmarkStart w:id="1620" w:name="_Toc231612795"/>
      <w:bookmarkStart w:id="1621" w:name="_Toc99792345"/>
      <w:r>
        <w:rPr>
          <w:rFonts w:hint="eastAsia" w:ascii="方正黑体_GBK" w:hAnsi="宋体" w:eastAsia="方正黑体_GBK" w:cs="宋体"/>
          <w:b/>
          <w:bCs/>
          <w:szCs w:val="21"/>
        </w:rPr>
        <w:t>七、材料设备供应</w:t>
      </w:r>
      <w:bookmarkEnd w:id="1610"/>
      <w:bookmarkEnd w:id="1611"/>
      <w:bookmarkEnd w:id="1612"/>
      <w:bookmarkEnd w:id="1613"/>
      <w:bookmarkEnd w:id="1614"/>
      <w:bookmarkEnd w:id="1615"/>
      <w:bookmarkEnd w:id="1616"/>
      <w:bookmarkEnd w:id="1617"/>
      <w:bookmarkEnd w:id="1618"/>
      <w:bookmarkEnd w:id="1619"/>
      <w:bookmarkEnd w:id="1620"/>
      <w:bookmarkEnd w:id="1621"/>
    </w:p>
    <w:p>
      <w:pPr>
        <w:adjustRightInd w:val="0"/>
        <w:snapToGrid w:val="0"/>
        <w:spacing w:line="360" w:lineRule="auto"/>
        <w:ind w:firstLine="422" w:firstLineChars="200"/>
        <w:rPr>
          <w:rFonts w:ascii="宋体" w:hAnsi="宋体" w:cs="宋体"/>
          <w:b/>
          <w:szCs w:val="21"/>
        </w:rPr>
      </w:pPr>
      <w:bookmarkStart w:id="1622" w:name="_Toc101155831"/>
      <w:bookmarkStart w:id="1623" w:name="_Toc231612796"/>
      <w:bookmarkStart w:id="1624" w:name="_Toc100123556"/>
      <w:bookmarkStart w:id="1625" w:name="_Toc193188704"/>
      <w:bookmarkStart w:id="1626" w:name="_Toc123715538"/>
      <w:bookmarkStart w:id="1627" w:name="_Toc115511349"/>
      <w:bookmarkStart w:id="1628" w:name="_Toc101156034"/>
      <w:bookmarkStart w:id="1629" w:name="_Toc98239452"/>
      <w:bookmarkStart w:id="1630" w:name="_Toc98238988"/>
      <w:bookmarkStart w:id="1631" w:name="_Toc99792346"/>
      <w:r>
        <w:rPr>
          <w:rFonts w:hint="eastAsia" w:ascii="宋体" w:hAnsi="宋体" w:cs="宋体"/>
          <w:b/>
          <w:szCs w:val="21"/>
        </w:rPr>
        <w:t>27、发包人供应材料设备</w:t>
      </w:r>
      <w:bookmarkEnd w:id="1622"/>
      <w:bookmarkEnd w:id="1623"/>
      <w:bookmarkEnd w:id="1624"/>
      <w:bookmarkEnd w:id="1625"/>
      <w:bookmarkEnd w:id="1626"/>
      <w:bookmarkEnd w:id="1627"/>
      <w:bookmarkEnd w:id="1628"/>
      <w:bookmarkEnd w:id="1629"/>
      <w:bookmarkEnd w:id="1630"/>
      <w:bookmarkEnd w:id="1631"/>
    </w:p>
    <w:p>
      <w:pPr>
        <w:snapToGrid w:val="0"/>
        <w:spacing w:line="360" w:lineRule="auto"/>
        <w:ind w:firstLine="420" w:firstLineChars="200"/>
        <w:rPr>
          <w:rFonts w:ascii="宋体" w:hAnsi="宋体" w:cs="宋体"/>
          <w:szCs w:val="21"/>
          <w:u w:val="single"/>
        </w:rPr>
      </w:pPr>
      <w:r>
        <w:rPr>
          <w:rFonts w:hint="eastAsia" w:ascii="宋体" w:hAnsi="宋体" w:cs="宋体"/>
          <w:szCs w:val="21"/>
        </w:rPr>
        <w:t>发包人供应材料设备</w:t>
      </w:r>
      <w:r>
        <w:rPr>
          <w:rFonts w:hint="eastAsia" w:ascii="宋体" w:hAnsi="宋体" w:cs="宋体"/>
          <w:szCs w:val="21"/>
          <w:u w:val="single"/>
        </w:rPr>
        <w:t xml:space="preserve">   /  。    </w:t>
      </w:r>
    </w:p>
    <w:p>
      <w:pPr>
        <w:adjustRightInd w:val="0"/>
        <w:snapToGrid w:val="0"/>
        <w:spacing w:line="360" w:lineRule="auto"/>
        <w:ind w:firstLine="422" w:firstLineChars="200"/>
        <w:rPr>
          <w:rFonts w:ascii="宋体" w:hAnsi="宋体" w:cs="宋体"/>
          <w:b/>
          <w:szCs w:val="21"/>
        </w:rPr>
      </w:pPr>
      <w:bookmarkStart w:id="1632" w:name="_Toc100123557"/>
      <w:bookmarkStart w:id="1633" w:name="_Toc101156035"/>
      <w:bookmarkStart w:id="1634" w:name="_Toc101155832"/>
      <w:bookmarkStart w:id="1635" w:name="_Toc193188705"/>
      <w:bookmarkStart w:id="1636" w:name="_Toc99792347"/>
      <w:bookmarkStart w:id="1637" w:name="_Toc231612797"/>
      <w:bookmarkStart w:id="1638" w:name="_Toc231612972"/>
      <w:bookmarkStart w:id="1639" w:name="_Toc98239453"/>
      <w:bookmarkStart w:id="1640" w:name="_Toc123715539"/>
      <w:bookmarkStart w:id="1641" w:name="_Toc115511350"/>
      <w:bookmarkStart w:id="1642" w:name="_Toc231613119"/>
      <w:bookmarkStart w:id="1643" w:name="_Toc98238989"/>
      <w:r>
        <w:rPr>
          <w:rFonts w:hint="eastAsia" w:ascii="宋体" w:hAnsi="宋体" w:cs="宋体"/>
          <w:b/>
          <w:szCs w:val="21"/>
        </w:rPr>
        <w:t>28、承包人采购材料设备</w:t>
      </w:r>
      <w:bookmarkEnd w:id="1632"/>
      <w:bookmarkEnd w:id="1633"/>
      <w:bookmarkEnd w:id="1634"/>
      <w:bookmarkEnd w:id="1635"/>
      <w:bookmarkEnd w:id="1636"/>
      <w:bookmarkEnd w:id="1637"/>
      <w:bookmarkEnd w:id="1638"/>
      <w:bookmarkEnd w:id="1639"/>
      <w:bookmarkEnd w:id="1640"/>
      <w:bookmarkEnd w:id="1641"/>
      <w:bookmarkEnd w:id="1642"/>
      <w:bookmarkEnd w:id="1643"/>
    </w:p>
    <w:p>
      <w:pPr>
        <w:adjustRightInd w:val="0"/>
        <w:snapToGrid w:val="0"/>
        <w:spacing w:line="360" w:lineRule="auto"/>
        <w:ind w:firstLine="420" w:firstLineChars="200"/>
        <w:rPr>
          <w:rFonts w:ascii="宋体" w:hAnsi="宋体" w:cs="宋体"/>
          <w:szCs w:val="21"/>
        </w:rPr>
      </w:pPr>
      <w:bookmarkStart w:id="1644" w:name="_Toc123715540"/>
      <w:bookmarkStart w:id="1645" w:name="_Toc231613120"/>
      <w:bookmarkStart w:id="1646" w:name="_Toc231612973"/>
      <w:bookmarkStart w:id="1647" w:name="_Toc231612798"/>
      <w:r>
        <w:rPr>
          <w:rFonts w:hint="eastAsia" w:ascii="宋体" w:hAnsi="宋体" w:cs="宋体"/>
          <w:szCs w:val="21"/>
        </w:rPr>
        <w:t>28.1承包人采购材料设备的约定：必须符合合同的约定，并且必须经过发包人和监理工程师验收或批准后方可使用。</w:t>
      </w:r>
      <w:bookmarkEnd w:id="1644"/>
      <w:bookmarkEnd w:id="1645"/>
      <w:bookmarkEnd w:id="1646"/>
      <w:bookmarkEnd w:id="1647"/>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将通用条款28.3款修改如下：</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 xml:space="preserve">28.3 </w:t>
      </w:r>
      <w:r>
        <w:rPr>
          <w:rFonts w:hint="eastAsia" w:ascii="宋体" w:hAnsi="宋体" w:cs="宋体"/>
          <w:szCs w:val="21"/>
        </w:rPr>
        <w:t>承包人采购的材料设备在使用前，承包人应按工程师的要求进行检验或试验，不合格的不得使用，并在工程师要求的时间内将不合格材料、设备清退出场，检验或试验费用由承包人承担。</w:t>
      </w:r>
    </w:p>
    <w:p>
      <w:pPr>
        <w:adjustRightInd w:val="0"/>
        <w:snapToGrid w:val="0"/>
        <w:spacing w:line="360" w:lineRule="auto"/>
        <w:ind w:firstLine="422" w:firstLineChars="200"/>
        <w:rPr>
          <w:rFonts w:ascii="宋体" w:hAnsi="宋体" w:cs="宋体"/>
          <w:b/>
          <w:bCs/>
          <w:szCs w:val="21"/>
        </w:rPr>
      </w:pPr>
      <w:bookmarkStart w:id="1648" w:name="_Toc123715541"/>
      <w:r>
        <w:rPr>
          <w:rFonts w:hint="eastAsia" w:ascii="宋体" w:hAnsi="宋体" w:cs="宋体"/>
          <w:b/>
          <w:bCs/>
          <w:szCs w:val="21"/>
        </w:rPr>
        <w:t>将通用条款28.5款修改如下：</w:t>
      </w:r>
      <w:bookmarkEnd w:id="1648"/>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28.5</w:t>
      </w:r>
      <w:r>
        <w:rPr>
          <w:rFonts w:hint="eastAsia" w:ascii="宋体" w:hAnsi="宋体" w:cs="宋体"/>
          <w:szCs w:val="21"/>
        </w:rPr>
        <w:t>承包人需要使用代用材料时，应经工程师和发包人、设计单位代表共同认可后才能使用，合同价款调整必须按有关规定处理并以书面形式确定。</w:t>
      </w:r>
    </w:p>
    <w:p>
      <w:pPr>
        <w:snapToGrid w:val="0"/>
        <w:spacing w:line="360" w:lineRule="auto"/>
        <w:ind w:firstLine="420" w:firstLineChars="200"/>
        <w:rPr>
          <w:rFonts w:ascii="宋体" w:hAnsi="宋体" w:cs="宋体"/>
          <w:szCs w:val="21"/>
        </w:rPr>
      </w:pPr>
      <w:r>
        <w:rPr>
          <w:rFonts w:hint="eastAsia" w:ascii="宋体" w:hAnsi="宋体" w:cs="宋体"/>
          <w:szCs w:val="21"/>
        </w:rPr>
        <w:t>本款所提及的承包人需要使用代用材料，仅限于出现下列情况时：</w:t>
      </w:r>
    </w:p>
    <w:p>
      <w:pPr>
        <w:snapToGrid w:val="0"/>
        <w:spacing w:line="360" w:lineRule="auto"/>
        <w:ind w:firstLine="420" w:firstLineChars="200"/>
        <w:rPr>
          <w:rFonts w:ascii="宋体" w:hAnsi="宋体" w:cs="宋体"/>
          <w:szCs w:val="21"/>
        </w:rPr>
      </w:pPr>
      <w:bookmarkStart w:id="1649" w:name="_Toc231612974"/>
      <w:bookmarkStart w:id="1650" w:name="_Toc231613121"/>
      <w:bookmarkStart w:id="1651" w:name="_Toc231612799"/>
      <w:r>
        <w:rPr>
          <w:rFonts w:hint="eastAsia" w:ascii="宋体" w:hAnsi="宋体" w:cs="宋体"/>
          <w:szCs w:val="21"/>
        </w:rPr>
        <w:t>（1）市场上无供应或在一定时间内突然供应短缺；</w:t>
      </w:r>
      <w:bookmarkEnd w:id="1649"/>
      <w:bookmarkEnd w:id="1650"/>
      <w:bookmarkEnd w:id="1651"/>
    </w:p>
    <w:p>
      <w:pPr>
        <w:snapToGrid w:val="0"/>
        <w:spacing w:line="360" w:lineRule="auto"/>
        <w:ind w:firstLine="420" w:firstLineChars="200"/>
        <w:rPr>
          <w:rFonts w:ascii="宋体" w:hAnsi="宋体" w:cs="宋体"/>
          <w:szCs w:val="21"/>
        </w:rPr>
      </w:pPr>
      <w:r>
        <w:rPr>
          <w:rFonts w:hint="eastAsia" w:ascii="宋体" w:hAnsi="宋体" w:cs="宋体"/>
          <w:szCs w:val="21"/>
        </w:rPr>
        <w:t>（2）政府或有关管理机构在合同签订后出台的规章、规定禁止使用；</w:t>
      </w:r>
    </w:p>
    <w:p>
      <w:pPr>
        <w:snapToGrid w:val="0"/>
        <w:spacing w:line="360" w:lineRule="auto"/>
        <w:ind w:firstLine="420" w:firstLineChars="200"/>
        <w:rPr>
          <w:rFonts w:ascii="宋体" w:hAnsi="宋体" w:cs="宋体"/>
          <w:szCs w:val="21"/>
        </w:rPr>
      </w:pPr>
      <w:bookmarkStart w:id="1652" w:name="_Toc231612975"/>
      <w:bookmarkStart w:id="1653" w:name="_Toc231612800"/>
      <w:bookmarkStart w:id="1654" w:name="_Toc231613122"/>
      <w:r>
        <w:rPr>
          <w:rFonts w:hint="eastAsia" w:ascii="宋体" w:hAnsi="宋体" w:cs="宋体"/>
          <w:szCs w:val="21"/>
        </w:rPr>
        <w:t>（3）发包人或工程师要求使用其他替代品；</w:t>
      </w:r>
      <w:bookmarkEnd w:id="1652"/>
      <w:bookmarkEnd w:id="1653"/>
      <w:bookmarkEnd w:id="1654"/>
    </w:p>
    <w:p>
      <w:pPr>
        <w:snapToGrid w:val="0"/>
        <w:spacing w:line="360" w:lineRule="auto"/>
        <w:ind w:firstLine="420" w:firstLineChars="200"/>
        <w:rPr>
          <w:rFonts w:ascii="宋体" w:hAnsi="宋体" w:cs="宋体"/>
          <w:szCs w:val="21"/>
        </w:rPr>
      </w:pPr>
      <w:r>
        <w:rPr>
          <w:rFonts w:hint="eastAsia" w:ascii="宋体" w:hAnsi="宋体" w:cs="宋体"/>
          <w:szCs w:val="21"/>
        </w:rPr>
        <w:t>（4）任何其他可能的原因使得使用其他替代品成为必要。</w:t>
      </w:r>
    </w:p>
    <w:p>
      <w:pPr>
        <w:snapToGrid w:val="0"/>
        <w:spacing w:line="360" w:lineRule="auto"/>
        <w:ind w:firstLine="420" w:firstLineChars="200"/>
        <w:rPr>
          <w:rFonts w:ascii="宋体" w:hAnsi="宋体" w:cs="宋体"/>
          <w:szCs w:val="21"/>
        </w:rPr>
      </w:pPr>
      <w:r>
        <w:rPr>
          <w:rFonts w:hint="eastAsia" w:ascii="宋体" w:hAnsi="宋体" w:cs="宋体"/>
          <w:szCs w:val="21"/>
        </w:rPr>
        <w:t>如果使用替代品，承包人应至少在被代换品按批准的进度计划将被用于工程前14天以书面形式通知工程师并随此通知提交下列文件：</w:t>
      </w:r>
    </w:p>
    <w:p>
      <w:pPr>
        <w:snapToGrid w:val="0"/>
        <w:spacing w:line="360" w:lineRule="auto"/>
        <w:ind w:firstLine="420" w:firstLineChars="200"/>
        <w:rPr>
          <w:rFonts w:ascii="宋体" w:hAnsi="宋体" w:cs="宋体"/>
          <w:szCs w:val="21"/>
        </w:rPr>
      </w:pPr>
      <w:r>
        <w:rPr>
          <w:rFonts w:hint="eastAsia" w:ascii="宋体" w:hAnsi="宋体" w:cs="宋体"/>
          <w:szCs w:val="21"/>
        </w:rPr>
        <w:t>（1）拟被替代的合同中约定的材料和工程设备的名称、数量、规格、型号、品牌、性能、价格及其他任何详细资料；</w:t>
      </w:r>
    </w:p>
    <w:p>
      <w:pPr>
        <w:snapToGrid w:val="0"/>
        <w:spacing w:line="360" w:lineRule="auto"/>
        <w:ind w:firstLine="420" w:firstLineChars="200"/>
        <w:rPr>
          <w:rFonts w:ascii="宋体" w:hAnsi="宋体" w:cs="宋体"/>
          <w:szCs w:val="21"/>
        </w:rPr>
      </w:pPr>
      <w:r>
        <w:rPr>
          <w:rFonts w:hint="eastAsia" w:ascii="宋体" w:hAnsi="宋体" w:cs="宋体"/>
          <w:szCs w:val="21"/>
        </w:rPr>
        <w:t>（2）拟采用的替代品的名称、数量、规格、型号、品牌、性能、价格及其他必要的详细资料；</w:t>
      </w:r>
    </w:p>
    <w:p>
      <w:pPr>
        <w:snapToGrid w:val="0"/>
        <w:spacing w:line="360" w:lineRule="auto"/>
        <w:ind w:firstLine="420" w:firstLineChars="200"/>
        <w:rPr>
          <w:rFonts w:ascii="宋体" w:hAnsi="宋体" w:cs="宋体"/>
          <w:szCs w:val="21"/>
        </w:rPr>
      </w:pPr>
      <w:r>
        <w:rPr>
          <w:rFonts w:hint="eastAsia" w:ascii="宋体" w:hAnsi="宋体" w:cs="宋体"/>
          <w:szCs w:val="21"/>
        </w:rPr>
        <w:t>（3）替代品使用的工程部位；</w:t>
      </w:r>
    </w:p>
    <w:p>
      <w:pPr>
        <w:snapToGrid w:val="0"/>
        <w:spacing w:line="360" w:lineRule="auto"/>
        <w:ind w:firstLine="420" w:firstLineChars="200"/>
        <w:rPr>
          <w:rFonts w:ascii="宋体" w:hAnsi="宋体" w:cs="宋体"/>
          <w:szCs w:val="21"/>
        </w:rPr>
      </w:pPr>
      <w:r>
        <w:rPr>
          <w:rFonts w:hint="eastAsia" w:ascii="宋体" w:hAnsi="宋体" w:cs="宋体"/>
          <w:szCs w:val="21"/>
        </w:rPr>
        <w:t>（4）采用替代品的理由和原因申述；</w:t>
      </w:r>
    </w:p>
    <w:p>
      <w:pPr>
        <w:snapToGrid w:val="0"/>
        <w:spacing w:line="360" w:lineRule="auto"/>
        <w:ind w:firstLine="420" w:firstLineChars="200"/>
        <w:rPr>
          <w:rFonts w:ascii="宋体" w:hAnsi="宋体" w:cs="宋体"/>
          <w:szCs w:val="21"/>
        </w:rPr>
      </w:pPr>
      <w:r>
        <w:rPr>
          <w:rFonts w:hint="eastAsia" w:ascii="宋体" w:hAnsi="宋体" w:cs="宋体"/>
          <w:szCs w:val="21"/>
        </w:rPr>
        <w:t>（5）替代品与合同中约定的产品之间的差异以及使用替代品后可能对工程产生的任何方面的影响；</w:t>
      </w:r>
    </w:p>
    <w:p>
      <w:pPr>
        <w:snapToGrid w:val="0"/>
        <w:spacing w:line="360" w:lineRule="auto"/>
        <w:ind w:firstLine="420" w:firstLineChars="200"/>
        <w:rPr>
          <w:rFonts w:ascii="宋体" w:hAnsi="宋体" w:cs="宋体"/>
          <w:szCs w:val="21"/>
        </w:rPr>
      </w:pPr>
      <w:bookmarkStart w:id="1655" w:name="_Toc231613123"/>
      <w:bookmarkStart w:id="1656" w:name="_Toc231612801"/>
      <w:bookmarkStart w:id="1657" w:name="_Toc231612976"/>
      <w:r>
        <w:rPr>
          <w:rFonts w:hint="eastAsia" w:ascii="宋体" w:hAnsi="宋体" w:cs="宋体"/>
          <w:szCs w:val="21"/>
        </w:rPr>
        <w:t>（6）价格差异；</w:t>
      </w:r>
      <w:bookmarkEnd w:id="1655"/>
      <w:bookmarkEnd w:id="1656"/>
      <w:bookmarkEnd w:id="1657"/>
    </w:p>
    <w:p>
      <w:pPr>
        <w:snapToGrid w:val="0"/>
        <w:spacing w:line="360" w:lineRule="auto"/>
        <w:ind w:firstLine="420" w:firstLineChars="200"/>
        <w:rPr>
          <w:rFonts w:ascii="宋体" w:hAnsi="宋体" w:cs="宋体"/>
          <w:szCs w:val="21"/>
        </w:rPr>
      </w:pPr>
      <w:r>
        <w:rPr>
          <w:rFonts w:hint="eastAsia" w:ascii="宋体" w:hAnsi="宋体" w:cs="宋体"/>
          <w:szCs w:val="21"/>
        </w:rPr>
        <w:t>（7）工程师为做出适当的决定而随时要求承包人提供的任何其他文件。</w:t>
      </w:r>
    </w:p>
    <w:p>
      <w:pPr>
        <w:snapToGrid w:val="0"/>
        <w:spacing w:line="360" w:lineRule="auto"/>
        <w:ind w:firstLine="420" w:firstLineChars="200"/>
        <w:rPr>
          <w:rFonts w:ascii="宋体" w:hAnsi="宋体" w:cs="宋体"/>
          <w:szCs w:val="21"/>
        </w:rPr>
      </w:pPr>
      <w:r>
        <w:rPr>
          <w:rFonts w:hint="eastAsia" w:ascii="宋体" w:hAnsi="宋体" w:cs="宋体"/>
          <w:szCs w:val="21"/>
        </w:rPr>
        <w:t>工程师在收到此类通知及上述文件后，应在14天内向承包人给出书面指示。如果14天内工程师未给出书面指示，应视为工程师已经批准使用上述替代品，承包人可以据此使用替代品。工程师对使用替代品的批准以及承包人据此使用替代品不应解除承包人合同约定的任何职责和义务。</w:t>
      </w:r>
    </w:p>
    <w:p>
      <w:pPr>
        <w:snapToGrid w:val="0"/>
        <w:spacing w:line="360" w:lineRule="auto"/>
        <w:ind w:firstLine="420" w:firstLineChars="200"/>
        <w:rPr>
          <w:rFonts w:ascii="宋体" w:hAnsi="宋体" w:cs="宋体"/>
          <w:szCs w:val="21"/>
        </w:rPr>
      </w:pPr>
      <w:r>
        <w:rPr>
          <w:rFonts w:hint="eastAsia" w:ascii="宋体" w:hAnsi="宋体" w:cs="宋体"/>
          <w:szCs w:val="21"/>
        </w:rPr>
        <w:t>任何情况下，使用替代品都应遵守本合同中其他对材料和工程设备的任何约定。</w:t>
      </w:r>
    </w:p>
    <w:p>
      <w:pPr>
        <w:adjustRightInd w:val="0"/>
        <w:snapToGrid w:val="0"/>
        <w:spacing w:line="360" w:lineRule="auto"/>
        <w:rPr>
          <w:rFonts w:ascii="方正黑体_GBK" w:hAnsi="宋体" w:eastAsia="方正黑体_GBK" w:cs="宋体"/>
          <w:b/>
          <w:bCs/>
          <w:szCs w:val="21"/>
        </w:rPr>
      </w:pPr>
      <w:bookmarkStart w:id="1658" w:name="_Toc123715542"/>
      <w:bookmarkStart w:id="1659" w:name="_Toc231612802"/>
      <w:bookmarkStart w:id="1660" w:name="_Toc101155833"/>
      <w:bookmarkStart w:id="1661" w:name="_Toc98238990"/>
      <w:bookmarkStart w:id="1662" w:name="_Toc115511351"/>
      <w:bookmarkStart w:id="1663" w:name="_Toc101156036"/>
      <w:bookmarkStart w:id="1664" w:name="_Toc98239454"/>
      <w:bookmarkStart w:id="1665" w:name="_Toc193188706"/>
      <w:bookmarkStart w:id="1666" w:name="_Toc100123558"/>
      <w:bookmarkStart w:id="1667" w:name="_Toc99792348"/>
      <w:r>
        <w:rPr>
          <w:rFonts w:hint="eastAsia" w:ascii="方正黑体_GBK" w:hAnsi="宋体" w:eastAsia="方正黑体_GBK" w:cs="宋体"/>
          <w:b/>
          <w:bCs/>
          <w:szCs w:val="21"/>
        </w:rPr>
        <w:t>八、工程变更</w:t>
      </w:r>
      <w:bookmarkEnd w:id="1658"/>
      <w:bookmarkEnd w:id="1659"/>
      <w:bookmarkEnd w:id="1660"/>
      <w:bookmarkEnd w:id="1661"/>
      <w:bookmarkEnd w:id="1662"/>
      <w:bookmarkEnd w:id="1663"/>
      <w:bookmarkEnd w:id="1664"/>
      <w:bookmarkEnd w:id="1665"/>
      <w:bookmarkEnd w:id="1666"/>
      <w:bookmarkEnd w:id="1667"/>
    </w:p>
    <w:p>
      <w:pPr>
        <w:adjustRightInd w:val="0"/>
        <w:snapToGrid w:val="0"/>
        <w:spacing w:line="360" w:lineRule="auto"/>
        <w:ind w:firstLine="422" w:firstLineChars="200"/>
        <w:rPr>
          <w:rFonts w:ascii="宋体" w:hAnsi="宋体" w:cs="宋体"/>
          <w:b/>
          <w:szCs w:val="21"/>
        </w:rPr>
      </w:pPr>
      <w:bookmarkStart w:id="1668" w:name="_Toc231612977"/>
      <w:bookmarkStart w:id="1669" w:name="_Toc193188707"/>
      <w:bookmarkStart w:id="1670" w:name="_Toc123715543"/>
      <w:bookmarkStart w:id="1671" w:name="_Toc231613124"/>
      <w:bookmarkStart w:id="1672" w:name="_Toc231612803"/>
      <w:r>
        <w:rPr>
          <w:rFonts w:hint="eastAsia" w:ascii="宋体" w:hAnsi="宋体" w:cs="宋体"/>
          <w:b/>
          <w:szCs w:val="21"/>
        </w:rPr>
        <w:t>29. 工程设计变更</w:t>
      </w:r>
      <w:bookmarkEnd w:id="1668"/>
      <w:bookmarkEnd w:id="1669"/>
      <w:bookmarkEnd w:id="1670"/>
      <w:bookmarkEnd w:id="1671"/>
      <w:bookmarkEnd w:id="1672"/>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将通用条款29.1款修改如下：</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29.1</w:t>
      </w:r>
      <w:r>
        <w:rPr>
          <w:rFonts w:hint="eastAsia" w:ascii="宋体" w:hAnsi="宋体" w:cs="宋体"/>
          <w:szCs w:val="21"/>
        </w:rPr>
        <w:t xml:space="preserve"> 施工中发包人需对原工程设计进行变更，应在14天以内书以书面形式通过工程师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 更改工程有关部分的标高、基线、位置和尺寸；</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 增减合同中约定的工程量；</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 改变有关工程的施工时间和顺序；</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 其他有关工程变更需要的附加工作。</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因变更导致合同价款的增减及造成的承包人损失，由发包人承担，延误的工期相应顺延。</w:t>
      </w:r>
    </w:p>
    <w:p>
      <w:pPr>
        <w:adjustRightInd w:val="0"/>
        <w:snapToGrid w:val="0"/>
        <w:spacing w:line="360" w:lineRule="auto"/>
        <w:ind w:firstLine="422" w:firstLineChars="200"/>
        <w:rPr>
          <w:rFonts w:ascii="宋体" w:hAnsi="宋体" w:cs="宋体"/>
          <w:b/>
          <w:szCs w:val="21"/>
        </w:rPr>
      </w:pPr>
      <w:bookmarkStart w:id="1673" w:name="_Toc231613125"/>
      <w:bookmarkStart w:id="1674" w:name="_Toc231612978"/>
      <w:bookmarkStart w:id="1675" w:name="_Toc123715544"/>
      <w:bookmarkStart w:id="1676" w:name="_Toc193188708"/>
      <w:bookmarkStart w:id="1677" w:name="_Toc231612804"/>
      <w:r>
        <w:rPr>
          <w:rFonts w:hint="eastAsia" w:ascii="宋体" w:hAnsi="宋体" w:cs="宋体"/>
          <w:b/>
          <w:szCs w:val="21"/>
        </w:rPr>
        <w:t>30、其他变更</w:t>
      </w:r>
      <w:bookmarkEnd w:id="1673"/>
      <w:bookmarkEnd w:id="1674"/>
      <w:bookmarkEnd w:id="1675"/>
      <w:bookmarkEnd w:id="1676"/>
      <w:bookmarkEnd w:id="1677"/>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将通用条款30.1款修改如下：</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30.1</w:t>
      </w:r>
      <w:r>
        <w:rPr>
          <w:rFonts w:hint="eastAsia" w:ascii="宋体" w:hAnsi="宋体" w:cs="宋体"/>
          <w:szCs w:val="21"/>
        </w:rPr>
        <w:t>合同履行中发包人要求变更工程质量标准及发生其他实质性变更，由双方协商解决，但均须按规定程序进行审批。</w:t>
      </w:r>
    </w:p>
    <w:p>
      <w:pPr>
        <w:adjustRightInd w:val="0"/>
        <w:snapToGrid w:val="0"/>
        <w:spacing w:line="360" w:lineRule="auto"/>
        <w:ind w:firstLine="422" w:firstLineChars="200"/>
        <w:rPr>
          <w:rFonts w:ascii="宋体" w:hAnsi="宋体" w:cs="宋体"/>
          <w:b/>
          <w:szCs w:val="21"/>
        </w:rPr>
      </w:pPr>
      <w:bookmarkStart w:id="1678" w:name="_Toc123715545"/>
      <w:bookmarkStart w:id="1679" w:name="_Toc193188709"/>
      <w:bookmarkStart w:id="1680" w:name="_Toc231612805"/>
      <w:r>
        <w:rPr>
          <w:rFonts w:hint="eastAsia" w:ascii="宋体" w:hAnsi="宋体" w:cs="宋体"/>
          <w:b/>
          <w:szCs w:val="21"/>
        </w:rPr>
        <w:t>31. 确定变更价款</w:t>
      </w:r>
      <w:bookmarkEnd w:id="1678"/>
      <w:bookmarkEnd w:id="1679"/>
      <w:bookmarkEnd w:id="1680"/>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将通用条款31.1款更改如下：</w:t>
      </w:r>
    </w:p>
    <w:p>
      <w:pPr>
        <w:adjustRightInd w:val="0"/>
        <w:snapToGrid w:val="0"/>
        <w:spacing w:line="360" w:lineRule="auto"/>
        <w:ind w:firstLine="420" w:firstLineChars="200"/>
        <w:rPr>
          <w:rFonts w:ascii="宋体" w:hAnsi="宋体" w:cs="宋体"/>
          <w:szCs w:val="21"/>
        </w:rPr>
      </w:pPr>
      <w:bookmarkStart w:id="1681" w:name="_Toc231612806"/>
      <w:bookmarkStart w:id="1682" w:name="_Toc231613126"/>
      <w:bookmarkStart w:id="1683" w:name="_Toc231612979"/>
      <w:r>
        <w:rPr>
          <w:rFonts w:hint="eastAsia" w:ascii="宋体" w:hAnsi="宋体" w:cs="宋体"/>
          <w:szCs w:val="21"/>
        </w:rPr>
        <w:t>（1）调增建设内容引起合同价调整的，价格调整如下</w:t>
      </w:r>
      <w:bookmarkEnd w:id="1681"/>
      <w:bookmarkEnd w:id="1682"/>
      <w:bookmarkEnd w:id="1683"/>
      <w:r>
        <w:rPr>
          <w:rFonts w:hint="eastAsia" w:ascii="宋体" w:hAnsi="宋体" w:cs="宋体"/>
          <w:szCs w:val="21"/>
        </w:rPr>
        <w:t>：</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,1)</w:instrText>
      </w:r>
      <w:r>
        <w:rPr>
          <w:rFonts w:hint="eastAsia" w:ascii="宋体" w:hAnsi="宋体" w:cs="宋体"/>
          <w:szCs w:val="21"/>
        </w:rPr>
        <w:fldChar w:fldCharType="end"/>
      </w:r>
      <w:r>
        <w:rPr>
          <w:rFonts w:hint="eastAsia" w:ascii="宋体" w:hAnsi="宋体" w:cs="宋体"/>
          <w:szCs w:val="21"/>
        </w:rPr>
        <w:t>合同中已有适用于变更工程的价格，按合同已有的价格变更合同价款；</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,2)</w:instrText>
      </w:r>
      <w:r>
        <w:rPr>
          <w:rFonts w:hint="eastAsia" w:ascii="宋体" w:hAnsi="宋体" w:cs="宋体"/>
          <w:szCs w:val="21"/>
        </w:rPr>
        <w:fldChar w:fldCharType="end"/>
      </w:r>
      <w:r>
        <w:rPr>
          <w:rFonts w:hint="eastAsia" w:ascii="宋体" w:hAnsi="宋体" w:cs="宋体"/>
          <w:szCs w:val="21"/>
        </w:rPr>
        <w:t>合同中只有类似于变更工程的价格，可以参照类似价格变更合同价款；</w:t>
      </w:r>
    </w:p>
    <w:p>
      <w:pPr>
        <w:snapToGrid w:val="0"/>
        <w:spacing w:line="360" w:lineRule="auto"/>
        <w:ind w:firstLine="420" w:firstLineChars="200"/>
        <w:rPr>
          <w:rFonts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,3)</w:instrText>
      </w:r>
      <w:r>
        <w:rPr>
          <w:rFonts w:hint="eastAsia" w:ascii="宋体" w:hAnsi="宋体" w:cs="宋体"/>
          <w:szCs w:val="21"/>
        </w:rPr>
        <w:fldChar w:fldCharType="end"/>
      </w:r>
      <w:r>
        <w:rPr>
          <w:rFonts w:hint="eastAsia" w:ascii="宋体" w:hAnsi="宋体" w:cs="宋体"/>
          <w:szCs w:val="21"/>
        </w:rPr>
        <w:t>本合同中没有适用或类似于变更工程价格的，由承包人</w:t>
      </w:r>
      <w:r>
        <w:rPr>
          <w:rFonts w:hint="eastAsia" w:ascii="宋体" w:hAnsi="宋体" w:cs="宋体"/>
          <w:szCs w:val="21"/>
          <w:u w:val="single"/>
        </w:rPr>
        <w:t xml:space="preserve">    （根据本项目预算编制依据确定）    </w:t>
      </w:r>
      <w:r>
        <w:rPr>
          <w:rFonts w:hint="eastAsia" w:ascii="宋体" w:hAnsi="宋体" w:cs="宋体"/>
          <w:szCs w:val="21"/>
        </w:rPr>
        <w:t>、国家及我市的相关规范、标准和投标当月当地材料价格信息组价的90%计价，并经工程师确认后变更合同价款。</w:t>
      </w:r>
    </w:p>
    <w:p>
      <w:pPr>
        <w:snapToGrid w:val="0"/>
        <w:spacing w:line="360" w:lineRule="auto"/>
        <w:ind w:firstLine="420" w:firstLineChars="200"/>
        <w:rPr>
          <w:rFonts w:ascii="宋体" w:hAnsi="宋体" w:cs="宋体"/>
          <w:szCs w:val="21"/>
        </w:rPr>
      </w:pPr>
      <w:bookmarkStart w:id="1684" w:name="_Hlt124152897"/>
      <w:bookmarkEnd w:id="1684"/>
      <w:bookmarkStart w:id="1685" w:name="_Hlt124153086"/>
      <w:r>
        <w:rPr>
          <w:rFonts w:hint="eastAsia" w:ascii="宋体" w:hAnsi="宋体" w:cs="宋体"/>
          <w:szCs w:val="21"/>
        </w:rPr>
        <w:t>（2）调减建设内容</w:t>
      </w:r>
      <w:bookmarkEnd w:id="1685"/>
      <w:r>
        <w:rPr>
          <w:rFonts w:hint="eastAsia" w:ascii="宋体" w:hAnsi="宋体" w:cs="宋体"/>
          <w:szCs w:val="21"/>
        </w:rPr>
        <w:t>引起合同价调整的，按照投标文件中工程综合单价报价相应调整。</w:t>
      </w:r>
      <w:bookmarkStart w:id="1686" w:name="_Hlt124153198"/>
      <w:bookmarkEnd w:id="1686"/>
      <w:r>
        <w:rPr>
          <w:rFonts w:hint="eastAsia" w:ascii="宋体" w:hAnsi="宋体" w:cs="宋体"/>
          <w:szCs w:val="21"/>
        </w:rPr>
        <w:t>除本合同另有约定外，任何发包人和承包人之间未能最终达成一致的变更费用都不应包含在进度款付款单中。</w:t>
      </w:r>
    </w:p>
    <w:p>
      <w:pPr>
        <w:snapToGrid w:val="0"/>
        <w:spacing w:line="360" w:lineRule="auto"/>
        <w:ind w:firstLine="420" w:firstLineChars="200"/>
        <w:rPr>
          <w:rFonts w:ascii="宋体" w:hAnsi="宋体" w:cs="宋体"/>
          <w:szCs w:val="21"/>
        </w:rPr>
      </w:pPr>
      <w:r>
        <w:rPr>
          <w:rFonts w:hint="eastAsia" w:ascii="宋体" w:hAnsi="宋体" w:cs="宋体"/>
          <w:szCs w:val="21"/>
        </w:rPr>
        <w:t>将通用条款31.3款修改如下：</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31.3 工程师和发包人应在收到变更工程价款报告之日起14天内予以确认，工程师和发包人无正当理由不确认时，自变更工程价款报告送达之日起14天后视为变更工程价款报告已被确认。</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将通用条款31.4款修改如下：</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 xml:space="preserve">31.4 </w:t>
      </w:r>
      <w:r>
        <w:rPr>
          <w:rFonts w:hint="eastAsia" w:ascii="宋体" w:hAnsi="宋体" w:cs="宋体"/>
          <w:szCs w:val="21"/>
        </w:rPr>
        <w:t>工程师和发包人不同意承包人提出的变更价款，按本通用条款第37条关于争议的约定处理。</w:t>
      </w:r>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将通用条款31.5款修改如下：</w:t>
      </w:r>
    </w:p>
    <w:p>
      <w:pPr>
        <w:adjustRightInd w:val="0"/>
        <w:snapToGrid w:val="0"/>
        <w:spacing w:line="360" w:lineRule="auto"/>
        <w:ind w:firstLine="422" w:firstLineChars="200"/>
        <w:rPr>
          <w:rFonts w:ascii="宋体" w:hAnsi="宋体" w:cs="宋体"/>
          <w:szCs w:val="21"/>
        </w:rPr>
      </w:pPr>
      <w:r>
        <w:rPr>
          <w:rFonts w:hint="eastAsia" w:ascii="宋体" w:hAnsi="宋体" w:cs="宋体"/>
          <w:b/>
          <w:bCs/>
          <w:szCs w:val="21"/>
        </w:rPr>
        <w:t xml:space="preserve">31.5 </w:t>
      </w:r>
      <w:r>
        <w:rPr>
          <w:rFonts w:hint="eastAsia" w:ascii="宋体" w:hAnsi="宋体" w:cs="宋体"/>
          <w:szCs w:val="21"/>
        </w:rPr>
        <w:t>工程师和发包人确认增加的工程变更价款作为追加合同价款，与工程款同期支付。</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31.7</w:t>
      </w:r>
      <w:r>
        <w:rPr>
          <w:rFonts w:hint="eastAsia" w:ascii="宋体" w:hAnsi="宋体" w:cs="宋体"/>
          <w:szCs w:val="21"/>
        </w:rPr>
        <w:t>双方进一步约定，只有经过计量和计价的单次变更项下的“单个工作子目”的变化金额超过人民币</w:t>
      </w:r>
      <w:r>
        <w:rPr>
          <w:rFonts w:hint="eastAsia" w:ascii="宋体" w:hAnsi="宋体" w:cs="宋体"/>
          <w:szCs w:val="21"/>
          <w:u w:val="single"/>
        </w:rPr>
        <w:t>3000元</w:t>
      </w:r>
      <w:r>
        <w:rPr>
          <w:rFonts w:hint="eastAsia" w:ascii="宋体" w:hAnsi="宋体" w:cs="宋体"/>
          <w:szCs w:val="21"/>
        </w:rPr>
        <w:t>（不含）的，方可进行合同价格的相应变更。本款所谓的“单个工作子目”是指工程量清单中所列出的单个工作子目，如果本合同中的工程量清单中没有适用子目，则用于变更计价的单个子目即为本款中的 “单个工作子目”。</w:t>
      </w:r>
    </w:p>
    <w:p>
      <w:pPr>
        <w:snapToGrid w:val="0"/>
        <w:spacing w:line="360" w:lineRule="auto"/>
        <w:ind w:firstLine="420" w:firstLineChars="200"/>
        <w:rPr>
          <w:rFonts w:ascii="宋体" w:hAnsi="宋体" w:cs="宋体"/>
          <w:szCs w:val="21"/>
          <w:u w:val="single"/>
        </w:rPr>
      </w:pPr>
      <w:r>
        <w:rPr>
          <w:rFonts w:hint="eastAsia" w:ascii="宋体" w:hAnsi="宋体" w:cs="宋体"/>
          <w:szCs w:val="21"/>
        </w:rPr>
        <w:t>上述变更支付最低金额适用于本工程实施过程中所发生的所有的洽商、变更、图差以及合同外工作内容的追加。</w:t>
      </w:r>
    </w:p>
    <w:p>
      <w:pPr>
        <w:adjustRightInd w:val="0"/>
        <w:snapToGrid w:val="0"/>
        <w:spacing w:line="360" w:lineRule="auto"/>
        <w:rPr>
          <w:rFonts w:ascii="方正黑体_GBK" w:hAnsi="宋体" w:eastAsia="方正黑体_GBK" w:cs="宋体"/>
          <w:b/>
          <w:bCs/>
          <w:szCs w:val="21"/>
        </w:rPr>
      </w:pPr>
      <w:bookmarkStart w:id="1687" w:name="_Toc100123559"/>
      <w:bookmarkStart w:id="1688" w:name="_Toc98239455"/>
      <w:bookmarkStart w:id="1689" w:name="_Toc99792349"/>
      <w:bookmarkStart w:id="1690" w:name="_Toc98238991"/>
      <w:bookmarkStart w:id="1691" w:name="_Toc101155834"/>
      <w:bookmarkStart w:id="1692" w:name="_Toc193188710"/>
      <w:bookmarkStart w:id="1693" w:name="_Toc101156037"/>
      <w:bookmarkStart w:id="1694" w:name="_Toc231613127"/>
      <w:bookmarkStart w:id="1695" w:name="_Toc115511352"/>
      <w:bookmarkStart w:id="1696" w:name="_Toc231612807"/>
      <w:bookmarkStart w:id="1697" w:name="_Toc231612980"/>
      <w:bookmarkStart w:id="1698" w:name="_Toc123715546"/>
      <w:r>
        <w:rPr>
          <w:rFonts w:hint="eastAsia" w:ascii="方正黑体_GBK" w:hAnsi="宋体" w:eastAsia="方正黑体_GBK" w:cs="宋体"/>
          <w:b/>
          <w:bCs/>
          <w:szCs w:val="21"/>
        </w:rPr>
        <w:t>九、竣工验收与结算</w:t>
      </w:r>
      <w:bookmarkEnd w:id="1687"/>
      <w:bookmarkEnd w:id="1688"/>
      <w:bookmarkEnd w:id="1689"/>
      <w:bookmarkEnd w:id="1690"/>
      <w:bookmarkEnd w:id="1691"/>
      <w:bookmarkEnd w:id="1692"/>
      <w:bookmarkEnd w:id="1693"/>
      <w:bookmarkEnd w:id="1694"/>
      <w:bookmarkEnd w:id="1695"/>
      <w:bookmarkEnd w:id="1696"/>
      <w:bookmarkEnd w:id="1697"/>
      <w:bookmarkEnd w:id="1698"/>
    </w:p>
    <w:p>
      <w:pPr>
        <w:adjustRightInd w:val="0"/>
        <w:snapToGrid w:val="0"/>
        <w:spacing w:line="360" w:lineRule="auto"/>
        <w:ind w:firstLine="422" w:firstLineChars="200"/>
        <w:rPr>
          <w:rFonts w:ascii="宋体" w:hAnsi="宋体" w:cs="宋体"/>
          <w:b/>
          <w:szCs w:val="21"/>
        </w:rPr>
      </w:pPr>
      <w:bookmarkStart w:id="1699" w:name="_Toc123715547"/>
      <w:bookmarkStart w:id="1700" w:name="_Toc231612808"/>
      <w:bookmarkStart w:id="1701" w:name="_Toc101155835"/>
      <w:bookmarkStart w:id="1702" w:name="_Toc101156038"/>
      <w:bookmarkStart w:id="1703" w:name="_Toc99792350"/>
      <w:bookmarkStart w:id="1704" w:name="_Toc115511353"/>
      <w:bookmarkStart w:id="1705" w:name="_Toc98238992"/>
      <w:bookmarkStart w:id="1706" w:name="_Toc193188711"/>
      <w:bookmarkStart w:id="1707" w:name="_Toc98239456"/>
      <w:bookmarkStart w:id="1708" w:name="_Toc100123560"/>
      <w:r>
        <w:rPr>
          <w:rFonts w:hint="eastAsia" w:ascii="宋体" w:hAnsi="宋体" w:cs="宋体"/>
          <w:b/>
          <w:szCs w:val="21"/>
        </w:rPr>
        <w:t>32、竣工验收</w:t>
      </w:r>
      <w:bookmarkEnd w:id="1699"/>
      <w:bookmarkEnd w:id="1700"/>
      <w:bookmarkEnd w:id="1701"/>
      <w:bookmarkEnd w:id="1702"/>
      <w:bookmarkEnd w:id="1703"/>
      <w:bookmarkEnd w:id="1704"/>
      <w:bookmarkEnd w:id="1705"/>
      <w:bookmarkEnd w:id="1706"/>
      <w:bookmarkEnd w:id="1707"/>
      <w:bookmarkEnd w:id="1708"/>
    </w:p>
    <w:p>
      <w:pPr>
        <w:snapToGrid w:val="0"/>
        <w:spacing w:line="360" w:lineRule="auto"/>
        <w:ind w:firstLine="420" w:firstLineChars="200"/>
        <w:rPr>
          <w:rFonts w:ascii="宋体" w:hAnsi="宋体" w:cs="宋体"/>
          <w:szCs w:val="21"/>
        </w:rPr>
      </w:pPr>
      <w:bookmarkStart w:id="1709" w:name="_Toc231612809"/>
      <w:bookmarkStart w:id="1710" w:name="_Toc231612981"/>
      <w:bookmarkStart w:id="1711" w:name="_Toc231613128"/>
      <w:bookmarkStart w:id="1712" w:name="_Toc123715548"/>
      <w:r>
        <w:rPr>
          <w:rFonts w:hint="eastAsia" w:ascii="宋体" w:hAnsi="宋体" w:cs="宋体"/>
          <w:szCs w:val="21"/>
        </w:rPr>
        <w:t>32.1 承包人提供竣工图的约定： 工程竣工并移交后56天内承包人按规定向发包人提供八套竣工图和全部竣工资料(包括按文件规定提交电子档案)。</w:t>
      </w:r>
      <w:bookmarkEnd w:id="1709"/>
      <w:bookmarkEnd w:id="1710"/>
      <w:bookmarkEnd w:id="1711"/>
      <w:bookmarkEnd w:id="1712"/>
      <w:r>
        <w:rPr>
          <w:rFonts w:hint="eastAsia" w:ascii="宋体" w:hAnsi="宋体" w:cs="宋体"/>
          <w:szCs w:val="21"/>
        </w:rPr>
        <w:t>否则将视为违约。</w:t>
      </w:r>
    </w:p>
    <w:p>
      <w:pPr>
        <w:snapToGrid w:val="0"/>
        <w:spacing w:line="360" w:lineRule="auto"/>
        <w:ind w:firstLine="420" w:firstLineChars="200"/>
        <w:rPr>
          <w:rFonts w:ascii="宋体" w:hAnsi="宋体" w:cs="宋体"/>
          <w:szCs w:val="21"/>
          <w:u w:val="single"/>
        </w:rPr>
      </w:pPr>
      <w:r>
        <w:rPr>
          <w:rFonts w:hint="eastAsia" w:ascii="宋体" w:hAnsi="宋体" w:cs="宋体"/>
          <w:szCs w:val="21"/>
        </w:rPr>
        <w:t>32.5 中间交工工程的范围和竣工时间：</w:t>
      </w:r>
      <w:r>
        <w:rPr>
          <w:rFonts w:hint="eastAsia" w:ascii="宋体" w:hAnsi="宋体" w:cs="宋体"/>
          <w:szCs w:val="21"/>
          <w:u w:val="single"/>
        </w:rPr>
        <w:t>发包人另行约定。</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23.5.1</w:t>
      </w:r>
      <w:r>
        <w:rPr>
          <w:rFonts w:hint="eastAsia" w:ascii="宋体" w:hAnsi="宋体" w:cs="宋体"/>
          <w:szCs w:val="21"/>
        </w:rPr>
        <w:t>工程竣工验收后，由中标单位负责业主的前期资料的装订，并负责所产生的一切费用。</w:t>
      </w:r>
    </w:p>
    <w:p>
      <w:pPr>
        <w:snapToGrid w:val="0"/>
        <w:spacing w:line="360" w:lineRule="auto"/>
        <w:ind w:firstLine="422" w:firstLineChars="200"/>
        <w:rPr>
          <w:rFonts w:ascii="宋体" w:hAnsi="宋体" w:cs="宋体"/>
          <w:szCs w:val="21"/>
        </w:rPr>
      </w:pPr>
      <w:r>
        <w:rPr>
          <w:rFonts w:hint="eastAsia" w:ascii="宋体" w:hAnsi="宋体" w:cs="宋体"/>
          <w:b/>
          <w:bCs/>
          <w:szCs w:val="21"/>
        </w:rPr>
        <w:t>32.5.2</w:t>
      </w:r>
      <w:r>
        <w:rPr>
          <w:rFonts w:hint="eastAsia" w:ascii="宋体" w:hAnsi="宋体" w:cs="宋体"/>
          <w:szCs w:val="21"/>
        </w:rPr>
        <w:t>项目竣工的各级验收所发生的一切费用，由中标单位承担。</w:t>
      </w:r>
    </w:p>
    <w:p>
      <w:pPr>
        <w:snapToGrid w:val="0"/>
        <w:spacing w:line="360" w:lineRule="auto"/>
        <w:ind w:firstLine="422" w:firstLineChars="200"/>
        <w:rPr>
          <w:rFonts w:ascii="宋体" w:hAnsi="宋体" w:cs="宋体"/>
          <w:szCs w:val="21"/>
        </w:rPr>
      </w:pPr>
      <w:r>
        <w:rPr>
          <w:rFonts w:hint="eastAsia" w:ascii="宋体" w:hAnsi="宋体" w:cs="宋体"/>
          <w:b/>
          <w:bCs/>
          <w:szCs w:val="21"/>
        </w:rPr>
        <w:t>32.9</w:t>
      </w:r>
      <w:r>
        <w:rPr>
          <w:rFonts w:hint="eastAsia" w:ascii="宋体" w:hAnsi="宋体" w:cs="宋体"/>
          <w:szCs w:val="21"/>
        </w:rPr>
        <w:t>如果工程通过了竣工验收或经修改后的重新验收，则工程师应在上述验收通过之日后</w:t>
      </w:r>
      <w:r>
        <w:rPr>
          <w:rFonts w:hint="eastAsia" w:ascii="宋体" w:hAnsi="宋体" w:cs="宋体"/>
          <w:szCs w:val="21"/>
          <w:u w:val="single"/>
        </w:rPr>
        <w:t>28</w:t>
      </w:r>
      <w:r>
        <w:rPr>
          <w:rFonts w:hint="eastAsia" w:ascii="宋体" w:hAnsi="宋体" w:cs="宋体"/>
          <w:szCs w:val="21"/>
        </w:rPr>
        <w:t>天内向承包人颁发由发包人、工程师、承包人和设计单位四方共同签署的竣工验收证书。</w:t>
      </w:r>
    </w:p>
    <w:p>
      <w:pPr>
        <w:snapToGrid w:val="0"/>
        <w:spacing w:line="360" w:lineRule="auto"/>
        <w:ind w:firstLine="422" w:firstLineChars="200"/>
        <w:rPr>
          <w:rFonts w:ascii="宋体" w:hAnsi="宋体" w:cs="宋体"/>
          <w:b/>
          <w:bCs/>
          <w:szCs w:val="21"/>
        </w:rPr>
      </w:pPr>
      <w:r>
        <w:rPr>
          <w:rFonts w:hint="eastAsia" w:ascii="宋体" w:hAnsi="宋体" w:cs="宋体"/>
          <w:b/>
          <w:bCs/>
          <w:szCs w:val="21"/>
        </w:rPr>
        <w:t>32.10 按照国家有关地灾项目的竣工验收实施办法执行，根据已有的验收规定：工程完工后，进行竣工初步验收，经过一个水文年的运行检验后，进行最终验收。因此，32.1中所指的工程竣工应为“竣工初步验收”。</w:t>
      </w:r>
      <w:bookmarkStart w:id="1713" w:name="_Hlt124085086"/>
      <w:bookmarkEnd w:id="1713"/>
    </w:p>
    <w:p>
      <w:pPr>
        <w:adjustRightInd w:val="0"/>
        <w:snapToGrid w:val="0"/>
        <w:spacing w:line="360" w:lineRule="auto"/>
        <w:ind w:firstLine="422" w:firstLineChars="200"/>
        <w:rPr>
          <w:rFonts w:ascii="宋体" w:hAnsi="宋体" w:cs="宋体"/>
          <w:b/>
          <w:szCs w:val="21"/>
        </w:rPr>
      </w:pPr>
      <w:bookmarkStart w:id="1714" w:name="_Toc231612810"/>
      <w:bookmarkStart w:id="1715" w:name="_Toc99792351"/>
      <w:bookmarkStart w:id="1716" w:name="_Toc123715549"/>
      <w:bookmarkStart w:id="1717" w:name="_Toc101155836"/>
      <w:bookmarkStart w:id="1718" w:name="_Toc115511354"/>
      <w:bookmarkStart w:id="1719" w:name="_Toc100123561"/>
      <w:bookmarkStart w:id="1720" w:name="_Toc101156039"/>
      <w:bookmarkStart w:id="1721" w:name="_Toc193188712"/>
      <w:r>
        <w:rPr>
          <w:rFonts w:hint="eastAsia" w:ascii="宋体" w:hAnsi="宋体" w:cs="宋体"/>
          <w:b/>
          <w:szCs w:val="21"/>
        </w:rPr>
        <w:t>33、竣工结算</w:t>
      </w:r>
      <w:bookmarkEnd w:id="1714"/>
      <w:bookmarkEnd w:id="1715"/>
      <w:bookmarkEnd w:id="1716"/>
      <w:bookmarkEnd w:id="1717"/>
      <w:bookmarkEnd w:id="1718"/>
      <w:bookmarkEnd w:id="1719"/>
      <w:bookmarkEnd w:id="1720"/>
      <w:bookmarkEnd w:id="1721"/>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33.1发包人考虑到本工程的实施特点，审核结算时间应相应延长，具体时间双方另议，本款其他内容执行“通用条款”。</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另在本条内补充下款：</w:t>
      </w:r>
    </w:p>
    <w:p>
      <w:pPr>
        <w:snapToGrid w:val="0"/>
        <w:spacing w:line="360" w:lineRule="auto"/>
        <w:ind w:firstLine="422" w:firstLineChars="200"/>
        <w:rPr>
          <w:rFonts w:ascii="宋体" w:hAnsi="宋体" w:cs="宋体"/>
          <w:szCs w:val="21"/>
        </w:rPr>
      </w:pPr>
      <w:r>
        <w:rPr>
          <w:rFonts w:hint="eastAsia" w:ascii="宋体" w:hAnsi="宋体" w:cs="宋体"/>
          <w:b/>
          <w:bCs/>
          <w:szCs w:val="21"/>
        </w:rPr>
        <w:t>33.5</w:t>
      </w:r>
      <w:r>
        <w:rPr>
          <w:rFonts w:hint="eastAsia" w:ascii="宋体" w:hAnsi="宋体" w:cs="宋体"/>
          <w:szCs w:val="21"/>
        </w:rPr>
        <w:t xml:space="preserve"> 根据国家有关地灾项目验收办法规定，本条款所指的工程竣工是“项目业主组织的工程竣工初步验收”。因此，竣工结算应在项目业主按照法定程序，组织有关部门、单位进行的工程竣工初步验收合格后的规定时间内进行。具体的时间和程序按照重庆市有关部门的文件和规定执行。</w:t>
      </w:r>
    </w:p>
    <w:p>
      <w:pPr>
        <w:snapToGrid w:val="0"/>
        <w:spacing w:line="360" w:lineRule="auto"/>
        <w:ind w:firstLine="422" w:firstLineChars="200"/>
        <w:rPr>
          <w:rFonts w:ascii="宋体" w:hAnsi="宋体" w:cs="宋体"/>
          <w:szCs w:val="21"/>
        </w:rPr>
      </w:pPr>
      <w:r>
        <w:rPr>
          <w:rFonts w:hint="eastAsia" w:ascii="宋体" w:hAnsi="宋体" w:cs="宋体"/>
          <w:b/>
          <w:bCs/>
          <w:szCs w:val="21"/>
        </w:rPr>
        <w:t>33.6</w:t>
      </w:r>
      <w:r>
        <w:rPr>
          <w:rFonts w:hint="eastAsia" w:ascii="宋体" w:hAnsi="宋体" w:cs="宋体"/>
          <w:szCs w:val="21"/>
        </w:rPr>
        <w:t xml:space="preserve"> 承包人无条件接受国家审计，自行承担审计中承包人的相关责任，并对审计中提出的问题负责整改。</w:t>
      </w:r>
    </w:p>
    <w:p>
      <w:pPr>
        <w:adjustRightInd w:val="0"/>
        <w:snapToGrid w:val="0"/>
        <w:spacing w:line="360" w:lineRule="auto"/>
        <w:rPr>
          <w:rFonts w:ascii="方正黑体_GBK" w:hAnsi="宋体" w:eastAsia="方正黑体_GBK" w:cs="宋体"/>
          <w:b/>
          <w:bCs/>
          <w:szCs w:val="21"/>
        </w:rPr>
      </w:pPr>
      <w:bookmarkStart w:id="1722" w:name="_Toc123715550"/>
      <w:bookmarkStart w:id="1723" w:name="_Toc100123562"/>
      <w:bookmarkStart w:id="1724" w:name="_Toc231612982"/>
      <w:bookmarkStart w:id="1725" w:name="_Toc101156040"/>
      <w:bookmarkStart w:id="1726" w:name="_Toc101155837"/>
      <w:bookmarkStart w:id="1727" w:name="_Toc98238993"/>
      <w:bookmarkStart w:id="1728" w:name="_Toc193188713"/>
      <w:bookmarkStart w:id="1729" w:name="_Toc115511355"/>
      <w:bookmarkStart w:id="1730" w:name="_Toc231612811"/>
      <w:bookmarkStart w:id="1731" w:name="_Toc99792352"/>
      <w:bookmarkStart w:id="1732" w:name="_Toc231613129"/>
      <w:bookmarkStart w:id="1733" w:name="_Toc98239457"/>
      <w:r>
        <w:rPr>
          <w:rFonts w:hint="eastAsia" w:ascii="方正黑体_GBK" w:hAnsi="宋体" w:eastAsia="方正黑体_GBK" w:cs="宋体"/>
          <w:b/>
          <w:bCs/>
          <w:szCs w:val="21"/>
        </w:rPr>
        <w:t>十、违约、索赔和争议</w:t>
      </w:r>
      <w:bookmarkEnd w:id="1722"/>
      <w:bookmarkEnd w:id="1723"/>
      <w:bookmarkEnd w:id="1724"/>
      <w:bookmarkEnd w:id="1725"/>
      <w:bookmarkEnd w:id="1726"/>
      <w:bookmarkEnd w:id="1727"/>
      <w:bookmarkEnd w:id="1728"/>
      <w:bookmarkEnd w:id="1729"/>
      <w:bookmarkEnd w:id="1730"/>
      <w:bookmarkEnd w:id="1731"/>
      <w:bookmarkEnd w:id="1732"/>
      <w:bookmarkEnd w:id="1733"/>
    </w:p>
    <w:p>
      <w:pPr>
        <w:adjustRightInd w:val="0"/>
        <w:snapToGrid w:val="0"/>
        <w:spacing w:line="360" w:lineRule="auto"/>
        <w:ind w:firstLine="422" w:firstLineChars="200"/>
        <w:rPr>
          <w:rFonts w:ascii="宋体" w:hAnsi="宋体" w:cs="宋体"/>
          <w:b/>
          <w:szCs w:val="21"/>
        </w:rPr>
      </w:pPr>
      <w:bookmarkStart w:id="1734" w:name="_Toc101155838"/>
      <w:bookmarkStart w:id="1735" w:name="_Toc193188714"/>
      <w:bookmarkStart w:id="1736" w:name="_Toc100123563"/>
      <w:bookmarkStart w:id="1737" w:name="_Toc98238994"/>
      <w:bookmarkStart w:id="1738" w:name="_Toc99792353"/>
      <w:bookmarkStart w:id="1739" w:name="_Toc101156041"/>
      <w:bookmarkStart w:id="1740" w:name="_Toc231612812"/>
      <w:bookmarkStart w:id="1741" w:name="_Toc98239458"/>
      <w:bookmarkStart w:id="1742" w:name="_Toc123715551"/>
      <w:bookmarkStart w:id="1743" w:name="_Toc115511356"/>
      <w:r>
        <w:rPr>
          <w:rFonts w:hint="eastAsia" w:ascii="宋体" w:hAnsi="宋体" w:cs="宋体"/>
          <w:b/>
          <w:szCs w:val="21"/>
        </w:rPr>
        <w:t>35、违约</w:t>
      </w:r>
      <w:bookmarkEnd w:id="1734"/>
      <w:bookmarkEnd w:id="1735"/>
      <w:bookmarkEnd w:id="1736"/>
      <w:bookmarkEnd w:id="1737"/>
      <w:bookmarkEnd w:id="1738"/>
      <w:bookmarkEnd w:id="1739"/>
      <w:bookmarkEnd w:id="1740"/>
      <w:bookmarkEnd w:id="1741"/>
      <w:bookmarkEnd w:id="1742"/>
      <w:bookmarkEnd w:id="1743"/>
    </w:p>
    <w:p>
      <w:pPr>
        <w:snapToGrid w:val="0"/>
        <w:spacing w:line="360" w:lineRule="auto"/>
        <w:ind w:firstLine="420" w:firstLineChars="200"/>
        <w:rPr>
          <w:rFonts w:ascii="宋体" w:hAnsi="宋体" w:cs="宋体"/>
          <w:szCs w:val="21"/>
        </w:rPr>
      </w:pPr>
      <w:r>
        <w:rPr>
          <w:rFonts w:hint="eastAsia" w:ascii="宋体" w:hAnsi="宋体" w:cs="宋体"/>
          <w:szCs w:val="21"/>
        </w:rPr>
        <w:t>35.1 本合同中关于发包人违约的具体责任如下：</w:t>
      </w:r>
    </w:p>
    <w:p>
      <w:pPr>
        <w:snapToGrid w:val="0"/>
        <w:spacing w:line="360" w:lineRule="auto"/>
        <w:ind w:firstLine="420" w:firstLineChars="200"/>
        <w:rPr>
          <w:rFonts w:ascii="宋体" w:hAnsi="宋体" w:cs="宋体"/>
          <w:szCs w:val="21"/>
        </w:rPr>
      </w:pPr>
      <w:r>
        <w:rPr>
          <w:rFonts w:hint="eastAsia" w:ascii="宋体" w:hAnsi="宋体" w:cs="宋体"/>
          <w:szCs w:val="21"/>
        </w:rPr>
        <w:t>本合同通用条款第24条约定发包人违约应承担的违约责任：</w:t>
      </w:r>
      <w:r>
        <w:rPr>
          <w:rFonts w:hint="eastAsia" w:ascii="宋体" w:hAnsi="宋体" w:cs="宋体"/>
          <w:szCs w:val="21"/>
          <w:u w:val="single"/>
        </w:rPr>
        <w:t>执行通用条款。</w:t>
      </w:r>
    </w:p>
    <w:p>
      <w:pPr>
        <w:snapToGrid w:val="0"/>
        <w:spacing w:line="360" w:lineRule="auto"/>
        <w:ind w:firstLine="420" w:firstLineChars="200"/>
        <w:rPr>
          <w:rFonts w:ascii="宋体" w:hAnsi="宋体" w:cs="宋体"/>
          <w:szCs w:val="21"/>
          <w:u w:val="single"/>
        </w:rPr>
      </w:pPr>
      <w:r>
        <w:rPr>
          <w:rFonts w:hint="eastAsia" w:ascii="宋体" w:hAnsi="宋体" w:cs="宋体"/>
          <w:szCs w:val="21"/>
        </w:rPr>
        <w:t>本合同通用条款第26.4款约定发包人违约应承担的违约责任：</w:t>
      </w:r>
      <w:r>
        <w:rPr>
          <w:rFonts w:hint="eastAsia" w:ascii="宋体" w:hAnsi="宋体" w:cs="宋体"/>
          <w:szCs w:val="21"/>
          <w:u w:val="single"/>
        </w:rPr>
        <w:t>执行通用条款。</w:t>
      </w:r>
    </w:p>
    <w:p>
      <w:pPr>
        <w:snapToGrid w:val="0"/>
        <w:spacing w:line="360" w:lineRule="auto"/>
        <w:ind w:firstLine="420" w:firstLineChars="200"/>
        <w:rPr>
          <w:rFonts w:ascii="宋体" w:hAnsi="宋体" w:cs="宋体"/>
          <w:szCs w:val="21"/>
          <w:u w:val="single"/>
        </w:rPr>
      </w:pPr>
      <w:r>
        <w:rPr>
          <w:rFonts w:hint="eastAsia" w:ascii="宋体" w:hAnsi="宋体" w:cs="宋体"/>
          <w:szCs w:val="21"/>
        </w:rPr>
        <w:t>本合同通用条款第33.3款约定发包人违约应承担的违约责任：</w:t>
      </w:r>
      <w:r>
        <w:rPr>
          <w:rFonts w:hint="eastAsia" w:ascii="宋体" w:hAnsi="宋体" w:cs="宋体"/>
          <w:szCs w:val="21"/>
          <w:u w:val="single"/>
        </w:rPr>
        <w:t>执行通用条款。</w:t>
      </w:r>
    </w:p>
    <w:p>
      <w:pPr>
        <w:snapToGrid w:val="0"/>
        <w:spacing w:line="360" w:lineRule="auto"/>
        <w:ind w:firstLine="420" w:firstLineChars="200"/>
        <w:rPr>
          <w:rFonts w:ascii="宋体" w:hAnsi="宋体" w:cs="宋体"/>
          <w:szCs w:val="21"/>
        </w:rPr>
      </w:pPr>
      <w:bookmarkStart w:id="1744" w:name="_Toc231613130"/>
      <w:bookmarkStart w:id="1745" w:name="_Toc123715552"/>
      <w:bookmarkStart w:id="1746" w:name="_Toc231612813"/>
      <w:bookmarkStart w:id="1747" w:name="_Toc231612983"/>
      <w:r>
        <w:rPr>
          <w:rFonts w:hint="eastAsia" w:ascii="宋体" w:hAnsi="宋体" w:cs="宋体"/>
          <w:szCs w:val="21"/>
        </w:rPr>
        <w:t>35.2 本合同中关于承包人违约的具体责任如下：</w:t>
      </w:r>
      <w:bookmarkEnd w:id="1744"/>
      <w:bookmarkEnd w:id="1745"/>
      <w:bookmarkEnd w:id="1746"/>
      <w:bookmarkEnd w:id="1747"/>
    </w:p>
    <w:p>
      <w:pPr>
        <w:snapToGrid w:val="0"/>
        <w:spacing w:line="360" w:lineRule="auto"/>
        <w:ind w:firstLine="422" w:firstLineChars="200"/>
        <w:rPr>
          <w:rFonts w:ascii="宋体" w:hAnsi="宋体" w:cs="宋体"/>
          <w:b/>
          <w:bCs/>
          <w:szCs w:val="21"/>
        </w:rPr>
      </w:pPr>
      <w:r>
        <w:rPr>
          <w:rFonts w:hint="eastAsia" w:ascii="宋体" w:hAnsi="宋体" w:cs="宋体"/>
          <w:b/>
          <w:bCs/>
          <w:szCs w:val="21"/>
        </w:rPr>
        <w:t>补充条款</w:t>
      </w:r>
    </w:p>
    <w:p>
      <w:pPr>
        <w:snapToGrid w:val="0"/>
        <w:spacing w:line="360" w:lineRule="auto"/>
        <w:ind w:firstLine="420" w:firstLineChars="200"/>
        <w:rPr>
          <w:rFonts w:ascii="宋体" w:hAnsi="宋体" w:cs="宋体"/>
          <w:szCs w:val="21"/>
        </w:rPr>
      </w:pPr>
      <w:r>
        <w:rPr>
          <w:rFonts w:hint="eastAsia" w:ascii="宋体" w:hAnsi="宋体" w:cs="宋体"/>
          <w:szCs w:val="21"/>
        </w:rPr>
        <w:t>（4）本项目的项目经理、技术负责人和主要施工管理人员在合同实施期内不得擅自变更，人员变更必须经业主同意并报当地国土房管局备案；且驻工地时间一个月不得少于26天；否则将被视为违约。</w:t>
      </w:r>
    </w:p>
    <w:p>
      <w:pPr>
        <w:snapToGrid w:val="0"/>
        <w:spacing w:line="360" w:lineRule="auto"/>
        <w:ind w:firstLine="420" w:firstLineChars="200"/>
        <w:rPr>
          <w:rFonts w:ascii="宋体" w:hAnsi="宋体" w:cs="宋体"/>
          <w:szCs w:val="21"/>
        </w:rPr>
      </w:pPr>
      <w:r>
        <w:rPr>
          <w:rFonts w:hint="eastAsia" w:ascii="宋体" w:hAnsi="宋体" w:cs="宋体"/>
          <w:szCs w:val="21"/>
        </w:rPr>
        <w:t>双方约定的投标人其他违约责任：</w:t>
      </w:r>
      <w:r>
        <w:rPr>
          <w:rFonts w:hint="eastAsia" w:ascii="宋体" w:hAnsi="宋体" w:cs="宋体"/>
          <w:szCs w:val="21"/>
          <w:u w:val="single"/>
        </w:rPr>
        <w:t>项目经理和技术负责人、主要施工管理人员每月驻场时间不少于26天，第一次违约，不足天数每人每天按5000元人民币处违约金，在当月工程进度款中扣除。第二次违约，发包人按承包人投标承诺函中的承诺，终止合同并没收履约保证金，并报请相关主管部门纳入诚信记录。</w:t>
      </w:r>
    </w:p>
    <w:p>
      <w:pPr>
        <w:snapToGrid w:val="0"/>
        <w:spacing w:line="360" w:lineRule="auto"/>
        <w:ind w:firstLine="420" w:firstLineChars="200"/>
        <w:rPr>
          <w:rFonts w:ascii="宋体" w:hAnsi="宋体" w:cs="宋体"/>
          <w:szCs w:val="21"/>
        </w:rPr>
      </w:pPr>
      <w:r>
        <w:rPr>
          <w:rFonts w:hint="eastAsia" w:ascii="宋体" w:hAnsi="宋体" w:cs="宋体"/>
          <w:szCs w:val="21"/>
        </w:rPr>
        <w:t>本合同通用条款第14.2款约定承包人违约应承担的违约责任：按合同金额的 0.01%/日违约金。</w:t>
      </w:r>
    </w:p>
    <w:p>
      <w:pPr>
        <w:snapToGrid w:val="0"/>
        <w:spacing w:line="360" w:lineRule="auto"/>
        <w:ind w:firstLine="420" w:firstLineChars="200"/>
        <w:rPr>
          <w:rFonts w:ascii="宋体" w:hAnsi="宋体" w:cs="宋体"/>
          <w:szCs w:val="21"/>
        </w:rPr>
      </w:pPr>
      <w:r>
        <w:rPr>
          <w:rFonts w:hint="eastAsia" w:ascii="宋体" w:hAnsi="宋体" w:cs="宋体"/>
          <w:szCs w:val="21"/>
        </w:rPr>
        <w:t>本合同通用条款第15.1款约定承包人违约应承担的违约责任：</w:t>
      </w:r>
      <w:r>
        <w:rPr>
          <w:rFonts w:hint="eastAsia" w:ascii="宋体" w:hAnsi="宋体" w:cs="宋体"/>
          <w:szCs w:val="21"/>
          <w:u w:val="single"/>
        </w:rPr>
        <w:t>承包人无条件返工，实现质量目标要求，并向发包人赔付金额为合同总价的3%款项作为质量违约金。</w:t>
      </w:r>
    </w:p>
    <w:p>
      <w:pPr>
        <w:snapToGrid w:val="0"/>
        <w:spacing w:line="360" w:lineRule="auto"/>
        <w:ind w:firstLine="420" w:firstLineChars="200"/>
        <w:rPr>
          <w:rFonts w:ascii="宋体" w:hAnsi="宋体" w:cs="宋体"/>
          <w:szCs w:val="21"/>
          <w:u w:val="single"/>
        </w:rPr>
      </w:pPr>
      <w:r>
        <w:rPr>
          <w:rFonts w:hint="eastAsia" w:ascii="宋体" w:hAnsi="宋体" w:cs="宋体"/>
          <w:szCs w:val="21"/>
        </w:rPr>
        <w:t>双方约定的承包人其他违约责任：</w:t>
      </w:r>
      <w:r>
        <w:rPr>
          <w:rFonts w:hint="eastAsia" w:ascii="宋体" w:hAnsi="宋体" w:cs="宋体"/>
          <w:szCs w:val="21"/>
          <w:u w:val="single"/>
        </w:rPr>
        <w:t xml:space="preserve"> 超合同工期，由中标单位负责所产生费用(监理服务费、业主单位管理费、现场管理人员工资以及其它费用)。</w:t>
      </w:r>
    </w:p>
    <w:p>
      <w:pPr>
        <w:snapToGrid w:val="0"/>
        <w:spacing w:line="360" w:lineRule="auto"/>
        <w:ind w:firstLine="420" w:firstLineChars="200"/>
        <w:rPr>
          <w:rFonts w:ascii="宋体" w:hAnsi="宋体" w:cs="宋体"/>
          <w:szCs w:val="21"/>
        </w:rPr>
      </w:pPr>
      <w:r>
        <w:rPr>
          <w:rFonts w:hint="eastAsia" w:ascii="宋体" w:hAnsi="宋体" w:cs="宋体"/>
          <w:szCs w:val="21"/>
        </w:rPr>
        <w:t>本合同专用条款第32.1款约定承包人违约应承担的违约责任：按合同金额的 0.001%/日违约金。</w:t>
      </w:r>
    </w:p>
    <w:p>
      <w:pPr>
        <w:adjustRightInd w:val="0"/>
        <w:snapToGrid w:val="0"/>
        <w:spacing w:line="360" w:lineRule="auto"/>
        <w:ind w:firstLine="422" w:firstLineChars="200"/>
        <w:rPr>
          <w:rFonts w:ascii="宋体" w:hAnsi="宋体" w:cs="宋体"/>
          <w:b/>
          <w:szCs w:val="21"/>
        </w:rPr>
      </w:pPr>
      <w:bookmarkStart w:id="1748" w:name="_Toc101155839"/>
      <w:bookmarkStart w:id="1749" w:name="_Toc115511357"/>
      <w:bookmarkStart w:id="1750" w:name="_Toc123715553"/>
      <w:bookmarkStart w:id="1751" w:name="_Toc99792354"/>
      <w:bookmarkStart w:id="1752" w:name="_Toc193188715"/>
      <w:bookmarkStart w:id="1753" w:name="_Toc231612814"/>
      <w:bookmarkStart w:id="1754" w:name="_Toc98239459"/>
      <w:bookmarkStart w:id="1755" w:name="_Toc101156042"/>
      <w:bookmarkStart w:id="1756" w:name="_Toc100123564"/>
      <w:bookmarkStart w:id="1757" w:name="_Toc98238995"/>
      <w:r>
        <w:rPr>
          <w:rFonts w:hint="eastAsia" w:ascii="宋体" w:hAnsi="宋体" w:cs="宋体"/>
          <w:b/>
          <w:szCs w:val="21"/>
        </w:rPr>
        <w:t>37、争议</w:t>
      </w:r>
      <w:bookmarkEnd w:id="1748"/>
      <w:bookmarkEnd w:id="1749"/>
      <w:bookmarkEnd w:id="1750"/>
      <w:bookmarkEnd w:id="1751"/>
      <w:bookmarkEnd w:id="1752"/>
      <w:bookmarkEnd w:id="1753"/>
      <w:bookmarkEnd w:id="1754"/>
      <w:bookmarkEnd w:id="1755"/>
      <w:bookmarkEnd w:id="1756"/>
      <w:bookmarkEnd w:id="1757"/>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37.1 双方约定，在履行合同过程中产生争议时，</w:t>
      </w:r>
      <w:r>
        <w:rPr>
          <w:rFonts w:hint="eastAsia" w:ascii="宋体" w:hAnsi="宋体" w:cs="宋体"/>
          <w:szCs w:val="21"/>
          <w:u w:val="single"/>
        </w:rPr>
        <w:t>请重庆仲裁委员会调解解决</w:t>
      </w:r>
      <w:r>
        <w:rPr>
          <w:rFonts w:hint="eastAsia" w:ascii="宋体" w:hAnsi="宋体" w:cs="宋体"/>
          <w:szCs w:val="21"/>
        </w:rPr>
        <w:t>。</w:t>
      </w:r>
    </w:p>
    <w:p>
      <w:pPr>
        <w:adjustRightInd w:val="0"/>
        <w:snapToGrid w:val="0"/>
        <w:spacing w:line="360" w:lineRule="auto"/>
        <w:rPr>
          <w:rFonts w:ascii="方正黑体_GBK" w:hAnsi="宋体" w:eastAsia="方正黑体_GBK" w:cs="宋体"/>
          <w:b/>
          <w:bCs/>
          <w:szCs w:val="21"/>
        </w:rPr>
      </w:pPr>
      <w:bookmarkStart w:id="1758" w:name="_Toc101156043"/>
      <w:bookmarkStart w:id="1759" w:name="_Toc193188716"/>
      <w:bookmarkStart w:id="1760" w:name="_Toc101155840"/>
      <w:bookmarkStart w:id="1761" w:name="_Toc123715555"/>
      <w:bookmarkStart w:id="1762" w:name="_Toc99792355"/>
      <w:bookmarkStart w:id="1763" w:name="_Toc115511358"/>
      <w:bookmarkStart w:id="1764" w:name="_Toc98239460"/>
      <w:bookmarkStart w:id="1765" w:name="_Toc98238996"/>
      <w:bookmarkStart w:id="1766" w:name="_Toc231612815"/>
      <w:bookmarkStart w:id="1767" w:name="_Toc100123565"/>
      <w:r>
        <w:rPr>
          <w:rFonts w:hint="eastAsia" w:ascii="方正黑体_GBK" w:hAnsi="宋体" w:eastAsia="方正黑体_GBK" w:cs="宋体"/>
          <w:b/>
          <w:bCs/>
          <w:szCs w:val="21"/>
        </w:rPr>
        <w:t>十一、其他</w:t>
      </w:r>
      <w:bookmarkEnd w:id="1758"/>
      <w:bookmarkEnd w:id="1759"/>
      <w:bookmarkEnd w:id="1760"/>
      <w:bookmarkEnd w:id="1761"/>
      <w:bookmarkEnd w:id="1762"/>
      <w:bookmarkEnd w:id="1763"/>
      <w:bookmarkEnd w:id="1764"/>
      <w:bookmarkEnd w:id="1765"/>
      <w:bookmarkEnd w:id="1766"/>
      <w:bookmarkEnd w:id="1767"/>
    </w:p>
    <w:p>
      <w:pPr>
        <w:adjustRightInd w:val="0"/>
        <w:snapToGrid w:val="0"/>
        <w:spacing w:line="360" w:lineRule="auto"/>
        <w:ind w:firstLine="422" w:firstLineChars="200"/>
        <w:rPr>
          <w:rFonts w:ascii="宋体" w:hAnsi="宋体" w:cs="宋体"/>
          <w:b/>
          <w:szCs w:val="21"/>
        </w:rPr>
      </w:pPr>
      <w:bookmarkStart w:id="1768" w:name="_Toc98239461"/>
      <w:bookmarkStart w:id="1769" w:name="_Toc231612816"/>
      <w:bookmarkStart w:id="1770" w:name="_Toc101155841"/>
      <w:bookmarkStart w:id="1771" w:name="_Toc193188717"/>
      <w:bookmarkStart w:id="1772" w:name="_Toc101156044"/>
      <w:bookmarkStart w:id="1773" w:name="_Toc98238997"/>
      <w:bookmarkStart w:id="1774" w:name="_Toc100123566"/>
      <w:bookmarkStart w:id="1775" w:name="_Toc123715556"/>
      <w:bookmarkStart w:id="1776" w:name="_Toc115511359"/>
      <w:bookmarkStart w:id="1777" w:name="_Toc99792356"/>
      <w:r>
        <w:rPr>
          <w:rFonts w:hint="eastAsia" w:ascii="宋体" w:hAnsi="宋体" w:cs="宋体"/>
          <w:b/>
          <w:szCs w:val="21"/>
        </w:rPr>
        <w:t>38、工程分包</w:t>
      </w:r>
      <w:bookmarkEnd w:id="1768"/>
      <w:bookmarkEnd w:id="1769"/>
      <w:bookmarkEnd w:id="1770"/>
      <w:bookmarkEnd w:id="1771"/>
      <w:bookmarkEnd w:id="1772"/>
      <w:bookmarkEnd w:id="1773"/>
      <w:bookmarkEnd w:id="1774"/>
      <w:bookmarkEnd w:id="1775"/>
      <w:bookmarkEnd w:id="1776"/>
      <w:bookmarkEnd w:id="1777"/>
    </w:p>
    <w:p>
      <w:pPr>
        <w:adjustRightInd w:val="0"/>
        <w:snapToGrid w:val="0"/>
        <w:spacing w:line="360" w:lineRule="auto"/>
        <w:ind w:firstLine="420" w:firstLineChars="200"/>
        <w:rPr>
          <w:rFonts w:ascii="宋体" w:hAnsi="宋体" w:cs="宋体"/>
          <w:szCs w:val="21"/>
        </w:rPr>
      </w:pPr>
      <w:bookmarkStart w:id="1778" w:name="_Toc231613131"/>
      <w:bookmarkStart w:id="1779" w:name="_Toc231612984"/>
      <w:bookmarkStart w:id="1780" w:name="_Toc231612817"/>
      <w:r>
        <w:rPr>
          <w:rFonts w:hint="eastAsia" w:ascii="宋体" w:hAnsi="宋体" w:cs="宋体"/>
          <w:szCs w:val="21"/>
        </w:rPr>
        <w:t>38.1 本工程发包人同意承包人分包的工程：</w:t>
      </w:r>
      <w:r>
        <w:rPr>
          <w:rFonts w:hint="eastAsia" w:ascii="宋体" w:hAnsi="宋体" w:cs="宋体"/>
          <w:szCs w:val="21"/>
          <w:u w:val="single"/>
        </w:rPr>
        <w:t>无。</w:t>
      </w:r>
      <w:bookmarkEnd w:id="1778"/>
      <w:bookmarkEnd w:id="1779"/>
      <w:bookmarkEnd w:id="1780"/>
    </w:p>
    <w:p>
      <w:pPr>
        <w:adjustRightInd w:val="0"/>
        <w:snapToGrid w:val="0"/>
        <w:spacing w:line="360" w:lineRule="auto"/>
        <w:ind w:firstLine="422" w:firstLineChars="200"/>
        <w:rPr>
          <w:rFonts w:ascii="宋体" w:hAnsi="宋体" w:cs="宋体"/>
          <w:b/>
          <w:szCs w:val="21"/>
        </w:rPr>
      </w:pPr>
      <w:bookmarkStart w:id="1781" w:name="_Toc98239462"/>
      <w:bookmarkStart w:id="1782" w:name="_Toc115511360"/>
      <w:bookmarkStart w:id="1783" w:name="_Toc123715557"/>
      <w:bookmarkStart w:id="1784" w:name="_Toc101155842"/>
      <w:bookmarkStart w:id="1785" w:name="_Toc98238998"/>
      <w:bookmarkStart w:id="1786" w:name="_Toc99792357"/>
      <w:bookmarkStart w:id="1787" w:name="_Toc193188718"/>
      <w:bookmarkStart w:id="1788" w:name="_Toc101156045"/>
      <w:bookmarkStart w:id="1789" w:name="_Toc100123567"/>
      <w:bookmarkStart w:id="1790" w:name="_Toc231612818"/>
      <w:r>
        <w:rPr>
          <w:rFonts w:hint="eastAsia" w:ascii="宋体" w:hAnsi="宋体" w:cs="宋体"/>
          <w:b/>
          <w:szCs w:val="21"/>
        </w:rPr>
        <w:t>39、不可抗力</w:t>
      </w:r>
      <w:bookmarkEnd w:id="1781"/>
      <w:bookmarkEnd w:id="1782"/>
      <w:bookmarkEnd w:id="1783"/>
      <w:bookmarkEnd w:id="1784"/>
      <w:bookmarkEnd w:id="1785"/>
      <w:bookmarkEnd w:id="1786"/>
      <w:bookmarkEnd w:id="1787"/>
      <w:bookmarkEnd w:id="1788"/>
      <w:bookmarkEnd w:id="1789"/>
      <w:bookmarkEnd w:id="1790"/>
    </w:p>
    <w:p>
      <w:pPr>
        <w:adjustRightInd w:val="0"/>
        <w:snapToGrid w:val="0"/>
        <w:spacing w:line="360" w:lineRule="auto"/>
        <w:ind w:firstLine="420" w:firstLineChars="200"/>
        <w:rPr>
          <w:rFonts w:ascii="宋体" w:hAnsi="宋体" w:cs="宋体"/>
          <w:szCs w:val="21"/>
        </w:rPr>
      </w:pPr>
      <w:bookmarkStart w:id="1791" w:name="_Toc231612819"/>
      <w:bookmarkStart w:id="1792" w:name="_Toc231613132"/>
      <w:bookmarkStart w:id="1793" w:name="_Toc231612985"/>
      <w:bookmarkStart w:id="1794" w:name="_Toc123715558"/>
      <w:r>
        <w:rPr>
          <w:rFonts w:hint="eastAsia" w:ascii="宋体" w:hAnsi="宋体" w:cs="宋体"/>
          <w:szCs w:val="21"/>
        </w:rPr>
        <w:t>39.1 双方关于不可抗力的约定：执行通用条款。</w:t>
      </w:r>
      <w:bookmarkEnd w:id="1791"/>
      <w:bookmarkEnd w:id="1792"/>
      <w:bookmarkEnd w:id="1793"/>
      <w:bookmarkEnd w:id="1794"/>
      <w:r>
        <w:rPr>
          <w:rFonts w:hint="eastAsia" w:ascii="宋体" w:hAnsi="宋体" w:cs="宋体"/>
          <w:szCs w:val="21"/>
        </w:rPr>
        <w:t xml:space="preserve"> </w:t>
      </w:r>
    </w:p>
    <w:p>
      <w:pPr>
        <w:adjustRightInd w:val="0"/>
        <w:snapToGrid w:val="0"/>
        <w:spacing w:line="360" w:lineRule="auto"/>
        <w:ind w:firstLine="422" w:firstLineChars="200"/>
        <w:rPr>
          <w:rFonts w:ascii="宋体" w:hAnsi="宋体" w:cs="宋体"/>
          <w:b/>
          <w:szCs w:val="21"/>
        </w:rPr>
      </w:pPr>
      <w:bookmarkStart w:id="1795" w:name="_Toc115511361"/>
      <w:bookmarkStart w:id="1796" w:name="_Toc98239463"/>
      <w:bookmarkStart w:id="1797" w:name="_Toc100123568"/>
      <w:bookmarkStart w:id="1798" w:name="_Toc193188719"/>
      <w:bookmarkStart w:id="1799" w:name="_Toc101155843"/>
      <w:bookmarkStart w:id="1800" w:name="_Toc101156046"/>
      <w:bookmarkStart w:id="1801" w:name="_Toc99792358"/>
      <w:bookmarkStart w:id="1802" w:name="_Toc123715559"/>
      <w:bookmarkStart w:id="1803" w:name="_Toc231612820"/>
      <w:bookmarkStart w:id="1804" w:name="_Toc98238999"/>
      <w:r>
        <w:rPr>
          <w:rFonts w:hint="eastAsia" w:ascii="宋体" w:hAnsi="宋体" w:cs="宋体"/>
          <w:b/>
          <w:szCs w:val="21"/>
        </w:rPr>
        <w:t>40、保险</w:t>
      </w:r>
      <w:bookmarkEnd w:id="1795"/>
      <w:bookmarkEnd w:id="1796"/>
      <w:bookmarkEnd w:id="1797"/>
      <w:bookmarkEnd w:id="1798"/>
      <w:bookmarkEnd w:id="1799"/>
      <w:bookmarkEnd w:id="1800"/>
      <w:bookmarkEnd w:id="1801"/>
      <w:bookmarkEnd w:id="1802"/>
      <w:bookmarkEnd w:id="1803"/>
      <w:bookmarkEnd w:id="1804"/>
    </w:p>
    <w:p>
      <w:pPr>
        <w:adjustRightInd w:val="0"/>
        <w:snapToGrid w:val="0"/>
        <w:spacing w:line="360" w:lineRule="auto"/>
        <w:ind w:firstLine="420" w:firstLineChars="200"/>
        <w:rPr>
          <w:rFonts w:ascii="宋体" w:hAnsi="宋体" w:cs="宋体"/>
          <w:szCs w:val="21"/>
        </w:rPr>
      </w:pPr>
      <w:bookmarkStart w:id="1805" w:name="_Toc231613133"/>
      <w:bookmarkStart w:id="1806" w:name="_Toc231612821"/>
      <w:bookmarkStart w:id="1807" w:name="_Toc231612986"/>
      <w:r>
        <w:rPr>
          <w:rFonts w:hint="eastAsia" w:ascii="宋体" w:hAnsi="宋体" w:cs="宋体"/>
          <w:szCs w:val="21"/>
        </w:rPr>
        <w:t>40.1 本工程双方约定投保内容如下：</w:t>
      </w:r>
      <w:bookmarkEnd w:id="1805"/>
      <w:bookmarkEnd w:id="1806"/>
      <w:bookmarkEnd w:id="1807"/>
    </w:p>
    <w:p>
      <w:pPr>
        <w:snapToGrid w:val="0"/>
        <w:spacing w:line="360" w:lineRule="auto"/>
        <w:ind w:firstLine="420" w:firstLineChars="200"/>
        <w:rPr>
          <w:rFonts w:ascii="宋体" w:hAnsi="宋体" w:cs="宋体"/>
          <w:szCs w:val="21"/>
          <w:u w:val="single"/>
        </w:rPr>
      </w:pPr>
      <w:r>
        <w:rPr>
          <w:rFonts w:hint="eastAsia" w:ascii="宋体" w:hAnsi="宋体" w:cs="宋体"/>
          <w:szCs w:val="21"/>
        </w:rPr>
        <w:t>（1）发包人投保内容：</w:t>
      </w:r>
      <w:r>
        <w:rPr>
          <w:rFonts w:hint="eastAsia" w:ascii="宋体" w:hAnsi="宋体" w:cs="宋体"/>
          <w:szCs w:val="21"/>
          <w:u w:val="single"/>
        </w:rPr>
        <w:t xml:space="preserve">由发包人自行解决。 </w:t>
      </w:r>
    </w:p>
    <w:p>
      <w:pPr>
        <w:snapToGrid w:val="0"/>
        <w:spacing w:line="360" w:lineRule="auto"/>
        <w:ind w:firstLine="420" w:firstLineChars="200"/>
        <w:rPr>
          <w:rFonts w:ascii="宋体" w:hAnsi="宋体" w:cs="宋体"/>
          <w:szCs w:val="21"/>
          <w:u w:val="single"/>
        </w:rPr>
      </w:pPr>
      <w:r>
        <w:rPr>
          <w:rFonts w:hint="eastAsia" w:ascii="宋体" w:hAnsi="宋体" w:cs="宋体"/>
          <w:szCs w:val="21"/>
        </w:rPr>
        <w:t>发包人委托承包人办理的保险事项：</w:t>
      </w:r>
      <w:r>
        <w:rPr>
          <w:rFonts w:hint="eastAsia" w:ascii="宋体" w:hAnsi="宋体" w:cs="宋体"/>
          <w:szCs w:val="21"/>
          <w:u w:val="single"/>
        </w:rPr>
        <w:t>另行约定。</w:t>
      </w:r>
    </w:p>
    <w:p>
      <w:pPr>
        <w:snapToGrid w:val="0"/>
        <w:spacing w:line="360" w:lineRule="auto"/>
        <w:ind w:firstLine="420" w:firstLineChars="200"/>
        <w:rPr>
          <w:rFonts w:ascii="宋体" w:hAnsi="宋体" w:cs="宋体"/>
          <w:szCs w:val="21"/>
        </w:rPr>
      </w:pPr>
      <w:r>
        <w:rPr>
          <w:rFonts w:hint="eastAsia" w:ascii="宋体" w:hAnsi="宋体" w:cs="宋体"/>
          <w:szCs w:val="21"/>
        </w:rPr>
        <w:t>（2）承包人投保内容：</w:t>
      </w:r>
      <w:r>
        <w:rPr>
          <w:rFonts w:hint="eastAsia" w:ascii="宋体" w:hAnsi="宋体" w:cs="宋体"/>
          <w:szCs w:val="21"/>
          <w:u w:val="single"/>
        </w:rPr>
        <w:t xml:space="preserve"> 地方相关部门要求的保险（包括施工人员意外险）。</w:t>
      </w:r>
    </w:p>
    <w:p>
      <w:pPr>
        <w:adjustRightInd w:val="0"/>
        <w:snapToGrid w:val="0"/>
        <w:spacing w:line="360" w:lineRule="auto"/>
        <w:ind w:firstLine="422" w:firstLineChars="200"/>
        <w:rPr>
          <w:rFonts w:ascii="宋体" w:hAnsi="宋体" w:cs="宋体"/>
          <w:b/>
          <w:szCs w:val="21"/>
        </w:rPr>
      </w:pPr>
      <w:bookmarkStart w:id="1808" w:name="_Toc100123569"/>
      <w:bookmarkStart w:id="1809" w:name="_Toc101156047"/>
      <w:bookmarkStart w:id="1810" w:name="_Toc101155844"/>
      <w:bookmarkStart w:id="1811" w:name="_Toc98239000"/>
      <w:bookmarkStart w:id="1812" w:name="_Toc123715560"/>
      <w:bookmarkStart w:id="1813" w:name="_Toc193188720"/>
      <w:bookmarkStart w:id="1814" w:name="_Toc98239464"/>
      <w:bookmarkStart w:id="1815" w:name="_Toc115511362"/>
      <w:bookmarkStart w:id="1816" w:name="_Toc99792359"/>
      <w:bookmarkStart w:id="1817" w:name="_Toc231612822"/>
      <w:r>
        <w:rPr>
          <w:rFonts w:hint="eastAsia" w:ascii="宋体" w:hAnsi="宋体" w:cs="宋体"/>
          <w:b/>
          <w:szCs w:val="21"/>
        </w:rPr>
        <w:t>41、担保</w:t>
      </w:r>
      <w:bookmarkEnd w:id="1808"/>
      <w:bookmarkEnd w:id="1809"/>
      <w:bookmarkEnd w:id="1810"/>
      <w:bookmarkEnd w:id="1811"/>
      <w:bookmarkEnd w:id="1812"/>
      <w:bookmarkEnd w:id="1813"/>
      <w:bookmarkEnd w:id="1814"/>
      <w:bookmarkEnd w:id="1815"/>
      <w:bookmarkEnd w:id="1816"/>
      <w:bookmarkEnd w:id="1817"/>
    </w:p>
    <w:p>
      <w:pPr>
        <w:adjustRightInd w:val="0"/>
        <w:snapToGrid w:val="0"/>
        <w:spacing w:line="360" w:lineRule="auto"/>
        <w:ind w:firstLine="420" w:firstLineChars="200"/>
        <w:rPr>
          <w:rFonts w:ascii="宋体" w:hAnsi="宋体" w:cs="宋体"/>
          <w:color w:val="0000FF"/>
          <w:szCs w:val="21"/>
        </w:rPr>
      </w:pPr>
      <w:r>
        <w:rPr>
          <w:rFonts w:hint="eastAsia" w:ascii="宋体" w:hAnsi="宋体" w:cs="宋体"/>
          <w:color w:val="0000FF"/>
          <w:szCs w:val="21"/>
        </w:rPr>
        <w:t>41.3.1 履约担保</w:t>
      </w:r>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41.3.1.1承包人是否提供履约担保：</w:t>
      </w:r>
      <w:r>
        <w:rPr>
          <w:rFonts w:hint="eastAsia" w:ascii="宋体" w:hAnsi="宋体"/>
          <w:color w:val="0000FF"/>
          <w:szCs w:val="21"/>
          <w:u w:val="single"/>
        </w:rPr>
        <w:t>提供</w:t>
      </w:r>
      <w:r>
        <w:rPr>
          <w:rFonts w:hint="eastAsia" w:ascii="宋体" w:hAnsi="宋体"/>
          <w:color w:val="0000FF"/>
          <w:szCs w:val="21"/>
        </w:rPr>
        <w:t>。</w:t>
      </w:r>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41.3.1.2承包人提供履约担保的形式、金额及期限：</w:t>
      </w:r>
    </w:p>
    <w:p>
      <w:pPr>
        <w:numPr>
          <w:ilvl w:val="0"/>
          <w:numId w:val="5"/>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履约担保的形式：现金或履约保函或现金+履约保函的组合，履约保函包括银行保函、保证保险和担保保函，其示范文本详见合同附件。承包人提交的履约保函应严格执行其示范文本，不得对示范文本中的实质性内容进行修改。承包人若采用现金提交履约担保的，允许使用符合《关于在全市工程建设领域全面推行工程保函工作的通知》（渝公管发〔2022〕25号）、《关于进一步规范工程建设领域工程保函示范文本的通知》（渝公管发〔2022〕26号）要求的履约保函置换。</w:t>
      </w:r>
    </w:p>
    <w:p>
      <w:pPr>
        <w:adjustRightInd w:val="0"/>
        <w:snapToGrid w:val="0"/>
        <w:spacing w:line="360" w:lineRule="auto"/>
        <w:ind w:left="420" w:leftChars="200"/>
        <w:rPr>
          <w:rFonts w:ascii="宋体" w:hAnsi="宋体"/>
          <w:color w:val="0000FF"/>
          <w:szCs w:val="21"/>
        </w:rPr>
      </w:pPr>
      <w:r>
        <w:rPr>
          <w:rFonts w:hint="eastAsia" w:ascii="宋体" w:hAnsi="宋体"/>
          <w:color w:val="0000FF"/>
          <w:szCs w:val="21"/>
        </w:rPr>
        <w:t>（2）具体要求：履约保函的开立人应当是具有相应资格的银行、保险机构、融资担保公司，其信用资质、履约能力、担保能力、赔付流程、安全保密等应符合履约保函业务条件。履约保函应合法合规，符合招投标行政监督部门、行业主管部门和金融监管部门的相关规定，满足招标文件约定要求。承包人应选择在渝依法设立总部或者设有分支机构的金融机构开具履约保函（包括纸质保函或电子保函）。履约保函为纸质保函的，纸质保函应注明在重庆市辖区范围内的核验地址和核验方式，并确保该纸质保函能在开立人在渝的总部或者分支机构进行核验。承包人对所提交的履约保函的真实性、合法性、有效性负责。</w:t>
      </w:r>
    </w:p>
    <w:p>
      <w:pPr>
        <w:adjustRightInd w:val="0"/>
        <w:snapToGrid w:val="0"/>
        <w:spacing w:line="360" w:lineRule="auto"/>
        <w:ind w:left="420" w:leftChars="200"/>
        <w:rPr>
          <w:rFonts w:ascii="宋体" w:hAnsi="宋体"/>
          <w:color w:val="0000FF"/>
          <w:szCs w:val="21"/>
        </w:rPr>
      </w:pPr>
      <w:r>
        <w:rPr>
          <w:rFonts w:hint="eastAsia" w:ascii="宋体" w:hAnsi="宋体"/>
          <w:color w:val="0000FF"/>
          <w:szCs w:val="21"/>
        </w:rPr>
        <w:t>（3）履约担保的金额：</w:t>
      </w:r>
      <w:r>
        <w:rPr>
          <w:rFonts w:hint="eastAsia" w:ascii="仿宋_GB2312" w:hAnsi="宋体" w:eastAsia="仿宋_GB2312" w:cs="宋体"/>
          <w:color w:val="0000FF"/>
          <w:kern w:val="0"/>
          <w:szCs w:val="21"/>
          <w:u w:val="single"/>
        </w:rPr>
        <w:t xml:space="preserve">            </w:t>
      </w:r>
      <w:r>
        <w:rPr>
          <w:rFonts w:hint="eastAsia" w:ascii="宋体" w:hAnsi="宋体"/>
          <w:color w:val="0000FF"/>
          <w:szCs w:val="21"/>
        </w:rPr>
        <w:t>；</w:t>
      </w:r>
    </w:p>
    <w:p>
      <w:pPr>
        <w:adjustRightInd w:val="0"/>
        <w:snapToGrid w:val="0"/>
        <w:spacing w:line="360" w:lineRule="auto"/>
        <w:ind w:left="420" w:leftChars="200"/>
        <w:rPr>
          <w:rFonts w:ascii="宋体" w:hAnsi="宋体"/>
          <w:color w:val="0000FF"/>
          <w:szCs w:val="21"/>
        </w:rPr>
      </w:pPr>
      <w:r>
        <w:rPr>
          <w:rFonts w:hint="eastAsia" w:ascii="宋体" w:hAnsi="宋体"/>
          <w:color w:val="0000FF"/>
          <w:szCs w:val="21"/>
        </w:rPr>
        <w:t>（4）履约担保的提交时间：</w:t>
      </w:r>
      <w:r>
        <w:rPr>
          <w:rFonts w:hint="eastAsia" w:ascii="宋体" w:hAnsi="宋体"/>
          <w:color w:val="0000FF"/>
          <w:szCs w:val="21"/>
          <w:u w:val="single"/>
        </w:rPr>
        <w:t>在合同签订前，承包人按担保金额向发包人提交履约担保</w:t>
      </w:r>
      <w:r>
        <w:rPr>
          <w:rFonts w:hint="eastAsia" w:ascii="宋体" w:hAnsi="宋体"/>
          <w:color w:val="0000FF"/>
          <w:szCs w:val="21"/>
        </w:rPr>
        <w:t>。</w:t>
      </w:r>
    </w:p>
    <w:p>
      <w:pPr>
        <w:adjustRightInd w:val="0"/>
        <w:snapToGrid w:val="0"/>
        <w:spacing w:line="360" w:lineRule="auto"/>
        <w:ind w:left="420" w:leftChars="200"/>
        <w:rPr>
          <w:rFonts w:ascii="宋体" w:hAnsi="宋体"/>
          <w:color w:val="0000FF"/>
          <w:szCs w:val="21"/>
        </w:rPr>
      </w:pPr>
      <w:r>
        <w:rPr>
          <w:rFonts w:hint="eastAsia" w:ascii="宋体" w:hAnsi="宋体"/>
          <w:color w:val="0000FF"/>
          <w:szCs w:val="21"/>
        </w:rPr>
        <w:t>（5）履约担保的期限：</w:t>
      </w:r>
      <w:r>
        <w:rPr>
          <w:rFonts w:hint="eastAsia" w:ascii="宋体" w:hAnsi="宋体"/>
          <w:color w:val="0000FF"/>
          <w:szCs w:val="21"/>
          <w:u w:val="single"/>
        </w:rPr>
        <w:t>自我方法定代表人（或其委托代理人）签名并加盖单位公章之日起至你方签发或应签发工程接收证书之日止</w:t>
      </w:r>
      <w:r>
        <w:rPr>
          <w:rFonts w:hint="eastAsia" w:ascii="宋体" w:hAnsi="宋体"/>
          <w:color w:val="0000FF"/>
          <w:szCs w:val="21"/>
        </w:rPr>
        <w:t>。</w:t>
      </w:r>
    </w:p>
    <w:p>
      <w:pPr>
        <w:adjustRightInd w:val="0"/>
        <w:snapToGrid w:val="0"/>
        <w:spacing w:line="360" w:lineRule="auto"/>
        <w:ind w:firstLine="420" w:firstLineChars="200"/>
        <w:rPr>
          <w:rFonts w:ascii="宋体" w:hAnsi="宋体"/>
          <w:color w:val="0000FF"/>
          <w:szCs w:val="21"/>
          <w:u w:val="single"/>
        </w:rPr>
      </w:pPr>
      <w:r>
        <w:rPr>
          <w:rFonts w:hint="eastAsia" w:ascii="宋体" w:hAnsi="宋体"/>
          <w:color w:val="0000FF"/>
          <w:szCs w:val="21"/>
        </w:rPr>
        <w:t>（6）履约担保的退还时间：</w:t>
      </w:r>
      <w:r>
        <w:rPr>
          <w:rFonts w:hint="eastAsia" w:ascii="宋体" w:hAnsi="宋体"/>
          <w:color w:val="0000FF"/>
          <w:szCs w:val="21"/>
          <w:u w:val="single"/>
        </w:rPr>
        <w:t>采用现金担保的，工程竣工验收合格后14天内退还；采用履约保函的，工程竣工验收合格后14天内退还，或按工程实际情况约定分阶段退还，阶段划分按以下标准执行：</w:t>
      </w:r>
      <w:bookmarkStart w:id="1818" w:name="_Toc231612823"/>
      <w:bookmarkStart w:id="1819" w:name="_Toc193188721"/>
      <w:bookmarkStart w:id="1820" w:name="_Toc123715561"/>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41.3.2 低价风险担保</w:t>
      </w:r>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承包人提供低价风险担保的情形：采用经评审的最低投标价法的项目投标报价低于最高限价85%时。</w:t>
      </w:r>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承包人提供低价风险担保的形式、金额及期限：</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低价风险担保的形式：现金或银行保函或现金+银行保函的组合；采用保函形式的，保函必须为不可撤销、不可转让且见索即付的独立保函；</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低价风险担保的金额：</w:t>
      </w:r>
      <w:r>
        <w:rPr>
          <w:rFonts w:hint="eastAsia" w:ascii="仿宋_GB2312" w:hAnsi="宋体" w:eastAsia="仿宋_GB2312" w:cs="宋体"/>
          <w:color w:val="0000FF"/>
          <w:kern w:val="0"/>
          <w:szCs w:val="21"/>
          <w:u w:val="single"/>
        </w:rPr>
        <w:t xml:space="preserve">            </w:t>
      </w:r>
      <w:r>
        <w:rPr>
          <w:rFonts w:hint="eastAsia" w:ascii="宋体" w:hAnsi="宋体"/>
          <w:color w:val="0000FF"/>
          <w:szCs w:val="21"/>
        </w:rPr>
        <w:t>；</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低价风险担保的提交时间：</w:t>
      </w:r>
      <w:r>
        <w:rPr>
          <w:rFonts w:hint="eastAsia"/>
          <w:color w:val="0000FF"/>
          <w:szCs w:val="21"/>
          <w:u w:val="single"/>
        </w:rPr>
        <w:t>从招标人中标通知书送达拟中标人之日起    工作日内</w:t>
      </w:r>
      <w:r>
        <w:rPr>
          <w:rFonts w:hint="eastAsia" w:ascii="宋体" w:hAnsi="宋体"/>
          <w:color w:val="0000FF"/>
          <w:szCs w:val="21"/>
          <w:u w:val="single"/>
        </w:rPr>
        <w:t>；</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低价风险担保的期限：</w:t>
      </w:r>
      <w:r>
        <w:rPr>
          <w:rFonts w:hint="eastAsia"/>
          <w:color w:val="0000FF"/>
          <w:szCs w:val="21"/>
          <w:u w:val="single"/>
        </w:rPr>
        <w:t>自低价风险担保生效之日起至竣工验收合格之日止</w:t>
      </w:r>
      <w:r>
        <w:rPr>
          <w:rFonts w:hint="eastAsia" w:ascii="宋体" w:hAnsi="宋体"/>
          <w:color w:val="0000FF"/>
          <w:szCs w:val="21"/>
        </w:rPr>
        <w:t>。</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低价风险担保的退还时间：</w:t>
      </w:r>
      <w:r>
        <w:rPr>
          <w:rFonts w:hint="eastAsia" w:ascii="宋体" w:hAnsi="宋体"/>
          <w:color w:val="0000FF"/>
          <w:szCs w:val="21"/>
          <w:u w:val="single"/>
        </w:rPr>
        <w:t xml:space="preserve">采用现金担保的，工程竣工验收合格后14天内退还，合同履行期间允许承包人用符合要求的银行保函进行置换；采用银行保函的，工程竣工验收合格后14天内退还。采用分段退还的，低价风险担保的退还时间及方式为：        </w:t>
      </w:r>
      <w:r>
        <w:rPr>
          <w:rFonts w:hint="eastAsia" w:ascii="宋体" w:hAnsi="宋体"/>
          <w:color w:val="0000FF"/>
          <w:szCs w:val="21"/>
        </w:rPr>
        <w:t>。</w:t>
      </w:r>
    </w:p>
    <w:p>
      <w:pPr>
        <w:numPr>
          <w:ilvl w:val="0"/>
          <w:numId w:val="6"/>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低价风险担保的扣减：</w:t>
      </w:r>
    </w:p>
    <w:p>
      <w:pPr>
        <w:adjustRightInd w:val="0"/>
        <w:snapToGrid w:val="0"/>
        <w:spacing w:line="360" w:lineRule="auto"/>
        <w:ind w:firstLine="840" w:firstLineChars="400"/>
        <w:rPr>
          <w:rFonts w:ascii="宋体" w:hAnsi="宋体"/>
          <w:color w:val="0000FF"/>
          <w:szCs w:val="21"/>
        </w:rPr>
      </w:pPr>
      <w:r>
        <w:rPr>
          <w:rFonts w:hint="eastAsia" w:ascii="宋体" w:hAnsi="宋体"/>
          <w:color w:val="0000FF"/>
          <w:szCs w:val="21"/>
        </w:rPr>
        <w:t>①承包人在工程施工期间，以其投标时填报的工程主要材料价格低于同期工程造价管理机构发布的信息价格为由拒绝材料采购；或因其自身其他原因导致工程窝工或停工等，给发包人造成直接经济损失且拒绝承担的，按低价风险担保金额的</w:t>
      </w:r>
      <w:r>
        <w:rPr>
          <w:rFonts w:hint="eastAsia" w:ascii="宋体" w:hAnsi="宋体"/>
          <w:color w:val="0000FF"/>
          <w:szCs w:val="21"/>
          <w:u w:val="single"/>
        </w:rPr>
        <w:t>50～100%</w:t>
      </w:r>
      <w:r>
        <w:rPr>
          <w:rFonts w:hint="eastAsia" w:ascii="宋体" w:hAnsi="宋体"/>
          <w:color w:val="0000FF"/>
          <w:szCs w:val="21"/>
        </w:rPr>
        <w:t>扣减，直至解除合同；</w:t>
      </w:r>
    </w:p>
    <w:p>
      <w:pPr>
        <w:adjustRightInd w:val="0"/>
        <w:snapToGrid w:val="0"/>
        <w:spacing w:line="360" w:lineRule="auto"/>
        <w:ind w:firstLine="840" w:firstLineChars="400"/>
        <w:rPr>
          <w:rFonts w:ascii="宋体" w:hAnsi="宋体"/>
          <w:color w:val="0000FF"/>
          <w:szCs w:val="21"/>
        </w:rPr>
      </w:pPr>
      <w:r>
        <w:rPr>
          <w:rFonts w:hint="eastAsia" w:ascii="宋体" w:hAnsi="宋体"/>
          <w:color w:val="0000FF"/>
          <w:szCs w:val="21"/>
        </w:rPr>
        <w:t>②承包人在工程施工期间或竣工验收时，工程质量不符合国家现行有关施工质量验收规范要求的，按低价风险担保金额的</w:t>
      </w:r>
      <w:r>
        <w:rPr>
          <w:rFonts w:hint="eastAsia" w:ascii="宋体" w:hAnsi="宋体"/>
          <w:color w:val="0000FF"/>
          <w:szCs w:val="21"/>
          <w:u w:val="single"/>
        </w:rPr>
        <w:t>50～100%</w:t>
      </w:r>
      <w:r>
        <w:rPr>
          <w:rFonts w:hint="eastAsia" w:ascii="宋体" w:hAnsi="宋体"/>
          <w:color w:val="0000FF"/>
          <w:szCs w:val="21"/>
        </w:rPr>
        <w:t>扣减，直至解除合同；</w:t>
      </w:r>
    </w:p>
    <w:p>
      <w:pPr>
        <w:adjustRightInd w:val="0"/>
        <w:snapToGrid w:val="0"/>
        <w:spacing w:line="360" w:lineRule="auto"/>
        <w:ind w:firstLine="840" w:firstLineChars="400"/>
        <w:rPr>
          <w:rFonts w:ascii="宋体" w:hAnsi="宋体"/>
          <w:color w:val="0000FF"/>
          <w:szCs w:val="21"/>
        </w:rPr>
      </w:pPr>
      <w:r>
        <w:rPr>
          <w:rFonts w:hint="eastAsia" w:ascii="宋体" w:hAnsi="宋体"/>
          <w:color w:val="0000FF"/>
          <w:szCs w:val="21"/>
        </w:rPr>
        <w:t>③承包人因16.2.3项原因被解除合同的，低价风险担保将全额扣除；</w:t>
      </w:r>
    </w:p>
    <w:p>
      <w:pPr>
        <w:adjustRightInd w:val="0"/>
        <w:snapToGrid w:val="0"/>
        <w:spacing w:line="360" w:lineRule="auto"/>
        <w:ind w:firstLine="840" w:firstLineChars="400"/>
        <w:rPr>
          <w:rFonts w:ascii="宋体" w:hAnsi="宋体"/>
          <w:color w:val="0000FF"/>
          <w:szCs w:val="21"/>
        </w:rPr>
      </w:pPr>
      <w:r>
        <w:rPr>
          <w:rFonts w:hint="eastAsia" w:ascii="宋体" w:hAnsi="宋体"/>
          <w:color w:val="0000FF"/>
          <w:szCs w:val="21"/>
        </w:rPr>
        <w:t>④因承包人过错导致的其他情形：</w:t>
      </w:r>
      <w:r>
        <w:rPr>
          <w:rFonts w:hint="eastAsia" w:ascii="宋体" w:hAnsi="宋体"/>
          <w:color w:val="0000FF"/>
          <w:szCs w:val="21"/>
          <w:u w:val="single"/>
        </w:rPr>
        <w:t xml:space="preserve">       </w:t>
      </w:r>
      <w:r>
        <w:rPr>
          <w:rFonts w:hint="eastAsia" w:ascii="宋体" w:hAnsi="宋体"/>
          <w:color w:val="0000FF"/>
          <w:szCs w:val="21"/>
        </w:rPr>
        <w:t xml:space="preserve"> 。</w:t>
      </w:r>
    </w:p>
    <w:p>
      <w:p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41.3.3支付担保</w:t>
      </w:r>
    </w:p>
    <w:p>
      <w:pPr>
        <w:numPr>
          <w:ilvl w:val="0"/>
          <w:numId w:val="7"/>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发包人是否提供支付担保：</w:t>
      </w:r>
      <w:r>
        <w:rPr>
          <w:rFonts w:hint="eastAsia" w:ascii="宋体" w:hAnsi="宋体"/>
          <w:color w:val="0000FF"/>
          <w:szCs w:val="21"/>
          <w:u w:val="single"/>
        </w:rPr>
        <w:t xml:space="preserve">       </w:t>
      </w:r>
      <w:r>
        <w:rPr>
          <w:rFonts w:hint="eastAsia" w:ascii="宋体" w:hAnsi="宋体"/>
          <w:color w:val="0000FF"/>
          <w:szCs w:val="21"/>
        </w:rPr>
        <w:t>。</w:t>
      </w:r>
    </w:p>
    <w:p>
      <w:pPr>
        <w:numPr>
          <w:ilvl w:val="0"/>
          <w:numId w:val="7"/>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支付担保的形式：</w:t>
      </w:r>
      <w:r>
        <w:rPr>
          <w:rFonts w:hint="eastAsia" w:ascii="宋体" w:hAnsi="宋体"/>
          <w:color w:val="0000FF"/>
          <w:szCs w:val="21"/>
          <w:u w:val="single"/>
        </w:rPr>
        <w:t xml:space="preserve">        </w:t>
      </w:r>
      <w:r>
        <w:rPr>
          <w:rFonts w:hint="eastAsia" w:ascii="宋体" w:hAnsi="宋体"/>
          <w:color w:val="0000FF"/>
          <w:szCs w:val="21"/>
        </w:rPr>
        <w:t>。</w:t>
      </w:r>
    </w:p>
    <w:p>
      <w:pPr>
        <w:numPr>
          <w:ilvl w:val="0"/>
          <w:numId w:val="7"/>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支付担保的金额：</w:t>
      </w:r>
      <w:r>
        <w:rPr>
          <w:rFonts w:hint="eastAsia" w:ascii="宋体" w:hAnsi="宋体"/>
          <w:color w:val="0000FF"/>
          <w:szCs w:val="21"/>
          <w:u w:val="single"/>
        </w:rPr>
        <w:t xml:space="preserve">        </w:t>
      </w:r>
      <w:r>
        <w:rPr>
          <w:rFonts w:hint="eastAsia" w:ascii="宋体" w:hAnsi="宋体"/>
          <w:color w:val="0000FF"/>
          <w:szCs w:val="21"/>
        </w:rPr>
        <w:t>。</w:t>
      </w:r>
    </w:p>
    <w:p>
      <w:pPr>
        <w:numPr>
          <w:ilvl w:val="0"/>
          <w:numId w:val="7"/>
        </w:numPr>
        <w:adjustRightInd w:val="0"/>
        <w:snapToGrid w:val="0"/>
        <w:spacing w:line="360" w:lineRule="auto"/>
        <w:ind w:firstLine="420" w:firstLineChars="200"/>
        <w:rPr>
          <w:rFonts w:ascii="宋体" w:hAnsi="宋体"/>
          <w:color w:val="0000FF"/>
          <w:szCs w:val="21"/>
        </w:rPr>
      </w:pPr>
      <w:r>
        <w:rPr>
          <w:rFonts w:hint="eastAsia" w:ascii="宋体" w:hAnsi="宋体"/>
          <w:color w:val="0000FF"/>
          <w:szCs w:val="21"/>
        </w:rPr>
        <w:t>支付担保的时间：</w:t>
      </w:r>
      <w:r>
        <w:rPr>
          <w:rFonts w:hint="eastAsia" w:ascii="宋体" w:hAnsi="宋体"/>
          <w:color w:val="0000FF"/>
          <w:szCs w:val="21"/>
          <w:u w:val="single"/>
        </w:rPr>
        <w:t xml:space="preserve">        </w:t>
      </w:r>
      <w:r>
        <w:rPr>
          <w:rFonts w:hint="eastAsia" w:ascii="宋体" w:hAnsi="宋体"/>
          <w:color w:val="0000FF"/>
          <w:szCs w:val="21"/>
        </w:rPr>
        <w:t>。</w:t>
      </w:r>
    </w:p>
    <w:p>
      <w:pPr>
        <w:numPr>
          <w:ilvl w:val="0"/>
          <w:numId w:val="7"/>
        </w:numPr>
        <w:adjustRightInd w:val="0"/>
        <w:snapToGrid w:val="0"/>
        <w:spacing w:line="360" w:lineRule="auto"/>
        <w:ind w:firstLine="420" w:firstLineChars="200"/>
      </w:pPr>
      <w:r>
        <w:rPr>
          <w:rFonts w:hint="eastAsia" w:ascii="宋体" w:hAnsi="宋体"/>
          <w:color w:val="0000FF"/>
          <w:szCs w:val="21"/>
        </w:rPr>
        <w:t>支付担保的期限：</w:t>
      </w:r>
      <w:r>
        <w:rPr>
          <w:rFonts w:hint="eastAsia" w:ascii="宋体" w:hAnsi="宋体"/>
          <w:color w:val="0000FF"/>
          <w:szCs w:val="21"/>
          <w:u w:val="single"/>
        </w:rPr>
        <w:t xml:space="preserve">        </w:t>
      </w:r>
      <w:r>
        <w:rPr>
          <w:rFonts w:hint="eastAsia" w:ascii="宋体" w:hAnsi="宋体"/>
          <w:color w:val="0000FF"/>
          <w:szCs w:val="21"/>
        </w:rPr>
        <w:t>。</w:t>
      </w:r>
    </w:p>
    <w:p>
      <w:pPr>
        <w:numPr>
          <w:ilvl w:val="0"/>
          <w:numId w:val="7"/>
        </w:numPr>
        <w:adjustRightInd w:val="0"/>
        <w:snapToGrid w:val="0"/>
        <w:spacing w:line="360" w:lineRule="auto"/>
        <w:ind w:firstLine="420" w:firstLineChars="200"/>
      </w:pPr>
      <w:r>
        <w:rPr>
          <w:rFonts w:hint="eastAsia" w:ascii="宋体" w:hAnsi="宋体"/>
          <w:color w:val="0000FF"/>
          <w:szCs w:val="21"/>
        </w:rPr>
        <w:t>支付担保的退还时间：</w:t>
      </w:r>
      <w:r>
        <w:rPr>
          <w:rFonts w:hint="eastAsia" w:ascii="宋体" w:hAnsi="宋体"/>
          <w:color w:val="0000FF"/>
          <w:szCs w:val="21"/>
          <w:u w:val="single"/>
        </w:rPr>
        <w:t xml:space="preserve">        </w:t>
      </w:r>
      <w:r>
        <w:rPr>
          <w:rFonts w:hint="eastAsia" w:ascii="宋体" w:hAnsi="宋体"/>
          <w:color w:val="0000FF"/>
          <w:szCs w:val="21"/>
        </w:rPr>
        <w:t>。</w:t>
      </w:r>
    </w:p>
    <w:p>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44、合同解除</w:t>
      </w:r>
      <w:bookmarkEnd w:id="1818"/>
      <w:bookmarkEnd w:id="1819"/>
      <w:bookmarkEnd w:id="1820"/>
    </w:p>
    <w:p>
      <w:pPr>
        <w:snapToGrid w:val="0"/>
        <w:spacing w:line="360" w:lineRule="auto"/>
        <w:ind w:firstLine="422" w:firstLineChars="200"/>
        <w:rPr>
          <w:rFonts w:ascii="宋体" w:hAnsi="宋体" w:cs="宋体"/>
          <w:b/>
          <w:bCs/>
          <w:szCs w:val="21"/>
        </w:rPr>
      </w:pPr>
      <w:r>
        <w:rPr>
          <w:rFonts w:hint="eastAsia" w:ascii="宋体" w:hAnsi="宋体" w:cs="宋体"/>
          <w:b/>
          <w:bCs/>
          <w:szCs w:val="21"/>
        </w:rPr>
        <w:t>44.2在本款中做如下补充约定：</w:t>
      </w:r>
    </w:p>
    <w:p>
      <w:pPr>
        <w:snapToGrid w:val="0"/>
        <w:spacing w:line="360" w:lineRule="auto"/>
        <w:ind w:firstLine="422" w:firstLineChars="200"/>
        <w:rPr>
          <w:rFonts w:ascii="宋体" w:hAnsi="宋体" w:cs="宋体"/>
          <w:szCs w:val="21"/>
        </w:rPr>
      </w:pPr>
      <w:r>
        <w:rPr>
          <w:rFonts w:hint="eastAsia" w:ascii="宋体" w:hAnsi="宋体" w:cs="宋体"/>
          <w:b/>
          <w:bCs/>
          <w:szCs w:val="21"/>
        </w:rPr>
        <w:t>除通用条款本款约定的情况外，</w:t>
      </w:r>
      <w:r>
        <w:rPr>
          <w:rFonts w:hint="eastAsia" w:ascii="宋体" w:hAnsi="宋体" w:cs="宋体"/>
          <w:szCs w:val="21"/>
        </w:rPr>
        <w:t>发生下述情况时承包人同样有权解除合同：</w:t>
      </w:r>
    </w:p>
    <w:p>
      <w:pPr>
        <w:snapToGrid w:val="0"/>
        <w:spacing w:line="360" w:lineRule="auto"/>
        <w:ind w:firstLine="420" w:firstLineChars="200"/>
        <w:rPr>
          <w:rFonts w:ascii="宋体" w:hAnsi="宋体" w:cs="宋体"/>
          <w:szCs w:val="21"/>
        </w:rPr>
      </w:pPr>
      <w:r>
        <w:rPr>
          <w:rFonts w:hint="eastAsia" w:ascii="宋体" w:hAnsi="宋体" w:cs="宋体"/>
          <w:szCs w:val="21"/>
        </w:rPr>
        <w:t>（1）发包人破产或宣告停业清理，且此清理不是出于重组、重建或合并之目的；</w:t>
      </w:r>
    </w:p>
    <w:p>
      <w:pPr>
        <w:snapToGrid w:val="0"/>
        <w:spacing w:line="360" w:lineRule="auto"/>
        <w:ind w:firstLine="420" w:firstLineChars="200"/>
        <w:rPr>
          <w:rFonts w:ascii="宋体" w:hAnsi="宋体" w:cs="宋体"/>
          <w:szCs w:val="21"/>
        </w:rPr>
      </w:pPr>
      <w:bookmarkStart w:id="1821" w:name="_Toc231612987"/>
      <w:bookmarkStart w:id="1822" w:name="_Toc231613134"/>
      <w:bookmarkStart w:id="1823" w:name="_Toc231612824"/>
      <w:r>
        <w:rPr>
          <w:rFonts w:hint="eastAsia" w:ascii="宋体" w:hAnsi="宋体" w:cs="宋体"/>
          <w:szCs w:val="21"/>
        </w:rPr>
        <w:t>（2）未经承包人同意转让合同；</w:t>
      </w:r>
      <w:bookmarkEnd w:id="1821"/>
      <w:bookmarkEnd w:id="1822"/>
      <w:bookmarkEnd w:id="1823"/>
    </w:p>
    <w:p>
      <w:pPr>
        <w:snapToGrid w:val="0"/>
        <w:spacing w:line="360" w:lineRule="auto"/>
        <w:ind w:firstLine="420" w:firstLineChars="200"/>
        <w:rPr>
          <w:rFonts w:ascii="宋体" w:hAnsi="宋体" w:cs="宋体"/>
          <w:szCs w:val="21"/>
        </w:rPr>
      </w:pPr>
      <w:r>
        <w:rPr>
          <w:rFonts w:hint="eastAsia" w:ascii="宋体" w:hAnsi="宋体" w:cs="宋体"/>
          <w:szCs w:val="21"/>
        </w:rPr>
        <w:t>（3）出现12.3款提及的违约行为且承包人做出解除合同的选择。</w:t>
      </w:r>
    </w:p>
    <w:p>
      <w:pPr>
        <w:snapToGrid w:val="0"/>
        <w:spacing w:line="360" w:lineRule="auto"/>
        <w:ind w:firstLine="422" w:firstLineChars="200"/>
        <w:rPr>
          <w:rFonts w:ascii="宋体" w:hAnsi="宋体" w:cs="宋体"/>
          <w:b/>
          <w:bCs/>
          <w:szCs w:val="21"/>
        </w:rPr>
      </w:pPr>
      <w:r>
        <w:rPr>
          <w:rFonts w:hint="eastAsia" w:ascii="宋体" w:hAnsi="宋体" w:cs="宋体"/>
          <w:b/>
          <w:bCs/>
          <w:szCs w:val="21"/>
        </w:rPr>
        <w:t>44.3在本款中做如下补充约定：</w:t>
      </w:r>
    </w:p>
    <w:p>
      <w:pPr>
        <w:snapToGrid w:val="0"/>
        <w:spacing w:line="360" w:lineRule="auto"/>
        <w:ind w:firstLine="422" w:firstLineChars="200"/>
        <w:rPr>
          <w:rFonts w:ascii="宋体" w:hAnsi="宋体" w:cs="宋体"/>
          <w:szCs w:val="21"/>
        </w:rPr>
      </w:pPr>
      <w:r>
        <w:rPr>
          <w:rFonts w:hint="eastAsia" w:ascii="宋体" w:hAnsi="宋体" w:cs="宋体"/>
          <w:b/>
          <w:bCs/>
          <w:szCs w:val="21"/>
        </w:rPr>
        <w:t>除通用条款本款约定的情况外，</w:t>
      </w:r>
      <w:r>
        <w:rPr>
          <w:rFonts w:hint="eastAsia" w:ascii="宋体" w:hAnsi="宋体" w:cs="宋体"/>
          <w:szCs w:val="21"/>
        </w:rPr>
        <w:t>发生下述情况时发包人同样有权解除合同，并没收承包人的履约保证金，另行选择施工单位完成本工程；</w:t>
      </w:r>
    </w:p>
    <w:p>
      <w:pPr>
        <w:snapToGrid w:val="0"/>
        <w:spacing w:line="360" w:lineRule="auto"/>
        <w:ind w:firstLine="420" w:firstLineChars="200"/>
        <w:rPr>
          <w:rFonts w:ascii="宋体" w:hAnsi="宋体" w:cs="宋体"/>
          <w:szCs w:val="21"/>
        </w:rPr>
      </w:pPr>
      <w:r>
        <w:rPr>
          <w:rFonts w:hint="eastAsia" w:ascii="宋体" w:hAnsi="宋体" w:cs="宋体"/>
          <w:szCs w:val="21"/>
        </w:rPr>
        <w:t>（1）承包人破产或宣告停业清理，且此清理不是出于重组、重建或合并之目的；</w:t>
      </w:r>
    </w:p>
    <w:p>
      <w:pPr>
        <w:snapToGrid w:val="0"/>
        <w:spacing w:line="360" w:lineRule="auto"/>
        <w:ind w:firstLine="420" w:firstLineChars="200"/>
        <w:rPr>
          <w:rFonts w:ascii="宋体" w:hAnsi="宋体" w:cs="宋体"/>
          <w:szCs w:val="21"/>
        </w:rPr>
      </w:pPr>
      <w:r>
        <w:rPr>
          <w:rFonts w:hint="eastAsia" w:ascii="宋体" w:hAnsi="宋体" w:cs="宋体"/>
          <w:szCs w:val="21"/>
        </w:rPr>
        <w:t>（2）放弃或否认合同；</w:t>
      </w:r>
    </w:p>
    <w:p>
      <w:pPr>
        <w:snapToGrid w:val="0"/>
        <w:spacing w:line="360" w:lineRule="auto"/>
        <w:ind w:firstLine="420" w:firstLineChars="200"/>
        <w:rPr>
          <w:rFonts w:ascii="宋体" w:hAnsi="宋体" w:cs="宋体"/>
          <w:szCs w:val="21"/>
        </w:rPr>
      </w:pPr>
      <w:r>
        <w:rPr>
          <w:rFonts w:hint="eastAsia" w:ascii="宋体" w:hAnsi="宋体" w:cs="宋体"/>
          <w:szCs w:val="21"/>
        </w:rPr>
        <w:t>（3）无正当理由而未能按第11条的约定开工；</w:t>
      </w:r>
    </w:p>
    <w:p>
      <w:pPr>
        <w:snapToGrid w:val="0"/>
        <w:spacing w:line="360" w:lineRule="auto"/>
        <w:ind w:firstLine="420" w:firstLineChars="200"/>
        <w:rPr>
          <w:rFonts w:ascii="宋体" w:hAnsi="宋体" w:cs="宋体"/>
          <w:szCs w:val="21"/>
        </w:rPr>
      </w:pPr>
      <w:r>
        <w:rPr>
          <w:rFonts w:hint="eastAsia" w:ascii="宋体" w:hAnsi="宋体" w:cs="宋体"/>
          <w:szCs w:val="21"/>
        </w:rPr>
        <w:t>（4）承包人的实际进度与经工程师确认的进度计划不符时，未按第10.3款约定执行工程师发出的指示而采取必要措施加快进度；</w:t>
      </w:r>
    </w:p>
    <w:p>
      <w:pPr>
        <w:snapToGrid w:val="0"/>
        <w:spacing w:line="360" w:lineRule="auto"/>
        <w:ind w:firstLine="420" w:firstLineChars="200"/>
        <w:rPr>
          <w:rFonts w:ascii="宋体" w:hAnsi="宋体" w:cs="宋体"/>
          <w:szCs w:val="21"/>
        </w:rPr>
      </w:pPr>
      <w:r>
        <w:rPr>
          <w:rFonts w:hint="eastAsia" w:ascii="宋体" w:hAnsi="宋体" w:cs="宋体"/>
          <w:szCs w:val="21"/>
        </w:rPr>
        <w:t>（5）未遵守投标函的承诺，未能自行完成本工程的施工，未按规定分包或转让本工程；</w:t>
      </w:r>
    </w:p>
    <w:p>
      <w:pPr>
        <w:snapToGrid w:val="0"/>
        <w:spacing w:line="360" w:lineRule="auto"/>
        <w:ind w:firstLine="420" w:firstLineChars="200"/>
        <w:rPr>
          <w:rFonts w:ascii="宋体" w:hAnsi="宋体" w:cs="宋体"/>
          <w:szCs w:val="21"/>
        </w:rPr>
      </w:pPr>
      <w:bookmarkStart w:id="1824" w:name="_Toc231613135"/>
      <w:bookmarkStart w:id="1825" w:name="_Toc231612988"/>
      <w:bookmarkStart w:id="1826" w:name="_Toc231612825"/>
      <w:r>
        <w:rPr>
          <w:rFonts w:hint="eastAsia" w:ascii="宋体" w:hAnsi="宋体" w:cs="宋体"/>
          <w:szCs w:val="21"/>
        </w:rPr>
        <w:t>（6）未按招标人要求变更项目经理或技术负责人或主要施工管理人员；</w:t>
      </w:r>
      <w:bookmarkEnd w:id="1824"/>
      <w:bookmarkEnd w:id="1825"/>
      <w:bookmarkEnd w:id="1826"/>
    </w:p>
    <w:p>
      <w:pPr>
        <w:snapToGrid w:val="0"/>
        <w:spacing w:line="360" w:lineRule="auto"/>
        <w:ind w:firstLine="420" w:firstLineChars="200"/>
        <w:rPr>
          <w:rFonts w:ascii="宋体" w:hAnsi="宋体" w:cs="宋体"/>
          <w:szCs w:val="21"/>
        </w:rPr>
      </w:pPr>
      <w:r>
        <w:rPr>
          <w:rFonts w:hint="eastAsia" w:ascii="宋体" w:hAnsi="宋体" w:cs="宋体"/>
          <w:szCs w:val="21"/>
        </w:rPr>
        <w:t>（7）未经招标人同意，擅自变更项目经理或技术负责人或主要施工管理人员；或项目经理或技术负责人或主要施工管理人员驻工地时间平均一个月少于26天。</w:t>
      </w:r>
    </w:p>
    <w:p>
      <w:pPr>
        <w:snapToGrid w:val="0"/>
        <w:spacing w:line="360" w:lineRule="auto"/>
        <w:ind w:firstLine="422" w:firstLineChars="200"/>
        <w:rPr>
          <w:rFonts w:ascii="宋体" w:hAnsi="宋体" w:cs="宋体"/>
          <w:szCs w:val="21"/>
        </w:rPr>
      </w:pPr>
      <w:r>
        <w:rPr>
          <w:rFonts w:hint="eastAsia" w:ascii="宋体" w:hAnsi="宋体" w:cs="宋体"/>
          <w:b/>
          <w:bCs/>
          <w:szCs w:val="21"/>
        </w:rPr>
        <w:t>另本条内补充以下各款：</w:t>
      </w:r>
    </w:p>
    <w:p>
      <w:pPr>
        <w:snapToGrid w:val="0"/>
        <w:spacing w:line="360" w:lineRule="auto"/>
        <w:ind w:firstLine="422" w:firstLineChars="200"/>
        <w:rPr>
          <w:rFonts w:ascii="宋体" w:hAnsi="宋体" w:cs="宋体"/>
          <w:szCs w:val="21"/>
        </w:rPr>
      </w:pPr>
      <w:r>
        <w:rPr>
          <w:rFonts w:hint="eastAsia" w:ascii="宋体" w:hAnsi="宋体" w:cs="宋体"/>
          <w:b/>
          <w:bCs/>
          <w:szCs w:val="21"/>
        </w:rPr>
        <w:t>44.8</w:t>
      </w:r>
      <w:r>
        <w:rPr>
          <w:rFonts w:hint="eastAsia" w:ascii="宋体" w:hAnsi="宋体" w:cs="宋体"/>
          <w:szCs w:val="21"/>
        </w:rPr>
        <w:t>根据第44.1款、第44.2款和第44.4款中第（1）项约定而解除合同后，发包人应当退还履约保证金。</w:t>
      </w:r>
    </w:p>
    <w:p>
      <w:pPr>
        <w:snapToGrid w:val="0"/>
        <w:spacing w:line="360" w:lineRule="auto"/>
        <w:ind w:firstLine="422" w:firstLineChars="200"/>
        <w:rPr>
          <w:rFonts w:ascii="宋体" w:hAnsi="宋体" w:cs="宋体"/>
          <w:szCs w:val="21"/>
        </w:rPr>
      </w:pPr>
      <w:r>
        <w:rPr>
          <w:rFonts w:hint="eastAsia" w:ascii="宋体" w:hAnsi="宋体" w:cs="宋体"/>
          <w:b/>
          <w:bCs/>
          <w:szCs w:val="21"/>
        </w:rPr>
        <w:t xml:space="preserve">44.9 </w:t>
      </w:r>
      <w:r>
        <w:rPr>
          <w:rFonts w:hint="eastAsia" w:ascii="宋体" w:hAnsi="宋体" w:cs="宋体"/>
          <w:szCs w:val="21"/>
        </w:rPr>
        <w:t>根据第44.3款约定发包人与承包人解除合同后，发包人或发包人依法确定的完成该工程的其他承包人可以随时进驻现场。</w:t>
      </w:r>
    </w:p>
    <w:p>
      <w:pPr>
        <w:snapToGrid w:val="0"/>
        <w:spacing w:line="360" w:lineRule="auto"/>
        <w:ind w:firstLine="422" w:firstLineChars="200"/>
        <w:rPr>
          <w:rFonts w:ascii="宋体" w:hAnsi="宋体" w:cs="宋体"/>
          <w:szCs w:val="21"/>
          <w:u w:val="single"/>
        </w:rPr>
      </w:pPr>
      <w:r>
        <w:rPr>
          <w:rFonts w:hint="eastAsia" w:ascii="宋体" w:hAnsi="宋体" w:cs="宋体"/>
          <w:b/>
          <w:bCs/>
          <w:szCs w:val="21"/>
        </w:rPr>
        <w:t>44.10</w:t>
      </w:r>
      <w:r>
        <w:rPr>
          <w:rFonts w:hint="eastAsia" w:ascii="宋体" w:hAnsi="宋体" w:cs="宋体"/>
          <w:szCs w:val="21"/>
          <w:u w:val="single"/>
        </w:rPr>
        <w:t xml:space="preserve">承包人按照合同约定完成合同全部内容，并经当地行政部门组织的项目竣工初步验收合格，向发包人按规定提交工程竣工档案后30日内，无息退还履约保证金。 </w:t>
      </w:r>
    </w:p>
    <w:p>
      <w:pPr>
        <w:adjustRightInd w:val="0"/>
        <w:snapToGrid w:val="0"/>
        <w:spacing w:line="360" w:lineRule="auto"/>
        <w:ind w:firstLine="422" w:firstLineChars="200"/>
        <w:rPr>
          <w:rFonts w:ascii="宋体" w:hAnsi="宋体" w:cs="宋体"/>
          <w:b/>
          <w:szCs w:val="21"/>
        </w:rPr>
      </w:pPr>
      <w:bookmarkStart w:id="1827" w:name="_Toc101156048"/>
      <w:bookmarkStart w:id="1828" w:name="_Toc193188722"/>
      <w:bookmarkStart w:id="1829" w:name="_Toc115511363"/>
      <w:bookmarkStart w:id="1830" w:name="_Toc98239001"/>
      <w:bookmarkStart w:id="1831" w:name="_Toc100123570"/>
      <w:bookmarkStart w:id="1832" w:name="_Toc123715562"/>
      <w:bookmarkStart w:id="1833" w:name="_Toc98239465"/>
      <w:bookmarkStart w:id="1834" w:name="_Toc101155845"/>
      <w:bookmarkStart w:id="1835" w:name="_Toc231612826"/>
      <w:bookmarkStart w:id="1836" w:name="_Toc99792360"/>
      <w:r>
        <w:rPr>
          <w:rFonts w:hint="eastAsia" w:ascii="宋体" w:hAnsi="宋体" w:cs="宋体"/>
          <w:b/>
          <w:szCs w:val="21"/>
        </w:rPr>
        <w:t>46、合同份数</w:t>
      </w:r>
      <w:bookmarkEnd w:id="1827"/>
      <w:bookmarkEnd w:id="1828"/>
      <w:bookmarkEnd w:id="1829"/>
      <w:bookmarkEnd w:id="1830"/>
      <w:bookmarkEnd w:id="1831"/>
      <w:bookmarkEnd w:id="1832"/>
      <w:bookmarkEnd w:id="1833"/>
      <w:bookmarkEnd w:id="1834"/>
      <w:bookmarkEnd w:id="1835"/>
      <w:bookmarkEnd w:id="1836"/>
    </w:p>
    <w:p>
      <w:pPr>
        <w:adjustRightInd w:val="0"/>
        <w:snapToGrid w:val="0"/>
        <w:spacing w:line="360" w:lineRule="auto"/>
        <w:ind w:firstLine="420" w:firstLineChars="200"/>
        <w:rPr>
          <w:rFonts w:ascii="宋体" w:hAnsi="宋体" w:cs="宋体"/>
          <w:szCs w:val="21"/>
        </w:rPr>
      </w:pPr>
      <w:bookmarkStart w:id="1837" w:name="_Toc123715563"/>
      <w:bookmarkStart w:id="1838" w:name="_Toc231612827"/>
      <w:bookmarkStart w:id="1839" w:name="_Toc231612989"/>
      <w:bookmarkStart w:id="1840" w:name="_Toc231613136"/>
      <w:r>
        <w:rPr>
          <w:rFonts w:hint="eastAsia" w:ascii="宋体" w:hAnsi="宋体" w:cs="宋体"/>
          <w:szCs w:val="21"/>
        </w:rPr>
        <w:t>46.1 双方约定合同副本份数：副本拾份；甲方柒份，乙方叁份。</w:t>
      </w:r>
      <w:bookmarkEnd w:id="1837"/>
      <w:bookmarkEnd w:id="1838"/>
      <w:bookmarkEnd w:id="1839"/>
      <w:bookmarkEnd w:id="1840"/>
    </w:p>
    <w:p>
      <w:pPr>
        <w:adjustRightInd w:val="0"/>
        <w:snapToGrid w:val="0"/>
        <w:spacing w:line="360" w:lineRule="auto"/>
        <w:rPr>
          <w:rFonts w:ascii="方正黑体_GBK" w:hAnsi="宋体" w:eastAsia="方正黑体_GBK" w:cs="宋体"/>
          <w:b/>
          <w:bCs/>
          <w:szCs w:val="21"/>
        </w:rPr>
      </w:pPr>
      <w:bookmarkStart w:id="1841" w:name="_Toc231612828"/>
      <w:bookmarkStart w:id="1842" w:name="_Toc123715564"/>
      <w:bookmarkStart w:id="1843" w:name="_Toc193188723"/>
      <w:r>
        <w:rPr>
          <w:rFonts w:hint="eastAsia" w:ascii="方正黑体_GBK" w:hAnsi="宋体" w:eastAsia="方正黑体_GBK" w:cs="宋体"/>
          <w:b/>
          <w:bCs/>
          <w:szCs w:val="21"/>
        </w:rPr>
        <w:t>十二、补充条款</w:t>
      </w:r>
      <w:bookmarkEnd w:id="1841"/>
      <w:bookmarkEnd w:id="1842"/>
      <w:bookmarkEnd w:id="1843"/>
    </w:p>
    <w:p>
      <w:pPr>
        <w:adjustRightInd w:val="0"/>
        <w:snapToGrid w:val="0"/>
        <w:spacing w:line="360" w:lineRule="auto"/>
        <w:ind w:firstLine="422" w:firstLineChars="200"/>
        <w:rPr>
          <w:rFonts w:ascii="宋体" w:hAnsi="宋体" w:cs="宋体"/>
          <w:b/>
          <w:bCs/>
          <w:szCs w:val="21"/>
        </w:rPr>
      </w:pPr>
      <w:r>
        <w:rPr>
          <w:rFonts w:hint="eastAsia" w:ascii="宋体" w:hAnsi="宋体" w:cs="宋体"/>
          <w:b/>
          <w:bCs/>
          <w:szCs w:val="21"/>
        </w:rPr>
        <w:t>本部分补充以下条款：</w:t>
      </w:r>
    </w:p>
    <w:p>
      <w:pPr>
        <w:adjustRightInd w:val="0"/>
        <w:snapToGrid w:val="0"/>
        <w:spacing w:line="360" w:lineRule="auto"/>
        <w:ind w:firstLine="422" w:firstLineChars="200"/>
        <w:rPr>
          <w:rFonts w:ascii="宋体" w:hAnsi="宋体" w:cs="宋体"/>
          <w:b/>
          <w:szCs w:val="21"/>
        </w:rPr>
      </w:pPr>
      <w:bookmarkStart w:id="1844" w:name="_Toc231612829"/>
      <w:bookmarkStart w:id="1845" w:name="_Toc123715565"/>
      <w:bookmarkStart w:id="1846" w:name="_Toc231612990"/>
      <w:bookmarkStart w:id="1847" w:name="_Toc231613137"/>
      <w:bookmarkStart w:id="1848" w:name="_Toc193188724"/>
      <w:r>
        <w:rPr>
          <w:rFonts w:hint="eastAsia" w:ascii="宋体" w:hAnsi="宋体" w:cs="宋体"/>
          <w:b/>
          <w:szCs w:val="21"/>
        </w:rPr>
        <w:t>47、投标文件的充分性</w:t>
      </w:r>
      <w:bookmarkEnd w:id="1844"/>
      <w:bookmarkEnd w:id="1845"/>
      <w:bookmarkEnd w:id="1846"/>
      <w:bookmarkEnd w:id="1847"/>
      <w:bookmarkEnd w:id="1848"/>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47.1应当认为在正式提交投标文件以前，承包人已经认真研究发包人提供的合同文件，对任何可能存在的疑问都已经得到发包人的澄清和解答，并对由合同文件所定义的承包人合同工作内容达到透彻和充分的理解，并将这种理解全部反映到他的投标文件中。</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47.2 应当认为，承包人已经确认其提交的投标文件以及投标报价书中开列的各项费率和价格的正确性和充分性。除非合同中另有约定，承包人提交的投标文件以及投标报价书中开列的各项费率和价格已经全面、充分地体现和覆盖了：</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（1）承包人根据合同应承担的全部义务 ;</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（2）为该工程的正确实施、竣工和修补由于承包人的原因造成的缺陷所必须发生的一切开支。</w:t>
      </w:r>
    </w:p>
    <w:p>
      <w:pPr>
        <w:adjustRightInd w:val="0"/>
        <w:snapToGrid w:val="0"/>
        <w:spacing w:line="360" w:lineRule="auto"/>
        <w:ind w:firstLine="422" w:firstLineChars="200"/>
        <w:rPr>
          <w:rFonts w:ascii="宋体" w:hAnsi="宋体" w:cs="宋体"/>
          <w:b/>
          <w:szCs w:val="21"/>
        </w:rPr>
      </w:pPr>
      <w:bookmarkStart w:id="1849" w:name="_Toc231612830"/>
      <w:bookmarkStart w:id="1850" w:name="_Toc231612991"/>
      <w:bookmarkStart w:id="1851" w:name="_Toc231613138"/>
      <w:bookmarkStart w:id="1852" w:name="_Toc193188725"/>
      <w:bookmarkStart w:id="1853" w:name="_Toc123715566"/>
      <w:r>
        <w:rPr>
          <w:rFonts w:hint="eastAsia" w:ascii="宋体" w:hAnsi="宋体" w:cs="宋体"/>
          <w:b/>
          <w:szCs w:val="21"/>
        </w:rPr>
        <w:t>48、文件版权及保密义务</w:t>
      </w:r>
      <w:bookmarkEnd w:id="1849"/>
      <w:bookmarkEnd w:id="1850"/>
      <w:bookmarkEnd w:id="1851"/>
      <w:bookmarkEnd w:id="1852"/>
      <w:bookmarkEnd w:id="1853"/>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48.1发包人发给承包人的关于发包人的要求和其他文件的版权应属于发包人的财产。承包人可为了履行合同的目的复制、使用此类文件。在征得发包人同意之前，承包人不得为了其他目的复制、使用发包人的文件或将其提供给第三方。</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48.2发承包双方都应履行对合同的保密义务，除为了履行合同的目的需要之外，没有对方事先的书面同意，另一方不得在任何贸易中、技术文献或其他地方发表或披露该合同其任何细节。如因为履行合同的目的对于发表或披露的必要性引起争议时，应按照第37.1款解决。</w:t>
      </w:r>
    </w:p>
    <w:p>
      <w:pPr>
        <w:adjustRightInd w:val="0"/>
        <w:snapToGrid w:val="0"/>
        <w:spacing w:line="360" w:lineRule="auto"/>
        <w:ind w:firstLine="422" w:firstLineChars="200"/>
        <w:rPr>
          <w:rFonts w:ascii="宋体" w:hAnsi="宋体" w:cs="宋体"/>
          <w:b/>
          <w:szCs w:val="21"/>
        </w:rPr>
      </w:pPr>
      <w:bookmarkStart w:id="1854" w:name="_Toc231612831"/>
      <w:bookmarkStart w:id="1855" w:name="_Toc193188726"/>
      <w:bookmarkStart w:id="1856" w:name="_Toc123715567"/>
      <w:r>
        <w:rPr>
          <w:rFonts w:hint="eastAsia" w:ascii="宋体" w:hAnsi="宋体" w:cs="宋体"/>
          <w:b/>
          <w:szCs w:val="21"/>
        </w:rPr>
        <w:t>49、设计单位</w:t>
      </w:r>
      <w:bookmarkEnd w:id="1854"/>
      <w:bookmarkEnd w:id="1855"/>
      <w:bookmarkEnd w:id="1856"/>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49.1本工程勘查设计单位名称：</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由于勘查设计单位受雇于发包人，设计单位的任何性质的失误、差错或过失，对于本合同而言，均应视为发包人的失误、差错或过失。</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49.2勘查单位驻工地代表姓名</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r>
        <w:rPr>
          <w:rFonts w:hint="eastAsia" w:ascii="宋体" w:hAnsi="宋体" w:cs="宋体"/>
          <w:szCs w:val="21"/>
        </w:rPr>
        <w:t>；</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设计单位驻工地代表姓名：</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w:t>
      </w:r>
      <w:r>
        <w:rPr>
          <w:rFonts w:hint="eastAsia" w:ascii="宋体" w:hAnsi="宋体" w:cs="宋体"/>
          <w:szCs w:val="21"/>
        </w:rPr>
        <w:t>。</w:t>
      </w:r>
    </w:p>
    <w:p>
      <w:pPr>
        <w:adjustRightInd w:val="0"/>
        <w:snapToGrid w:val="0"/>
        <w:spacing w:line="360" w:lineRule="auto"/>
        <w:ind w:firstLine="422" w:firstLineChars="200"/>
        <w:rPr>
          <w:rFonts w:ascii="宋体" w:hAnsi="宋体" w:cs="宋体"/>
          <w:b/>
          <w:szCs w:val="21"/>
        </w:rPr>
      </w:pPr>
      <w:bookmarkStart w:id="1857" w:name="_Toc193188727"/>
      <w:bookmarkStart w:id="1858" w:name="_Toc231612832"/>
      <w:bookmarkStart w:id="1859" w:name="_Toc231613139"/>
      <w:bookmarkStart w:id="1860" w:name="_Toc231612992"/>
      <w:r>
        <w:rPr>
          <w:rFonts w:hint="eastAsia" w:ascii="宋体" w:hAnsi="宋体" w:cs="宋体"/>
          <w:b/>
          <w:szCs w:val="21"/>
        </w:rPr>
        <w:t>50、农民工工资</w:t>
      </w:r>
      <w:bookmarkEnd w:id="1857"/>
      <w:bookmarkEnd w:id="1858"/>
      <w:bookmarkEnd w:id="1859"/>
      <w:bookmarkEnd w:id="1860"/>
      <w:r>
        <w:rPr>
          <w:rFonts w:hint="eastAsia" w:ascii="宋体" w:hAnsi="宋体" w:cs="宋体"/>
          <w:b/>
          <w:szCs w:val="21"/>
        </w:rPr>
        <w:t xml:space="preserve"> </w:t>
      </w:r>
    </w:p>
    <w:p>
      <w:pPr>
        <w:snapToGrid w:val="0"/>
        <w:spacing w:line="360" w:lineRule="auto"/>
        <w:ind w:firstLine="420" w:firstLineChars="200"/>
        <w:rPr>
          <w:rFonts w:ascii="宋体" w:hAnsi="宋体" w:cs="宋体"/>
          <w:szCs w:val="21"/>
        </w:rPr>
      </w:pPr>
      <w:r>
        <w:rPr>
          <w:rFonts w:hint="eastAsia" w:ascii="宋体" w:hAnsi="宋体" w:cs="宋体"/>
          <w:szCs w:val="21"/>
        </w:rPr>
        <w:t>50.1承包人必须严格按照《劳动法》、《农民工工资支付暂行规定》和《最低工资规定》等有关规定支付农民工工资，不得拖欠或克扣。承包人在签定合同后，发包人可以在承包人的每月计量工程款中，直接支付有拖欠并有真实依据的民工工资.材料款以及其他应支付款项.保障农民工合法利益。（或承包人在签定合同后五个工作日内按中标金额的4%存入当地劳动社保局指定的帐户，在发生农民工工资纠纷时，项目所在地行政部门依法动用农民工工资保证金支付，保障农民工合法利益。）</w:t>
      </w:r>
    </w:p>
    <w:p>
      <w:pPr>
        <w:snapToGrid w:val="0"/>
        <w:spacing w:line="360" w:lineRule="auto"/>
        <w:ind w:firstLine="420" w:firstLineChars="200"/>
        <w:rPr>
          <w:rFonts w:ascii="宋体" w:hAnsi="宋体" w:cs="宋体"/>
          <w:szCs w:val="21"/>
        </w:rPr>
      </w:pPr>
      <w:r>
        <w:rPr>
          <w:rFonts w:hint="eastAsia" w:ascii="宋体" w:hAnsi="宋体" w:cs="宋体"/>
          <w:szCs w:val="21"/>
        </w:rPr>
        <w:t>50.2在施工过程中，承包人应将工资按月直接发放给农民工本人，不得发放给“包工头”或其他不具备用工主体资格的组织和个人，否则将视为承包人拖欠或克扣农民工工资，发包人有权在承包人的工程进度款中扣除相当于农民工工资部分的金额，代承包人支付给农民工本人。</w:t>
      </w:r>
    </w:p>
    <w:p>
      <w:pPr>
        <w:adjustRightInd w:val="0"/>
        <w:snapToGrid w:val="0"/>
        <w:spacing w:line="360" w:lineRule="auto"/>
        <w:ind w:firstLine="420" w:firstLineChars="200"/>
        <w:rPr>
          <w:rFonts w:cs="宋体" w:asciiTheme="minorEastAsia" w:hAnsiTheme="minorEastAsia" w:eastAsiaTheme="minorEastAsia"/>
          <w:szCs w:val="21"/>
        </w:rPr>
      </w:pPr>
      <w:r>
        <w:rPr>
          <w:rFonts w:hint="eastAsia" w:ascii="宋体" w:hAnsi="宋体" w:cs="宋体"/>
          <w:szCs w:val="21"/>
        </w:rPr>
        <w:t>50.3承包人必须严格执行《国务院办公厅关于全面治理拖欠农民工工资问题的意见》（国办发〔2016〕1号）、</w:t>
      </w:r>
      <w:r>
        <w:rPr>
          <w:rFonts w:hint="eastAsia" w:ascii="宋体" w:hAnsi="宋体"/>
          <w:kern w:val="0"/>
          <w:szCs w:val="21"/>
          <w:u w:val="single"/>
        </w:rPr>
        <w:t>《保障农民工工资支付条例》（中华人民共和国国务院令第724号）、</w:t>
      </w:r>
      <w:r>
        <w:rPr>
          <w:rFonts w:hint="eastAsia" w:ascii="宋体" w:hAnsi="宋体" w:cs="宋体"/>
          <w:szCs w:val="21"/>
        </w:rPr>
        <w:t>《重庆市人民政府办公厅关于全面治理拖欠农民工工资问题的实施意见》（渝府办发〔2016〕101号）、《重庆市人民政府办公厅关于进一步做好保障农民工工资支付工作的通知》（渝府办发﹝2016﹞212号）文件中的相关要求、《重庆市根治拖欠农民工工资工作领导小组办公室关于实名制设备接入农民工工资支付监控预警平台有关事宜的通告》（渝治欠办〔2021〕11号）文件中的相关要求。</w:t>
      </w:r>
    </w:p>
    <w:p>
      <w:pPr>
        <w:pStyle w:val="7"/>
        <w:spacing w:before="0" w:beforeAutospacing="0" w:after="0" w:afterAutospacing="0"/>
        <w:ind w:firstLine="422" w:firstLineChars="200"/>
      </w:pPr>
      <w:r>
        <w:rPr>
          <w:rFonts w:hint="eastAsia"/>
          <w:sz w:val="21"/>
          <w:szCs w:val="21"/>
        </w:rPr>
        <w:t>51、关于不平衡报价的约定：</w:t>
      </w:r>
      <w:r>
        <w:rPr>
          <w:rFonts w:hint="eastAsia"/>
          <w:sz w:val="21"/>
          <w:szCs w:val="21"/>
          <w:u w:val="single"/>
        </w:rPr>
        <w:t xml:space="preserve">       </w:t>
      </w:r>
    </w:p>
    <w:p>
      <w:pPr>
        <w:pStyle w:val="6"/>
        <w:keepNext/>
        <w:keepLines/>
        <w:spacing w:before="289" w:beforeLines="50" w:beforeAutospacing="0" w:after="289" w:afterLines="50" w:afterAutospacing="0"/>
        <w:ind w:firstLine="422" w:firstLineChars="200"/>
        <w:jc w:val="both"/>
        <w:rPr>
          <w:bCs w:val="0"/>
          <w:kern w:val="2"/>
          <w:sz w:val="21"/>
          <w:szCs w:val="21"/>
        </w:rPr>
      </w:pPr>
      <w:r>
        <w:rPr>
          <w:rFonts w:hint="eastAsia"/>
          <w:kern w:val="2"/>
          <w:sz w:val="21"/>
          <w:szCs w:val="21"/>
        </w:rPr>
        <w:t>52. 合同附件</w:t>
      </w:r>
      <w:bookmarkEnd w:id="1361"/>
      <w:bookmarkEnd w:id="1362"/>
    </w:p>
    <w:p>
      <w:pPr>
        <w:ind w:right="105" w:rightChars="50" w:firstLine="420" w:firstLineChars="200"/>
        <w:jc w:val="left"/>
        <w:rPr>
          <w:rFonts w:ascii="宋体" w:hAnsi="宋体"/>
        </w:rPr>
      </w:pPr>
      <w:r>
        <w:rPr>
          <w:rFonts w:hint="eastAsia" w:ascii="宋体" w:hAnsi="宋体"/>
        </w:rPr>
        <w:t>以下十一个附件是本合同的有效组成部分：</w:t>
      </w:r>
    </w:p>
    <w:p>
      <w:pPr>
        <w:ind w:right="105" w:rightChars="50" w:firstLine="420" w:firstLineChars="200"/>
        <w:jc w:val="left"/>
        <w:rPr>
          <w:rFonts w:ascii="宋体" w:hAnsi="宋体"/>
          <w:szCs w:val="21"/>
        </w:rPr>
      </w:pPr>
      <w:r>
        <w:rPr>
          <w:rFonts w:hint="eastAsia" w:ascii="宋体" w:hAnsi="宋体"/>
          <w:szCs w:val="21"/>
        </w:rPr>
        <w:t>附件1：工程质量保修书</w:t>
      </w:r>
    </w:p>
    <w:p>
      <w:pPr>
        <w:ind w:right="105" w:rightChars="50" w:firstLine="420" w:firstLineChars="200"/>
        <w:jc w:val="left"/>
        <w:rPr>
          <w:rFonts w:ascii="宋体" w:hAnsi="宋体"/>
          <w:szCs w:val="21"/>
        </w:rPr>
      </w:pPr>
      <w:r>
        <w:rPr>
          <w:rFonts w:hint="eastAsia" w:ascii="宋体" w:hAnsi="宋体"/>
          <w:szCs w:val="21"/>
        </w:rPr>
        <w:t>附件2：主要建设工程文件目录</w:t>
      </w:r>
    </w:p>
    <w:p>
      <w:pPr>
        <w:ind w:right="105" w:rightChars="50" w:firstLine="420" w:firstLineChars="200"/>
        <w:jc w:val="left"/>
        <w:rPr>
          <w:rFonts w:ascii="宋体" w:hAnsi="宋体"/>
          <w:szCs w:val="21"/>
        </w:rPr>
      </w:pPr>
      <w:r>
        <w:rPr>
          <w:rFonts w:hint="eastAsia" w:ascii="宋体" w:hAnsi="宋体"/>
          <w:szCs w:val="21"/>
        </w:rPr>
        <w:t>附件3：承包人项目管理机构组成表</w:t>
      </w:r>
    </w:p>
    <w:p>
      <w:pPr>
        <w:ind w:right="105" w:rightChars="50" w:firstLine="420" w:firstLineChars="200"/>
        <w:jc w:val="left"/>
        <w:rPr>
          <w:rFonts w:ascii="宋体" w:hAnsi="宋体"/>
          <w:szCs w:val="21"/>
        </w:rPr>
      </w:pPr>
      <w:r>
        <w:rPr>
          <w:rFonts w:hint="eastAsia" w:ascii="宋体" w:hAnsi="宋体"/>
          <w:szCs w:val="21"/>
        </w:rPr>
        <w:t>附件4：履约</w:t>
      </w:r>
      <w:r>
        <w:rPr>
          <w:rFonts w:ascii="宋体" w:hAnsi="宋体"/>
          <w:szCs w:val="21"/>
        </w:rPr>
        <w:t>担保</w:t>
      </w:r>
      <w:r>
        <w:rPr>
          <w:rFonts w:hint="eastAsia" w:ascii="宋体" w:hAnsi="宋体"/>
          <w:szCs w:val="21"/>
        </w:rPr>
        <w:t>（如有）</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5</w:t>
      </w:r>
      <w:r>
        <w:rPr>
          <w:rFonts w:hint="eastAsia" w:ascii="宋体" w:hAnsi="宋体"/>
          <w:szCs w:val="21"/>
        </w:rPr>
        <w:t>：预付款担保（如有）</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6</w:t>
      </w:r>
      <w:r>
        <w:rPr>
          <w:rFonts w:hint="eastAsia" w:ascii="宋体" w:hAnsi="宋体"/>
          <w:szCs w:val="21"/>
        </w:rPr>
        <w:t>：支付担保（如有）</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7</w:t>
      </w:r>
      <w:r>
        <w:rPr>
          <w:rFonts w:hint="eastAsia" w:ascii="宋体" w:hAnsi="宋体"/>
          <w:szCs w:val="21"/>
        </w:rPr>
        <w:t>：专业工程暂估价表</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8</w:t>
      </w:r>
      <w:r>
        <w:rPr>
          <w:rFonts w:hint="eastAsia" w:ascii="宋体" w:hAnsi="宋体"/>
          <w:szCs w:val="21"/>
        </w:rPr>
        <w:t>：廉洁从业协议</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9</w:t>
      </w:r>
      <w:r>
        <w:rPr>
          <w:rFonts w:hint="eastAsia" w:ascii="宋体" w:hAnsi="宋体"/>
          <w:szCs w:val="21"/>
        </w:rPr>
        <w:t>：安全管理协议</w:t>
      </w:r>
    </w:p>
    <w:p>
      <w:pPr>
        <w:ind w:right="105" w:rightChars="50" w:firstLine="420" w:firstLineChars="200"/>
        <w:jc w:val="left"/>
        <w:rPr>
          <w:rFonts w:ascii="宋体" w:hAnsi="宋体"/>
          <w:szCs w:val="21"/>
        </w:rPr>
      </w:pPr>
      <w:r>
        <w:rPr>
          <w:rFonts w:hint="eastAsia" w:ascii="宋体" w:hAnsi="宋体"/>
          <w:szCs w:val="21"/>
        </w:rPr>
        <w:t>附件</w:t>
      </w:r>
      <w:r>
        <w:rPr>
          <w:rFonts w:ascii="宋体" w:hAnsi="宋体"/>
          <w:szCs w:val="21"/>
        </w:rPr>
        <w:t>10</w:t>
      </w:r>
      <w:r>
        <w:rPr>
          <w:rFonts w:hint="eastAsia" w:ascii="宋体" w:hAnsi="宋体"/>
          <w:szCs w:val="21"/>
        </w:rPr>
        <w:t>：保障农民工工资支付协议</w:t>
      </w:r>
    </w:p>
    <w:p>
      <w:pPr>
        <w:ind w:right="105" w:rightChars="50" w:firstLine="420" w:firstLineChars="200"/>
        <w:jc w:val="left"/>
        <w:rPr>
          <w:rFonts w:ascii="宋体" w:hAnsi="宋体"/>
          <w:szCs w:val="21"/>
        </w:rPr>
      </w:pPr>
      <w:r>
        <w:rPr>
          <w:rFonts w:hint="eastAsia" w:ascii="宋体" w:hAnsi="宋体"/>
          <w:szCs w:val="21"/>
        </w:rPr>
        <w:t>附件11：低价风险担保保函示范文本（独立保函）（如有）</w:t>
      </w:r>
    </w:p>
    <w:p>
      <w:pPr>
        <w:ind w:right="105" w:rightChars="50" w:firstLine="420" w:firstLineChars="200"/>
        <w:jc w:val="left"/>
        <w:rPr>
          <w:rFonts w:ascii="宋体" w:hAnsi="宋体"/>
          <w:color w:val="auto"/>
          <w:szCs w:val="21"/>
        </w:rPr>
      </w:pPr>
      <w:r>
        <w:rPr>
          <w:rFonts w:hint="eastAsia" w:ascii="宋体" w:hAnsi="宋体"/>
          <w:color w:val="auto"/>
          <w:szCs w:val="21"/>
        </w:rPr>
        <w:t>附件12：质量保证金保函（如果有）</w:t>
      </w:r>
    </w:p>
    <w:bookmarkEnd w:id="1363"/>
    <w:p>
      <w:pPr>
        <w:rPr>
          <w:rFonts w:ascii="宋体" w:hAnsi="宋体"/>
          <w:szCs w:val="21"/>
        </w:rPr>
      </w:pPr>
      <w:r>
        <w:rPr>
          <w:rFonts w:hint="eastAsia" w:ascii="宋体" w:hAnsi="宋体"/>
          <w:color w:val="auto"/>
          <w:szCs w:val="21"/>
        </w:rPr>
        <w:br w:type="page"/>
      </w:r>
      <w:r>
        <w:rPr>
          <w:rFonts w:hint="eastAsia" w:ascii="宋体" w:hAnsi="宋体"/>
          <w:szCs w:val="21"/>
        </w:rPr>
        <w:t>附</w:t>
      </w:r>
      <w:bookmarkStart w:id="1861" w:name="_Toc296347225"/>
      <w:bookmarkStart w:id="1862" w:name="_Toc296891266"/>
      <w:bookmarkStart w:id="1863" w:name="_Toc296944565"/>
      <w:bookmarkStart w:id="1864" w:name="_Toc296346727"/>
      <w:bookmarkStart w:id="1865" w:name="_Toc267261693"/>
      <w:bookmarkStart w:id="1866" w:name="_Toc296891054"/>
      <w:bookmarkStart w:id="1867" w:name="_Toc296503226"/>
      <w:r>
        <w:rPr>
          <w:rFonts w:hint="eastAsia" w:ascii="宋体" w:hAnsi="宋体"/>
          <w:szCs w:val="21"/>
        </w:rPr>
        <w:t>件1：</w:t>
      </w:r>
      <w:bookmarkEnd w:id="1861"/>
      <w:bookmarkEnd w:id="1862"/>
      <w:bookmarkEnd w:id="1863"/>
      <w:bookmarkEnd w:id="1864"/>
      <w:bookmarkEnd w:id="1865"/>
      <w:bookmarkEnd w:id="1866"/>
      <w:bookmarkEnd w:id="1867"/>
    </w:p>
    <w:p>
      <w:pPr>
        <w:spacing w:before="289" w:beforeLines="50" w:after="289" w:afterLines="50"/>
        <w:jc w:val="center"/>
        <w:rPr>
          <w:rFonts w:ascii="宋体" w:hAnsi="宋体"/>
          <w:szCs w:val="21"/>
        </w:rPr>
      </w:pPr>
      <w:r>
        <w:rPr>
          <w:rFonts w:hint="eastAsia" w:ascii="宋体" w:hAnsi="宋体"/>
          <w:szCs w:val="21"/>
        </w:rPr>
        <w:t>工程质量保修书</w:t>
      </w:r>
    </w:p>
    <w:p>
      <w:pPr>
        <w:snapToGrid w:val="0"/>
        <w:spacing w:line="360" w:lineRule="auto"/>
        <w:ind w:firstLine="422" w:firstLineChars="200"/>
        <w:rPr>
          <w:rFonts w:ascii="宋体" w:hAnsi="宋体"/>
          <w:b/>
          <w:szCs w:val="21"/>
          <w:u w:val="single"/>
        </w:rPr>
      </w:pPr>
      <w:r>
        <w:rPr>
          <w:rFonts w:hint="eastAsia" w:ascii="宋体" w:hAnsi="宋体"/>
          <w:b/>
          <w:szCs w:val="21"/>
        </w:rPr>
        <w:t>发包人（全称）：</w:t>
      </w:r>
      <w:r>
        <w:rPr>
          <w:rFonts w:hint="eastAsia" w:ascii="宋体" w:hAnsi="宋体"/>
          <w:szCs w:val="21"/>
          <w:u w:val="single"/>
        </w:rPr>
        <w:t xml:space="preserve">                             </w:t>
      </w:r>
    </w:p>
    <w:p>
      <w:pPr>
        <w:snapToGrid w:val="0"/>
        <w:spacing w:line="360" w:lineRule="auto"/>
        <w:ind w:firstLine="422" w:firstLineChars="200"/>
        <w:rPr>
          <w:rFonts w:ascii="宋体" w:hAnsi="宋体"/>
          <w:b/>
          <w:szCs w:val="21"/>
          <w:u w:val="single"/>
        </w:rPr>
      </w:pPr>
      <w:r>
        <w:rPr>
          <w:rFonts w:hint="eastAsia" w:ascii="宋体" w:hAnsi="宋体"/>
          <w:b/>
          <w:szCs w:val="21"/>
        </w:rPr>
        <w:t>承包人（全称）：</w:t>
      </w:r>
      <w:r>
        <w:rPr>
          <w:rFonts w:hint="eastAsia" w:ascii="宋体" w:hAnsi="宋体"/>
          <w:szCs w:val="21"/>
          <w:u w:val="single"/>
        </w:rPr>
        <w:t xml:space="preserve">                             </w:t>
      </w:r>
    </w:p>
    <w:p>
      <w:pPr>
        <w:spacing w:line="360" w:lineRule="auto"/>
        <w:ind w:firstLine="420" w:firstLineChars="200"/>
        <w:rPr>
          <w:rFonts w:ascii="宋体" w:hAnsi="宋体"/>
          <w:szCs w:val="21"/>
        </w:rPr>
      </w:pPr>
      <w:r>
        <w:rPr>
          <w:rFonts w:hint="eastAsia" w:ascii="宋体" w:hAnsi="宋体"/>
          <w:szCs w:val="21"/>
        </w:rPr>
        <w:t>发包人和承包人根据《中华人民共和国建筑法》和《建设工程质量管理条例》，经协商一致就</w:t>
      </w:r>
      <w:r>
        <w:rPr>
          <w:rFonts w:hint="eastAsia" w:ascii="宋体" w:hAnsi="宋体"/>
          <w:szCs w:val="21"/>
          <w:u w:val="single"/>
        </w:rPr>
        <w:t xml:space="preserve">        </w:t>
      </w:r>
      <w:r>
        <w:rPr>
          <w:rFonts w:hint="eastAsia" w:ascii="宋体" w:hAnsi="宋体"/>
          <w:szCs w:val="21"/>
        </w:rPr>
        <w:t>（工程全称）签订工程质量保修书。</w:t>
      </w:r>
      <w:bookmarkStart w:id="1868" w:name="_Toc532375687"/>
    </w:p>
    <w:p>
      <w:pPr>
        <w:numPr>
          <w:ilvl w:val="0"/>
          <w:numId w:val="8"/>
        </w:numPr>
        <w:spacing w:line="360" w:lineRule="auto"/>
        <w:ind w:firstLine="420" w:firstLineChars="200"/>
        <w:rPr>
          <w:rFonts w:ascii="宋体" w:hAnsi="宋体"/>
          <w:szCs w:val="21"/>
        </w:rPr>
      </w:pPr>
      <w:r>
        <w:rPr>
          <w:rFonts w:hint="eastAsia" w:ascii="宋体" w:hAnsi="宋体"/>
          <w:szCs w:val="21"/>
        </w:rPr>
        <w:t>工程质量保修范围和内容</w:t>
      </w:r>
      <w:bookmarkEnd w:id="1868"/>
    </w:p>
    <w:p>
      <w:pPr>
        <w:spacing w:line="360" w:lineRule="auto"/>
        <w:ind w:firstLine="420" w:firstLineChars="200"/>
        <w:rPr>
          <w:rFonts w:ascii="宋体" w:hAnsi="宋体"/>
          <w:szCs w:val="21"/>
        </w:rPr>
      </w:pPr>
      <w:r>
        <w:rPr>
          <w:rFonts w:hint="eastAsia" w:ascii="宋体" w:hAnsi="宋体"/>
          <w:szCs w:val="21"/>
        </w:rPr>
        <w:t>承包人在质量保修期内，按照有关法律规定和合同约定，承担工程质量保修责任。</w:t>
      </w:r>
    </w:p>
    <w:p>
      <w:pPr>
        <w:spacing w:line="360" w:lineRule="auto"/>
        <w:ind w:firstLine="420" w:firstLineChars="200"/>
        <w:rPr>
          <w:rFonts w:ascii="宋体" w:hAnsi="宋体"/>
          <w:szCs w:val="21"/>
        </w:rPr>
      </w:pPr>
      <w:r>
        <w:rPr>
          <w:rFonts w:hint="eastAsia" w:ascii="宋体" w:hAnsi="宋体"/>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ind w:firstLine="420" w:firstLineChars="200"/>
        <w:rPr>
          <w:rFonts w:ascii="宋体" w:hAnsi="宋体"/>
          <w:szCs w:val="21"/>
        </w:rPr>
      </w:pPr>
      <w:r>
        <w:rPr>
          <w:rFonts w:hint="eastAsia" w:ascii="宋体" w:hAnsi="宋体"/>
          <w:szCs w:val="21"/>
        </w:rPr>
        <w:t>承包人承包范围内容均属质量保修范围内容；其中：</w:t>
      </w:r>
    </w:p>
    <w:p>
      <w:pPr>
        <w:spacing w:line="360" w:lineRule="auto"/>
        <w:ind w:firstLine="420" w:firstLineChars="200"/>
        <w:rPr>
          <w:rFonts w:ascii="宋体" w:hAnsi="宋体"/>
          <w:szCs w:val="21"/>
        </w:rPr>
      </w:pPr>
      <w:r>
        <w:rPr>
          <w:rFonts w:hint="eastAsia" w:ascii="宋体" w:hAnsi="宋体"/>
          <w:szCs w:val="21"/>
        </w:rPr>
        <w:t>1.属于设计原因造成的质量问题，承包人负责维修，不留隐患，费用由发包人承担；</w:t>
      </w:r>
    </w:p>
    <w:p>
      <w:pPr>
        <w:spacing w:line="360" w:lineRule="auto"/>
        <w:ind w:firstLine="420" w:firstLineChars="200"/>
        <w:rPr>
          <w:rFonts w:ascii="宋体" w:hAnsi="宋体"/>
          <w:szCs w:val="21"/>
        </w:rPr>
      </w:pPr>
      <w:r>
        <w:rPr>
          <w:rFonts w:hint="eastAsia" w:ascii="宋体" w:hAnsi="宋体"/>
          <w:szCs w:val="21"/>
        </w:rPr>
        <w:t>2.属于施工造成的质量问题，承包人负责维修，不留隐患；</w:t>
      </w:r>
    </w:p>
    <w:p>
      <w:pPr>
        <w:spacing w:line="360" w:lineRule="auto"/>
        <w:ind w:firstLine="420" w:firstLineChars="200"/>
        <w:rPr>
          <w:rFonts w:ascii="宋体" w:hAnsi="宋体"/>
          <w:szCs w:val="21"/>
        </w:rPr>
      </w:pPr>
      <w:r>
        <w:rPr>
          <w:rFonts w:hint="eastAsia" w:ascii="宋体" w:hAnsi="宋体"/>
          <w:szCs w:val="21"/>
        </w:rPr>
        <w:t>3.属于业主使用不当造成的质量问题，配合抢修，费用由发包人承担。</w:t>
      </w:r>
    </w:p>
    <w:p>
      <w:pPr>
        <w:spacing w:line="360" w:lineRule="auto"/>
        <w:ind w:firstLine="420" w:firstLineChars="200"/>
        <w:rPr>
          <w:rFonts w:ascii="宋体" w:hAnsi="宋体"/>
          <w:szCs w:val="21"/>
        </w:rPr>
      </w:pPr>
      <w:bookmarkStart w:id="1869" w:name="_Toc532375688"/>
      <w:r>
        <w:rPr>
          <w:rFonts w:hint="eastAsia" w:ascii="宋体" w:hAnsi="宋体"/>
          <w:szCs w:val="21"/>
        </w:rPr>
        <w:t>二、质量保修期</w:t>
      </w:r>
      <w:bookmarkEnd w:id="1869"/>
    </w:p>
    <w:p>
      <w:pPr>
        <w:spacing w:line="360" w:lineRule="auto"/>
        <w:ind w:firstLine="420" w:firstLineChars="200"/>
        <w:rPr>
          <w:rFonts w:ascii="宋体" w:hAnsi="宋体"/>
          <w:szCs w:val="21"/>
        </w:rPr>
      </w:pPr>
      <w:r>
        <w:rPr>
          <w:rFonts w:hint="eastAsia" w:ascii="宋体" w:hAnsi="宋体"/>
          <w:szCs w:val="21"/>
        </w:rPr>
        <w:t>根据《建设工程质量管理条例》及有关规定，本工程质量保修期约定如下：</w:t>
      </w:r>
    </w:p>
    <w:p>
      <w:pPr>
        <w:spacing w:line="360" w:lineRule="auto"/>
        <w:ind w:firstLine="420" w:firstLineChars="200"/>
        <w:rPr>
          <w:rFonts w:ascii="宋体" w:hAnsi="宋体"/>
          <w:szCs w:val="21"/>
        </w:rPr>
      </w:pPr>
      <w:r>
        <w:rPr>
          <w:rFonts w:hint="eastAsia" w:ascii="宋体" w:hAnsi="宋体"/>
          <w:szCs w:val="21"/>
        </w:rPr>
        <w:t>1.基础设施工程、房屋建筑的地基基础工程和主体结构工程，为设计文件规定的该工程的合理使用年限；</w:t>
      </w:r>
    </w:p>
    <w:p>
      <w:pPr>
        <w:spacing w:line="360" w:lineRule="auto"/>
        <w:ind w:firstLine="420" w:firstLineChars="200"/>
        <w:rPr>
          <w:rFonts w:ascii="宋体" w:hAnsi="宋体"/>
          <w:szCs w:val="21"/>
        </w:rPr>
      </w:pPr>
      <w:r>
        <w:rPr>
          <w:rFonts w:hint="eastAsia" w:ascii="宋体" w:hAnsi="宋体"/>
          <w:szCs w:val="21"/>
        </w:rPr>
        <w:t>2.屋面防水工程、有防水要求的卫生间、房间和外墙面的防渗漏，为5年；</w:t>
      </w:r>
    </w:p>
    <w:p>
      <w:pPr>
        <w:spacing w:line="360" w:lineRule="auto"/>
        <w:ind w:firstLine="420" w:firstLineChars="200"/>
        <w:rPr>
          <w:rFonts w:ascii="宋体" w:hAnsi="宋体"/>
          <w:szCs w:val="21"/>
        </w:rPr>
      </w:pPr>
      <w:r>
        <w:rPr>
          <w:rFonts w:hint="eastAsia" w:ascii="宋体" w:hAnsi="宋体"/>
          <w:szCs w:val="21"/>
        </w:rPr>
        <w:t>3.供热与供冷系统，为2个采暖期、供冷期；</w:t>
      </w:r>
    </w:p>
    <w:p>
      <w:pPr>
        <w:spacing w:line="360" w:lineRule="auto"/>
        <w:ind w:firstLine="420" w:firstLineChars="200"/>
        <w:rPr>
          <w:rFonts w:ascii="宋体" w:hAnsi="宋体"/>
          <w:szCs w:val="21"/>
        </w:rPr>
      </w:pPr>
      <w:r>
        <w:rPr>
          <w:rFonts w:hint="eastAsia" w:ascii="宋体" w:hAnsi="宋体"/>
          <w:szCs w:val="21"/>
        </w:rPr>
        <w:t>4.电气管线、给排水管道、设备安装和装修工程，为2年；</w:t>
      </w:r>
    </w:p>
    <w:p>
      <w:pPr>
        <w:spacing w:line="360" w:lineRule="auto"/>
        <w:ind w:firstLine="420" w:firstLineChars="200"/>
        <w:rPr>
          <w:rFonts w:ascii="宋体" w:hAnsi="宋体"/>
          <w:szCs w:val="21"/>
        </w:rPr>
      </w:pPr>
      <w:r>
        <w:rPr>
          <w:rFonts w:hint="eastAsia" w:ascii="宋体" w:hAnsi="宋体"/>
          <w:szCs w:val="21"/>
        </w:rPr>
        <w:t>5.其他项目保修期限：2年；</w:t>
      </w:r>
      <w:r>
        <w:rPr>
          <w:rFonts w:hint="eastAsia" w:ascii="宋体" w:hAnsi="宋体"/>
          <w:i/>
          <w:szCs w:val="21"/>
        </w:rPr>
        <w:t>[提示：如有不同，根据具体情况修改]</w:t>
      </w:r>
    </w:p>
    <w:p>
      <w:pPr>
        <w:spacing w:line="360" w:lineRule="auto"/>
        <w:ind w:firstLine="420" w:firstLineChars="200"/>
        <w:rPr>
          <w:rFonts w:ascii="宋体" w:hAnsi="宋体"/>
          <w:szCs w:val="21"/>
        </w:rPr>
      </w:pPr>
      <w:r>
        <w:rPr>
          <w:rFonts w:hint="eastAsia" w:ascii="宋体" w:hAnsi="宋体"/>
          <w:szCs w:val="21"/>
        </w:rPr>
        <w:t>建设工程的保修期，自工程竣工验收合格之日起计算。</w:t>
      </w:r>
    </w:p>
    <w:p>
      <w:pPr>
        <w:spacing w:line="360" w:lineRule="auto"/>
        <w:ind w:firstLine="420" w:firstLineChars="200"/>
        <w:rPr>
          <w:rFonts w:ascii="宋体" w:hAnsi="宋体"/>
          <w:szCs w:val="21"/>
        </w:rPr>
      </w:pPr>
      <w:bookmarkStart w:id="1870" w:name="_Toc532375689"/>
      <w:r>
        <w:rPr>
          <w:rFonts w:hint="eastAsia" w:ascii="宋体" w:hAnsi="宋体"/>
          <w:szCs w:val="21"/>
        </w:rPr>
        <w:t>三、质量保修责任</w:t>
      </w:r>
      <w:bookmarkEnd w:id="1870"/>
    </w:p>
    <w:p>
      <w:pPr>
        <w:spacing w:line="360" w:lineRule="auto"/>
        <w:ind w:firstLine="420" w:firstLineChars="200"/>
        <w:rPr>
          <w:rFonts w:ascii="宋体" w:hAnsi="宋体"/>
          <w:szCs w:val="21"/>
        </w:rPr>
      </w:pPr>
      <w:r>
        <w:rPr>
          <w:rFonts w:hint="eastAsia" w:ascii="宋体" w:hAnsi="宋体"/>
          <w:szCs w:val="21"/>
        </w:rPr>
        <w:t>1.属于保修范围、内容的项目，承包人应当在接到保修通知之日起7天内派人保修。承包人不在约定期限内派人保修的，发包人可以委托他人修理。</w:t>
      </w:r>
    </w:p>
    <w:p>
      <w:pPr>
        <w:spacing w:line="360" w:lineRule="auto"/>
        <w:ind w:firstLine="420" w:firstLineChars="200"/>
        <w:rPr>
          <w:rFonts w:ascii="宋体" w:hAnsi="宋体"/>
          <w:szCs w:val="21"/>
        </w:rPr>
      </w:pPr>
      <w:r>
        <w:rPr>
          <w:rFonts w:hint="eastAsia" w:ascii="宋体" w:hAnsi="宋体"/>
          <w:szCs w:val="21"/>
        </w:rPr>
        <w:t>2.发生紧急事故需抢修的，承包人在接到事故通知后，应当立即到达事故现场抢修。</w:t>
      </w:r>
    </w:p>
    <w:p>
      <w:pPr>
        <w:spacing w:line="360" w:lineRule="auto"/>
        <w:ind w:firstLine="420" w:firstLineChars="200"/>
        <w:rPr>
          <w:rFonts w:ascii="宋体" w:hAnsi="宋体"/>
          <w:szCs w:val="21"/>
        </w:rPr>
      </w:pPr>
      <w:r>
        <w:rPr>
          <w:rFonts w:hint="eastAsia" w:ascii="宋体" w:hAnsi="宋体"/>
          <w:szCs w:val="21"/>
        </w:rPr>
        <w:t>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spacing w:line="360" w:lineRule="auto"/>
        <w:ind w:firstLine="420" w:firstLineChars="200"/>
        <w:rPr>
          <w:rFonts w:ascii="宋体" w:hAnsi="宋体"/>
          <w:szCs w:val="21"/>
        </w:rPr>
      </w:pPr>
      <w:r>
        <w:rPr>
          <w:rFonts w:hint="eastAsia" w:ascii="宋体" w:hAnsi="宋体"/>
          <w:szCs w:val="21"/>
        </w:rPr>
        <w:t>4.质量保修完成后，由发包人组织验收。</w:t>
      </w:r>
    </w:p>
    <w:p>
      <w:pPr>
        <w:spacing w:line="360" w:lineRule="auto"/>
        <w:ind w:firstLine="420" w:firstLineChars="200"/>
        <w:rPr>
          <w:rFonts w:ascii="宋体" w:hAnsi="宋体"/>
          <w:szCs w:val="21"/>
        </w:rPr>
      </w:pPr>
      <w:bookmarkStart w:id="1871" w:name="_Toc532375690"/>
      <w:r>
        <w:rPr>
          <w:rFonts w:hint="eastAsia" w:ascii="宋体" w:hAnsi="宋体"/>
          <w:szCs w:val="21"/>
        </w:rPr>
        <w:t>四、保修费用</w:t>
      </w:r>
      <w:bookmarkEnd w:id="1871"/>
    </w:p>
    <w:p>
      <w:pPr>
        <w:spacing w:line="360" w:lineRule="auto"/>
        <w:ind w:firstLine="420" w:firstLineChars="200"/>
        <w:rPr>
          <w:rFonts w:ascii="宋体" w:hAnsi="宋体"/>
          <w:szCs w:val="21"/>
        </w:rPr>
      </w:pPr>
      <w:r>
        <w:rPr>
          <w:rFonts w:hint="eastAsia" w:ascii="宋体" w:hAnsi="宋体"/>
          <w:szCs w:val="21"/>
        </w:rPr>
        <w:t>保修费用由质量缺陷的责任方承担。</w:t>
      </w:r>
    </w:p>
    <w:p>
      <w:pPr>
        <w:spacing w:line="360" w:lineRule="auto"/>
        <w:ind w:firstLine="420" w:firstLineChars="200"/>
        <w:rPr>
          <w:rFonts w:ascii="宋体" w:hAnsi="宋体"/>
          <w:szCs w:val="21"/>
        </w:rPr>
      </w:pPr>
      <w:bookmarkStart w:id="1872" w:name="_Toc532375691"/>
      <w:r>
        <w:rPr>
          <w:rFonts w:hint="eastAsia" w:ascii="宋体" w:hAnsi="宋体"/>
          <w:szCs w:val="21"/>
        </w:rPr>
        <w:t>五、双方约定的其他工程质量保修事项</w:t>
      </w:r>
    </w:p>
    <w:p>
      <w:pPr>
        <w:spacing w:line="360" w:lineRule="auto"/>
        <w:ind w:firstLine="420" w:firstLineChars="200"/>
        <w:rPr>
          <w:rFonts w:ascii="宋体" w:hAnsi="宋体"/>
          <w:szCs w:val="21"/>
        </w:rPr>
      </w:pPr>
      <w:r>
        <w:rPr>
          <w:rFonts w:hint="eastAsia" w:ascii="宋体" w:hAnsi="宋体"/>
          <w:szCs w:val="21"/>
          <w:u w:val="single"/>
        </w:rPr>
        <w:t>按国家相关法律和规定执行</w:t>
      </w:r>
      <w:r>
        <w:rPr>
          <w:rFonts w:hint="eastAsia" w:ascii="宋体" w:hAnsi="宋体"/>
          <w:szCs w:val="21"/>
        </w:rPr>
        <w:t>。</w:t>
      </w:r>
      <w:bookmarkEnd w:id="1872"/>
    </w:p>
    <w:p>
      <w:pPr>
        <w:spacing w:line="360" w:lineRule="auto"/>
        <w:ind w:firstLine="420" w:firstLineChars="200"/>
        <w:rPr>
          <w:rFonts w:ascii="宋体" w:hAnsi="宋体"/>
          <w:szCs w:val="21"/>
        </w:rPr>
      </w:pPr>
      <w:r>
        <w:rPr>
          <w:rFonts w:hint="eastAsia" w:ascii="宋体" w:hAnsi="宋体"/>
          <w:szCs w:val="21"/>
        </w:rPr>
        <w:t>本工程质量保修书由发包人、承包人在工程竣工验收前共同签署，作为施工合同附件，其有效期限至保修期满。</w:t>
      </w:r>
    </w:p>
    <w:p>
      <w:pPr>
        <w:spacing w:line="360" w:lineRule="auto"/>
        <w:ind w:firstLine="420" w:firstLineChars="200"/>
        <w:rPr>
          <w:rFonts w:ascii="宋体" w:hAnsi="宋体"/>
          <w:szCs w:val="21"/>
        </w:rPr>
      </w:pPr>
      <w:r>
        <w:rPr>
          <w:rFonts w:ascii="宋体" w:hAnsi="宋体"/>
          <w:szCs w:val="21"/>
        </w:rPr>
        <w:t>六</w:t>
      </w:r>
      <w:r>
        <w:rPr>
          <w:rFonts w:hint="eastAsia" w:ascii="宋体" w:hAnsi="宋体"/>
          <w:szCs w:val="21"/>
        </w:rPr>
        <w:t>、</w:t>
      </w:r>
      <w:r>
        <w:rPr>
          <w:rFonts w:ascii="宋体" w:hAnsi="宋体"/>
          <w:szCs w:val="21"/>
        </w:rPr>
        <w:t>本文件生效</w:t>
      </w:r>
    </w:p>
    <w:p>
      <w:pPr>
        <w:spacing w:line="360" w:lineRule="auto"/>
        <w:ind w:firstLine="420" w:firstLineChars="200"/>
        <w:rPr>
          <w:rFonts w:ascii="宋体" w:hAnsi="宋体"/>
          <w:szCs w:val="21"/>
        </w:rPr>
      </w:pPr>
      <w:r>
        <w:rPr>
          <w:rFonts w:hint="eastAsia" w:ascii="宋体" w:hAnsi="宋体"/>
          <w:szCs w:val="21"/>
        </w:rPr>
        <w:t>本工程质量保修书经发包人与承包人盖章后生效。</w:t>
      </w:r>
    </w:p>
    <w:p>
      <w:pPr>
        <w:spacing w:line="360" w:lineRule="auto"/>
        <w:ind w:firstLine="420" w:firstLineChars="200"/>
        <w:rPr>
          <w:rFonts w:ascii="宋体" w:hAnsi="宋体"/>
          <w:snapToGrid w:val="0"/>
          <w:kern w:val="0"/>
          <w:szCs w:val="21"/>
        </w:rPr>
      </w:pPr>
      <w:r>
        <w:rPr>
          <w:rFonts w:hint="eastAsia" w:ascii="宋体" w:hAnsi="宋体"/>
          <w:snapToGrid w:val="0"/>
          <w:kern w:val="0"/>
          <w:szCs w:val="21"/>
        </w:rPr>
        <w:t>发包人：</w:t>
      </w:r>
      <w:r>
        <w:rPr>
          <w:rFonts w:hint="eastAsia" w:ascii="宋体" w:hAnsi="宋体"/>
          <w:snapToGrid w:val="0"/>
          <w:kern w:val="0"/>
          <w:szCs w:val="21"/>
          <w:u w:val="single"/>
        </w:rPr>
        <w:t xml:space="preserve">                                </w:t>
      </w:r>
      <w:r>
        <w:rPr>
          <w:rFonts w:hint="eastAsia" w:ascii="宋体" w:hAnsi="宋体"/>
          <w:snapToGrid w:val="0"/>
          <w:kern w:val="0"/>
          <w:szCs w:val="21"/>
        </w:rPr>
        <w:t>（盖单位公章）</w:t>
      </w:r>
    </w:p>
    <w:p>
      <w:pPr>
        <w:spacing w:line="360" w:lineRule="auto"/>
        <w:ind w:firstLine="420" w:firstLineChars="200"/>
        <w:rPr>
          <w:rFonts w:ascii="宋体" w:hAnsi="宋体"/>
          <w:snapToGrid w:val="0"/>
          <w:kern w:val="0"/>
          <w:szCs w:val="21"/>
        </w:rPr>
      </w:pPr>
      <w:r>
        <w:rPr>
          <w:rFonts w:hint="eastAsia" w:ascii="宋体" w:hAnsi="宋体"/>
          <w:snapToGrid w:val="0"/>
          <w:kern w:val="0"/>
          <w:szCs w:val="21"/>
        </w:rPr>
        <w:t>法定代表人或其委托代理人：</w:t>
      </w:r>
      <w:r>
        <w:rPr>
          <w:rFonts w:hint="eastAsia" w:ascii="宋体" w:hAnsi="宋体"/>
          <w:snapToGrid w:val="0"/>
          <w:kern w:val="0"/>
          <w:szCs w:val="21"/>
          <w:u w:val="single"/>
        </w:rPr>
        <w:t xml:space="preserve">                </w:t>
      </w:r>
      <w:r>
        <w:rPr>
          <w:rFonts w:hint="eastAsia" w:ascii="宋体" w:hAnsi="宋体"/>
          <w:snapToGrid w:val="0"/>
          <w:kern w:val="0"/>
          <w:szCs w:val="21"/>
        </w:rPr>
        <w:t>（签名）</w:t>
      </w:r>
    </w:p>
    <w:p>
      <w:pPr>
        <w:spacing w:line="360" w:lineRule="auto"/>
        <w:ind w:firstLine="420" w:firstLineChars="200"/>
        <w:rPr>
          <w:rFonts w:ascii="宋体" w:hAnsi="宋体"/>
          <w:szCs w:val="21"/>
        </w:rPr>
      </w:pPr>
      <w:r>
        <w:rPr>
          <w:rFonts w:hint="eastAsia" w:ascii="宋体" w:hAnsi="宋体"/>
          <w:snapToGrid w:val="0"/>
          <w:kern w:val="0"/>
          <w:szCs w:val="21"/>
        </w:rPr>
        <w:t>承包人：</w:t>
      </w:r>
      <w:r>
        <w:rPr>
          <w:rFonts w:hint="eastAsia" w:ascii="宋体" w:hAnsi="宋体"/>
          <w:snapToGrid w:val="0"/>
          <w:kern w:val="0"/>
          <w:szCs w:val="21"/>
          <w:u w:val="single"/>
        </w:rPr>
        <w:t xml:space="preserve">                                </w:t>
      </w:r>
      <w:r>
        <w:rPr>
          <w:rFonts w:hint="eastAsia" w:ascii="宋体" w:hAnsi="宋体"/>
          <w:snapToGrid w:val="0"/>
          <w:kern w:val="0"/>
          <w:szCs w:val="21"/>
        </w:rPr>
        <w:t>（盖单位公章）</w:t>
      </w:r>
    </w:p>
    <w:p>
      <w:pPr>
        <w:spacing w:line="360" w:lineRule="auto"/>
        <w:ind w:firstLine="420" w:firstLineChars="200"/>
        <w:rPr>
          <w:rFonts w:ascii="宋体" w:hAnsi="宋体"/>
          <w:bCs/>
          <w:kern w:val="0"/>
          <w:szCs w:val="21"/>
        </w:rPr>
      </w:pPr>
      <w:r>
        <w:rPr>
          <w:rFonts w:hint="eastAsia" w:ascii="宋体" w:hAnsi="宋体"/>
          <w:snapToGrid w:val="0"/>
          <w:kern w:val="0"/>
          <w:szCs w:val="21"/>
        </w:rPr>
        <w:t>法定代表人或其委托代理人：</w:t>
      </w:r>
      <w:r>
        <w:rPr>
          <w:rFonts w:hint="eastAsia" w:ascii="宋体" w:hAnsi="宋体"/>
          <w:snapToGrid w:val="0"/>
          <w:kern w:val="0"/>
          <w:szCs w:val="21"/>
          <w:u w:val="single"/>
        </w:rPr>
        <w:t xml:space="preserve">                </w:t>
      </w:r>
      <w:r>
        <w:rPr>
          <w:rFonts w:hint="eastAsia" w:ascii="宋体" w:hAnsi="宋体"/>
          <w:snapToGrid w:val="0"/>
          <w:kern w:val="0"/>
          <w:szCs w:val="21"/>
        </w:rPr>
        <w:t>（签名）</w:t>
      </w:r>
    </w:p>
    <w:p>
      <w:pPr>
        <w:spacing w:line="360" w:lineRule="auto"/>
        <w:ind w:firstLine="420" w:firstLineChars="200"/>
        <w:jc w:val="right"/>
        <w:rPr>
          <w:rFonts w:ascii="宋体" w:hAnsi="宋体"/>
          <w:snapToGrid w:val="0"/>
          <w:kern w:val="0"/>
          <w:szCs w:val="21"/>
        </w:rPr>
      </w:pPr>
      <w:r>
        <w:rPr>
          <w:rFonts w:hint="eastAsia" w:ascii="宋体" w:hAnsi="宋体"/>
          <w:snapToGrid w:val="0"/>
          <w:kern w:val="0"/>
          <w:szCs w:val="21"/>
        </w:rPr>
        <w:t>签约时间：</w:t>
      </w:r>
      <w:r>
        <w:rPr>
          <w:rFonts w:hint="eastAsia" w:ascii="宋体" w:hAnsi="宋体"/>
          <w:snapToGrid w:val="0"/>
          <w:kern w:val="0"/>
          <w:szCs w:val="21"/>
          <w:u w:val="single"/>
        </w:rPr>
        <w:t xml:space="preserve">     </w:t>
      </w:r>
      <w:r>
        <w:rPr>
          <w:rFonts w:hint="eastAsia" w:ascii="宋体" w:hAnsi="宋体"/>
          <w:snapToGrid w:val="0"/>
          <w:kern w:val="0"/>
          <w:szCs w:val="21"/>
        </w:rPr>
        <w:t>年</w:t>
      </w:r>
      <w:r>
        <w:rPr>
          <w:rFonts w:hint="eastAsia" w:ascii="宋体" w:hAnsi="宋体"/>
          <w:snapToGrid w:val="0"/>
          <w:kern w:val="0"/>
          <w:szCs w:val="21"/>
          <w:u w:val="single"/>
        </w:rPr>
        <w:t xml:space="preserve">     </w:t>
      </w:r>
      <w:r>
        <w:rPr>
          <w:rFonts w:hint="eastAsia" w:ascii="宋体" w:hAnsi="宋体"/>
          <w:snapToGrid w:val="0"/>
          <w:kern w:val="0"/>
          <w:szCs w:val="21"/>
        </w:rPr>
        <w:t>月</w:t>
      </w:r>
      <w:r>
        <w:rPr>
          <w:rFonts w:hint="eastAsia" w:ascii="宋体" w:hAnsi="宋体"/>
          <w:snapToGrid w:val="0"/>
          <w:kern w:val="0"/>
          <w:szCs w:val="21"/>
          <w:u w:val="single"/>
        </w:rPr>
        <w:t xml:space="preserve">     </w:t>
      </w:r>
      <w:r>
        <w:rPr>
          <w:rFonts w:hint="eastAsia" w:ascii="宋体" w:hAnsi="宋体"/>
          <w:snapToGrid w:val="0"/>
          <w:kern w:val="0"/>
          <w:szCs w:val="21"/>
        </w:rPr>
        <w:t>日</w:t>
      </w:r>
    </w:p>
    <w:p>
      <w:pPr>
        <w:spacing w:line="360" w:lineRule="auto"/>
        <w:ind w:firstLine="420" w:firstLineChars="200"/>
        <w:rPr>
          <w:rFonts w:ascii="宋体" w:hAnsi="宋体"/>
          <w:snapToGrid w:val="0"/>
          <w:kern w:val="0"/>
          <w:szCs w:val="21"/>
        </w:rPr>
      </w:pPr>
      <w:r>
        <w:rPr>
          <w:rFonts w:hint="eastAsia" w:ascii="宋体" w:hAnsi="宋体"/>
          <w:szCs w:val="21"/>
        </w:rPr>
        <w:br w:type="page"/>
      </w:r>
    </w:p>
    <w:p>
      <w:pPr>
        <w:spacing w:line="360" w:lineRule="auto"/>
        <w:rPr>
          <w:rFonts w:ascii="宋体" w:hAnsi="宋体"/>
          <w:szCs w:val="21"/>
        </w:rPr>
      </w:pPr>
      <w:r>
        <w:rPr>
          <w:rFonts w:hint="eastAsia" w:ascii="宋体" w:hAnsi="宋体"/>
          <w:szCs w:val="21"/>
        </w:rPr>
        <w:t>附件2：</w:t>
      </w:r>
    </w:p>
    <w:p>
      <w:pPr>
        <w:spacing w:before="289" w:beforeLines="50" w:after="289" w:afterLines="50" w:line="480" w:lineRule="auto"/>
        <w:jc w:val="center"/>
        <w:rPr>
          <w:rFonts w:ascii="宋体" w:hAnsi="宋体"/>
          <w:szCs w:val="21"/>
        </w:rPr>
      </w:pPr>
      <w:r>
        <w:rPr>
          <w:rFonts w:hint="eastAsia" w:ascii="宋体" w:hAnsi="宋体"/>
          <w:szCs w:val="21"/>
        </w:rPr>
        <w:t>主要建设工程文件目录</w:t>
      </w:r>
    </w:p>
    <w:tbl>
      <w:tblPr>
        <w:tblStyle w:val="54"/>
        <w:tblW w:w="92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536"/>
        <w:gridCol w:w="1418"/>
        <w:gridCol w:w="1418"/>
        <w:gridCol w:w="2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3536" w:type="dxa"/>
            <w:vAlign w:val="center"/>
          </w:tcPr>
          <w:p>
            <w:pPr>
              <w:spacing w:line="400" w:lineRule="exact"/>
              <w:jc w:val="center"/>
              <w:rPr>
                <w:rFonts w:ascii="宋体" w:hAnsi="宋体"/>
                <w:szCs w:val="21"/>
              </w:rPr>
            </w:pPr>
            <w:r>
              <w:rPr>
                <w:rFonts w:hint="eastAsia" w:ascii="宋体" w:hAnsi="宋体"/>
                <w:szCs w:val="21"/>
              </w:rPr>
              <w:t>文件名称</w:t>
            </w:r>
          </w:p>
        </w:tc>
        <w:tc>
          <w:tcPr>
            <w:tcW w:w="1418" w:type="dxa"/>
            <w:vAlign w:val="center"/>
          </w:tcPr>
          <w:p>
            <w:pPr>
              <w:spacing w:line="400" w:lineRule="exact"/>
              <w:jc w:val="center"/>
              <w:rPr>
                <w:rFonts w:ascii="宋体" w:hAnsi="宋体"/>
                <w:szCs w:val="21"/>
              </w:rPr>
            </w:pPr>
            <w:r>
              <w:rPr>
                <w:rFonts w:hint="eastAsia" w:ascii="宋体" w:hAnsi="宋体"/>
                <w:szCs w:val="21"/>
              </w:rPr>
              <w:t>套数</w:t>
            </w:r>
          </w:p>
        </w:tc>
        <w:tc>
          <w:tcPr>
            <w:tcW w:w="1418" w:type="dxa"/>
          </w:tcPr>
          <w:p>
            <w:pPr>
              <w:spacing w:line="400" w:lineRule="exact"/>
              <w:jc w:val="center"/>
              <w:rPr>
                <w:rFonts w:ascii="宋体" w:hAnsi="宋体"/>
                <w:szCs w:val="21"/>
              </w:rPr>
            </w:pPr>
            <w:r>
              <w:rPr>
                <w:rFonts w:hint="eastAsia" w:ascii="宋体" w:hAnsi="宋体"/>
                <w:szCs w:val="21"/>
              </w:rPr>
              <w:t>移交时间</w:t>
            </w:r>
          </w:p>
        </w:tc>
        <w:tc>
          <w:tcPr>
            <w:tcW w:w="2917" w:type="dxa"/>
          </w:tcPr>
          <w:p>
            <w:pPr>
              <w:spacing w:line="400" w:lineRule="exact"/>
              <w:jc w:val="center"/>
              <w:rPr>
                <w:rFonts w:ascii="宋体" w:hAnsi="宋体"/>
                <w:szCs w:val="21"/>
              </w:rPr>
            </w:pPr>
            <w:r>
              <w:rPr>
                <w:rFonts w:hint="eastAsia" w:ascii="宋体" w:hAnsi="宋体"/>
                <w:szCs w:val="21"/>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2917"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3536"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1418" w:type="dxa"/>
          </w:tcPr>
          <w:p>
            <w:pPr>
              <w:spacing w:line="400" w:lineRule="exact"/>
              <w:ind w:firstLine="420" w:firstLineChars="200"/>
              <w:rPr>
                <w:rFonts w:ascii="宋体" w:hAnsi="宋体"/>
                <w:szCs w:val="21"/>
              </w:rPr>
            </w:pPr>
          </w:p>
        </w:tc>
        <w:tc>
          <w:tcPr>
            <w:tcW w:w="2917" w:type="dxa"/>
          </w:tcPr>
          <w:p>
            <w:pPr>
              <w:spacing w:line="400" w:lineRule="exact"/>
              <w:ind w:firstLine="420" w:firstLineChars="200"/>
              <w:rPr>
                <w:rFonts w:ascii="宋体" w:hAnsi="宋体"/>
                <w:szCs w:val="21"/>
              </w:rPr>
            </w:pPr>
          </w:p>
        </w:tc>
      </w:tr>
    </w:tbl>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ascii="宋体" w:hAnsi="宋体"/>
          <w:szCs w:val="21"/>
        </w:rPr>
      </w:pPr>
      <w:r>
        <w:rPr>
          <w:rFonts w:hint="eastAsia" w:ascii="宋体" w:hAnsi="宋体"/>
          <w:szCs w:val="21"/>
        </w:rPr>
        <w:t>附</w:t>
      </w:r>
      <w:bookmarkStart w:id="1873" w:name="_Toc267261699"/>
      <w:bookmarkStart w:id="1874" w:name="_Toc296346729"/>
      <w:bookmarkStart w:id="1875" w:name="_Toc296944567"/>
      <w:bookmarkStart w:id="1876" w:name="_Toc296347227"/>
      <w:bookmarkStart w:id="1877" w:name="_Toc296503228"/>
      <w:bookmarkStart w:id="1878" w:name="_Toc296891056"/>
      <w:bookmarkStart w:id="1879" w:name="_Toc296891268"/>
      <w:r>
        <w:rPr>
          <w:rFonts w:hint="eastAsia" w:ascii="宋体" w:hAnsi="宋体"/>
          <w:szCs w:val="21"/>
        </w:rPr>
        <w:t>件3：</w:t>
      </w:r>
    </w:p>
    <w:bookmarkEnd w:id="1873"/>
    <w:bookmarkEnd w:id="1874"/>
    <w:bookmarkEnd w:id="1875"/>
    <w:bookmarkEnd w:id="1876"/>
    <w:bookmarkEnd w:id="1877"/>
    <w:bookmarkEnd w:id="1878"/>
    <w:bookmarkEnd w:id="1879"/>
    <w:p>
      <w:pPr>
        <w:spacing w:before="289" w:beforeLines="50" w:after="289" w:afterLines="50" w:line="360" w:lineRule="auto"/>
        <w:jc w:val="center"/>
        <w:rPr>
          <w:rFonts w:ascii="宋体" w:hAnsi="宋体"/>
          <w:szCs w:val="21"/>
        </w:rPr>
      </w:pPr>
      <w:r>
        <w:rPr>
          <w:rFonts w:hint="eastAsia" w:ascii="宋体" w:hAnsi="宋体"/>
          <w:szCs w:val="21"/>
        </w:rPr>
        <w:t>承包人项目管理机构组成表</w:t>
      </w:r>
    </w:p>
    <w:tbl>
      <w:tblPr>
        <w:tblStyle w:val="54"/>
        <w:tblW w:w="98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名    称</w:t>
            </w:r>
          </w:p>
        </w:tc>
        <w:tc>
          <w:tcPr>
            <w:tcW w:w="1418" w:type="dxa"/>
            <w:vAlign w:val="center"/>
          </w:tcPr>
          <w:p>
            <w:pPr>
              <w:spacing w:line="400" w:lineRule="exact"/>
              <w:jc w:val="center"/>
              <w:rPr>
                <w:rFonts w:ascii="宋体" w:hAnsi="宋体"/>
                <w:szCs w:val="21"/>
              </w:rPr>
            </w:pPr>
            <w:r>
              <w:rPr>
                <w:rFonts w:hint="eastAsia" w:ascii="宋体" w:hAnsi="宋体"/>
                <w:szCs w:val="21"/>
              </w:rPr>
              <w:t>姓名</w:t>
            </w:r>
          </w:p>
        </w:tc>
        <w:tc>
          <w:tcPr>
            <w:tcW w:w="1134" w:type="dxa"/>
            <w:vAlign w:val="center"/>
          </w:tcPr>
          <w:p>
            <w:pPr>
              <w:spacing w:line="400" w:lineRule="exact"/>
              <w:jc w:val="center"/>
              <w:rPr>
                <w:rFonts w:ascii="宋体" w:hAnsi="宋体"/>
                <w:szCs w:val="21"/>
              </w:rPr>
            </w:pPr>
            <w:r>
              <w:rPr>
                <w:rFonts w:hint="eastAsia" w:ascii="宋体" w:hAnsi="宋体"/>
                <w:szCs w:val="21"/>
              </w:rPr>
              <w:t>职务</w:t>
            </w:r>
          </w:p>
        </w:tc>
        <w:tc>
          <w:tcPr>
            <w:tcW w:w="1134" w:type="dxa"/>
            <w:vAlign w:val="center"/>
          </w:tcPr>
          <w:p>
            <w:pPr>
              <w:spacing w:line="400" w:lineRule="exact"/>
              <w:jc w:val="center"/>
              <w:rPr>
                <w:rFonts w:ascii="宋体" w:hAnsi="宋体"/>
                <w:szCs w:val="21"/>
              </w:rPr>
            </w:pPr>
            <w:r>
              <w:rPr>
                <w:rFonts w:hint="eastAsia" w:ascii="宋体" w:hAnsi="宋体"/>
                <w:szCs w:val="21"/>
              </w:rPr>
              <w:t>职称</w:t>
            </w:r>
          </w:p>
        </w:tc>
        <w:tc>
          <w:tcPr>
            <w:tcW w:w="4252" w:type="dxa"/>
            <w:vAlign w:val="center"/>
          </w:tcPr>
          <w:p>
            <w:pPr>
              <w:spacing w:line="400" w:lineRule="exact"/>
              <w:jc w:val="center"/>
              <w:rPr>
                <w:rFonts w:ascii="宋体" w:hAnsi="宋体"/>
                <w:szCs w:val="21"/>
              </w:rPr>
            </w:pPr>
            <w:r>
              <w:rPr>
                <w:rFonts w:hint="eastAsia" w:ascii="宋体" w:hAnsi="宋体"/>
                <w:szCs w:val="21"/>
              </w:rPr>
              <w:t>主要资历、经验及承担过的项目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47" w:hRule="atLeast"/>
          <w:jc w:val="center"/>
        </w:trPr>
        <w:tc>
          <w:tcPr>
            <w:tcW w:w="9809" w:type="dxa"/>
            <w:gridSpan w:val="5"/>
            <w:vAlign w:val="center"/>
          </w:tcPr>
          <w:p>
            <w:pPr>
              <w:spacing w:line="400" w:lineRule="exact"/>
              <w:rPr>
                <w:rFonts w:ascii="宋体" w:hAnsi="宋体"/>
                <w:szCs w:val="21"/>
              </w:rPr>
            </w:pPr>
            <w:r>
              <w:rPr>
                <w:rFonts w:hint="eastAsia" w:ascii="宋体" w:hAnsi="宋体"/>
                <w:szCs w:val="21"/>
              </w:rPr>
              <w:t>一、总部人员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项目主管</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其他人员</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9809" w:type="dxa"/>
            <w:gridSpan w:val="5"/>
            <w:vAlign w:val="center"/>
          </w:tcPr>
          <w:p>
            <w:pPr>
              <w:spacing w:line="400" w:lineRule="exact"/>
              <w:rPr>
                <w:rFonts w:ascii="宋体" w:hAnsi="宋体"/>
                <w:szCs w:val="21"/>
              </w:rPr>
            </w:pPr>
            <w:r>
              <w:rPr>
                <w:rFonts w:hint="eastAsia" w:ascii="宋体" w:hAnsi="宋体"/>
                <w:szCs w:val="21"/>
              </w:rPr>
              <w:t>二、现场人员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项目经理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项目副经理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技术负责人</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造价管理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质量管理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材料管理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计划管理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Align w:val="center"/>
          </w:tcPr>
          <w:p>
            <w:pPr>
              <w:spacing w:line="400" w:lineRule="exact"/>
              <w:jc w:val="center"/>
              <w:rPr>
                <w:rFonts w:ascii="宋体" w:hAnsi="宋体"/>
                <w:szCs w:val="21"/>
              </w:rPr>
            </w:pPr>
            <w:r>
              <w:rPr>
                <w:rFonts w:hint="eastAsia" w:ascii="宋体" w:hAnsi="宋体"/>
                <w:szCs w:val="21"/>
              </w:rPr>
              <w:t>安全管理</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Merge w:val="restart"/>
            <w:vAlign w:val="center"/>
          </w:tcPr>
          <w:p>
            <w:pPr>
              <w:spacing w:line="400" w:lineRule="exact"/>
              <w:jc w:val="center"/>
              <w:rPr>
                <w:rFonts w:ascii="宋体" w:hAnsi="宋体"/>
                <w:szCs w:val="21"/>
              </w:rPr>
            </w:pPr>
            <w:r>
              <w:rPr>
                <w:rFonts w:hint="eastAsia" w:ascii="宋体" w:hAnsi="宋体"/>
                <w:szCs w:val="21"/>
              </w:rPr>
              <w:t>其他人员</w:t>
            </w: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Merge w:val="continue"/>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1871" w:type="dxa"/>
            <w:vMerge w:val="continue"/>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17" w:hRule="atLeast"/>
          <w:jc w:val="center"/>
        </w:trPr>
        <w:tc>
          <w:tcPr>
            <w:tcW w:w="1871" w:type="dxa"/>
            <w:vMerge w:val="continue"/>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10" w:hRule="atLeast"/>
          <w:jc w:val="center"/>
        </w:trPr>
        <w:tc>
          <w:tcPr>
            <w:tcW w:w="1871" w:type="dxa"/>
            <w:vMerge w:val="continue"/>
            <w:vAlign w:val="center"/>
          </w:tcPr>
          <w:p>
            <w:pPr>
              <w:spacing w:line="400" w:lineRule="exact"/>
              <w:ind w:firstLine="420" w:firstLineChars="200"/>
              <w:rPr>
                <w:rFonts w:ascii="宋体" w:hAnsi="宋体"/>
                <w:szCs w:val="21"/>
              </w:rPr>
            </w:pPr>
          </w:p>
        </w:tc>
        <w:tc>
          <w:tcPr>
            <w:tcW w:w="1418"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1134" w:type="dxa"/>
            <w:vAlign w:val="center"/>
          </w:tcPr>
          <w:p>
            <w:pPr>
              <w:spacing w:line="400" w:lineRule="exact"/>
              <w:ind w:firstLine="420" w:firstLineChars="200"/>
              <w:rPr>
                <w:rFonts w:ascii="宋体" w:hAnsi="宋体"/>
                <w:szCs w:val="21"/>
              </w:rPr>
            </w:pPr>
          </w:p>
        </w:tc>
        <w:tc>
          <w:tcPr>
            <w:tcW w:w="4252" w:type="dxa"/>
            <w:vAlign w:val="center"/>
          </w:tcPr>
          <w:p>
            <w:pPr>
              <w:spacing w:line="400" w:lineRule="exact"/>
              <w:ind w:firstLine="420" w:firstLineChars="200"/>
              <w:rPr>
                <w:rFonts w:ascii="宋体" w:hAnsi="宋体"/>
                <w:szCs w:val="21"/>
              </w:rPr>
            </w:pPr>
          </w:p>
        </w:tc>
      </w:tr>
    </w:tbl>
    <w:p>
      <w:pPr>
        <w:spacing w:line="480" w:lineRule="auto"/>
        <w:rPr>
          <w:rFonts w:ascii="宋体" w:hAnsi="宋体"/>
          <w:szCs w:val="21"/>
        </w:rPr>
      </w:pPr>
      <w:r>
        <w:rPr>
          <w:rFonts w:hint="eastAsia" w:ascii="宋体" w:hAnsi="宋体"/>
          <w:szCs w:val="21"/>
        </w:rPr>
        <w:br w:type="page"/>
      </w:r>
      <w:bookmarkStart w:id="1880" w:name="_Toc267261701"/>
      <w:r>
        <w:rPr>
          <w:rFonts w:hint="eastAsia" w:ascii="宋体" w:hAnsi="宋体"/>
          <w:szCs w:val="21"/>
        </w:rPr>
        <w:t>附</w:t>
      </w:r>
      <w:bookmarkStart w:id="1881" w:name="_Toc296346732"/>
      <w:bookmarkStart w:id="1882" w:name="_Toc296347230"/>
      <w:bookmarkStart w:id="1883" w:name="_Toc296891059"/>
      <w:bookmarkStart w:id="1884" w:name="_Toc296503231"/>
      <w:bookmarkStart w:id="1885" w:name="_Toc296944570"/>
      <w:bookmarkStart w:id="1886" w:name="_Toc296891271"/>
      <w:r>
        <w:rPr>
          <w:rFonts w:hint="eastAsia" w:ascii="宋体" w:hAnsi="宋体"/>
          <w:szCs w:val="21"/>
        </w:rPr>
        <w:t>件4：履约担保（如有）</w:t>
      </w:r>
    </w:p>
    <w:bookmarkEnd w:id="1880"/>
    <w:bookmarkEnd w:id="1881"/>
    <w:bookmarkEnd w:id="1882"/>
    <w:bookmarkEnd w:id="1883"/>
    <w:bookmarkEnd w:id="1884"/>
    <w:bookmarkEnd w:id="1885"/>
    <w:bookmarkEnd w:id="1886"/>
    <w:p>
      <w:pPr>
        <w:spacing w:line="360" w:lineRule="auto"/>
        <w:jc w:val="center"/>
        <w:rPr>
          <w:rFonts w:ascii="宋体" w:hAnsi="宋体" w:cs="宋体"/>
          <w:szCs w:val="21"/>
        </w:rPr>
      </w:pPr>
      <w:r>
        <w:rPr>
          <w:rFonts w:hint="eastAsia" w:ascii="宋体" w:hAnsi="宋体" w:cs="宋体"/>
          <w:szCs w:val="21"/>
        </w:rPr>
        <w:t>履约保函示范文本</w:t>
      </w:r>
    </w:p>
    <w:p>
      <w:pPr>
        <w:spacing w:line="360" w:lineRule="auto"/>
        <w:rPr>
          <w:rFonts w:ascii="宋体" w:hAnsi="宋体" w:cs="宋体"/>
          <w:szCs w:val="21"/>
        </w:rPr>
      </w:pPr>
    </w:p>
    <w:p>
      <w:pPr>
        <w:overflowPunct w:val="0"/>
        <w:spacing w:line="580" w:lineRule="exact"/>
        <w:jc w:val="center"/>
        <w:rPr>
          <w:rFonts w:hint="eastAsia" w:ascii="宋体" w:hAnsi="宋体" w:cs="宋体"/>
          <w:i/>
          <w:iCs/>
          <w:szCs w:val="21"/>
        </w:rPr>
      </w:pPr>
      <w:r>
        <w:rPr>
          <w:rFonts w:hint="eastAsia" w:ascii="宋体" w:hAnsi="宋体" w:cs="宋体"/>
          <w:i/>
          <w:iCs/>
          <w:szCs w:val="21"/>
        </w:rPr>
        <w:t>[提示：参照《关于进一步规范工程建设领域工程保函示范文本的通知》（渝公管发〔2022〕26号）进行编制。]</w:t>
      </w: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center"/>
        <w:rPr>
          <w:rFonts w:hint="eastAsia" w:ascii="宋体" w:hAnsi="宋体" w:cs="宋体"/>
          <w:i/>
          <w:iCs/>
          <w:szCs w:val="21"/>
        </w:rPr>
      </w:pPr>
    </w:p>
    <w:p>
      <w:pPr>
        <w:overflowPunct w:val="0"/>
        <w:spacing w:line="580" w:lineRule="exact"/>
        <w:jc w:val="both"/>
        <w:rPr>
          <w:rFonts w:hint="eastAsia" w:ascii="宋体" w:hAnsi="宋体" w:cs="宋体"/>
          <w:i/>
          <w:iCs/>
          <w:szCs w:val="21"/>
        </w:rPr>
      </w:pPr>
    </w:p>
    <w:p>
      <w:pPr>
        <w:overflowPunct w:val="0"/>
        <w:spacing w:line="580" w:lineRule="exact"/>
        <w:jc w:val="both"/>
        <w:rPr>
          <w:rFonts w:hint="eastAsia" w:ascii="宋体" w:hAnsi="宋体" w:cs="宋体"/>
          <w:i/>
          <w:iCs/>
          <w:szCs w:val="21"/>
        </w:rPr>
      </w:pPr>
    </w:p>
    <w:p>
      <w:pPr>
        <w:spacing w:line="360" w:lineRule="auto"/>
        <w:rPr>
          <w:rFonts w:ascii="宋体" w:hAnsi="宋体"/>
          <w:szCs w:val="21"/>
        </w:rPr>
      </w:pPr>
      <w:r>
        <w:rPr>
          <w:rFonts w:hint="eastAsia" w:ascii="宋体" w:hAnsi="宋体"/>
          <w:szCs w:val="21"/>
        </w:rPr>
        <w:t>附</w:t>
      </w:r>
      <w:bookmarkStart w:id="1887" w:name="_Toc296944571"/>
      <w:bookmarkStart w:id="1888" w:name="_Toc296347231"/>
      <w:bookmarkStart w:id="1889" w:name="_Toc267261702"/>
      <w:bookmarkStart w:id="1890" w:name="_Toc296891060"/>
      <w:bookmarkStart w:id="1891" w:name="_Toc296346733"/>
      <w:bookmarkStart w:id="1892" w:name="_Toc296503232"/>
      <w:bookmarkStart w:id="1893" w:name="_Toc296891272"/>
      <w:r>
        <w:rPr>
          <w:rFonts w:hint="eastAsia" w:ascii="宋体" w:hAnsi="宋体"/>
          <w:szCs w:val="21"/>
        </w:rPr>
        <w:t>件</w:t>
      </w:r>
      <w:r>
        <w:rPr>
          <w:rFonts w:ascii="宋体" w:hAnsi="宋体"/>
          <w:szCs w:val="21"/>
        </w:rPr>
        <w:t>5</w:t>
      </w:r>
      <w:r>
        <w:rPr>
          <w:rFonts w:hint="eastAsia" w:ascii="宋体" w:hAnsi="宋体"/>
          <w:szCs w:val="21"/>
        </w:rPr>
        <w:t>：</w:t>
      </w:r>
    </w:p>
    <w:bookmarkEnd w:id="1887"/>
    <w:bookmarkEnd w:id="1888"/>
    <w:bookmarkEnd w:id="1889"/>
    <w:bookmarkEnd w:id="1890"/>
    <w:bookmarkEnd w:id="1891"/>
    <w:bookmarkEnd w:id="1892"/>
    <w:bookmarkEnd w:id="1893"/>
    <w:p>
      <w:pPr>
        <w:spacing w:before="289" w:beforeLines="50" w:after="289" w:afterLines="50" w:line="360" w:lineRule="auto"/>
        <w:jc w:val="center"/>
        <w:rPr>
          <w:rFonts w:ascii="宋体" w:hAnsi="宋体"/>
          <w:szCs w:val="21"/>
        </w:rPr>
      </w:pPr>
      <w:r>
        <w:rPr>
          <w:rFonts w:hint="eastAsia" w:ascii="宋体" w:hAnsi="宋体"/>
          <w:szCs w:val="21"/>
        </w:rPr>
        <w:t>预付款担保（如有）</w:t>
      </w:r>
    </w:p>
    <w:p>
      <w:pPr>
        <w:spacing w:line="360" w:lineRule="auto"/>
        <w:ind w:firstLine="420" w:firstLineChars="200"/>
        <w:rPr>
          <w:rFonts w:ascii="宋体" w:hAnsi="宋体"/>
          <w:szCs w:val="21"/>
        </w:rPr>
      </w:pPr>
      <w:r>
        <w:rPr>
          <w:rFonts w:hint="eastAsia" w:ascii="宋体" w:hAnsi="宋体"/>
          <w:szCs w:val="21"/>
          <w:u w:val="single"/>
        </w:rPr>
        <w:t xml:space="preserve">            </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 xml:space="preserve"> （发包人名称）：</w:t>
      </w:r>
    </w:p>
    <w:p>
      <w:pPr>
        <w:spacing w:line="360" w:lineRule="auto"/>
        <w:ind w:firstLine="420" w:firstLineChars="200"/>
        <w:rPr>
          <w:rFonts w:ascii="宋体" w:hAnsi="宋体"/>
          <w:szCs w:val="21"/>
        </w:rPr>
      </w:pPr>
      <w:r>
        <w:rPr>
          <w:rFonts w:hint="eastAsia" w:ascii="宋体" w:hAnsi="宋体"/>
          <w:szCs w:val="21"/>
        </w:rPr>
        <w:t>根据</w:t>
      </w:r>
      <w:r>
        <w:rPr>
          <w:rFonts w:hint="eastAsia" w:ascii="宋体" w:hAnsi="宋体"/>
          <w:szCs w:val="21"/>
          <w:u w:val="single"/>
        </w:rPr>
        <w:t xml:space="preserve">       </w:t>
      </w:r>
      <w:r>
        <w:rPr>
          <w:rFonts w:hint="eastAsia" w:ascii="宋体" w:hAnsi="宋体"/>
          <w:szCs w:val="21"/>
        </w:rPr>
        <w:t>（承包人名称）（以下称“承包人”）与</w:t>
      </w:r>
      <w:r>
        <w:rPr>
          <w:rFonts w:hint="eastAsia" w:ascii="宋体" w:hAnsi="宋体"/>
          <w:szCs w:val="21"/>
          <w:u w:val="single"/>
        </w:rPr>
        <w:t xml:space="preserve">         </w:t>
      </w:r>
      <w:r>
        <w:rPr>
          <w:rFonts w:hint="eastAsia" w:ascii="宋体" w:hAnsi="宋体"/>
          <w:szCs w:val="21"/>
        </w:rPr>
        <w:t>（发包人名称）（以下简称“发包人”）于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日签订的</w:t>
      </w:r>
      <w:r>
        <w:rPr>
          <w:rFonts w:hint="eastAsia" w:ascii="宋体" w:hAnsi="宋体"/>
          <w:szCs w:val="21"/>
          <w:u w:val="single"/>
        </w:rPr>
        <w:t xml:space="preserve">            </w:t>
      </w:r>
      <w:r>
        <w:rPr>
          <w:rFonts w:hint="eastAsia" w:ascii="宋体" w:hAnsi="宋体"/>
          <w:szCs w:val="21"/>
        </w:rPr>
        <w:t>（工程名称）《建设工程施工合同》，承包人按约定的金额向你方提交一份预付款担保，即有权得到你方支付相等金额的预付款。我方愿意就你方提供给承包人的预付款为承包人提供连带责任担保。</w:t>
      </w:r>
    </w:p>
    <w:p>
      <w:pPr>
        <w:spacing w:line="360" w:lineRule="auto"/>
        <w:ind w:firstLine="420" w:firstLineChars="200"/>
        <w:rPr>
          <w:rFonts w:ascii="宋体" w:hAnsi="宋体"/>
          <w:szCs w:val="21"/>
        </w:rPr>
      </w:pPr>
      <w:r>
        <w:rPr>
          <w:rFonts w:hint="eastAsia" w:ascii="宋体" w:hAnsi="宋体"/>
          <w:szCs w:val="21"/>
        </w:rPr>
        <w:t>1. 担保金额人民币（大写）</w:t>
      </w:r>
      <w:r>
        <w:rPr>
          <w:rFonts w:hint="eastAsia" w:ascii="宋体" w:hAnsi="宋体"/>
          <w:szCs w:val="21"/>
          <w:u w:val="single"/>
        </w:rPr>
        <w:t xml:space="preserve">        </w:t>
      </w:r>
      <w:r>
        <w:rPr>
          <w:rFonts w:hint="eastAsia" w:ascii="宋体" w:hAnsi="宋体"/>
          <w:szCs w:val="21"/>
        </w:rPr>
        <w:t>元（¥</w:t>
      </w:r>
      <w:r>
        <w:rPr>
          <w:rFonts w:hint="eastAsia" w:ascii="宋体" w:hAnsi="宋体"/>
          <w:szCs w:val="21"/>
          <w:u w:val="single"/>
        </w:rPr>
        <w:t xml:space="preserve">        </w:t>
      </w:r>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2. 担保有效期自预付款支付给承包人起生效，至你方签发的进度款支付证书说明已完全扣清止。</w:t>
      </w:r>
    </w:p>
    <w:p>
      <w:pPr>
        <w:spacing w:line="360" w:lineRule="auto"/>
        <w:ind w:firstLine="420" w:firstLineChars="200"/>
        <w:rPr>
          <w:rFonts w:ascii="宋体" w:hAnsi="宋体"/>
          <w:szCs w:val="21"/>
        </w:rPr>
      </w:pPr>
      <w:r>
        <w:rPr>
          <w:rFonts w:hint="eastAsia" w:ascii="宋体" w:hAnsi="宋体"/>
          <w:szCs w:val="21"/>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pPr>
        <w:spacing w:line="360" w:lineRule="auto"/>
        <w:ind w:firstLine="420" w:firstLineChars="200"/>
        <w:rPr>
          <w:rFonts w:ascii="宋体" w:hAnsi="宋体"/>
          <w:szCs w:val="21"/>
        </w:rPr>
      </w:pPr>
      <w:r>
        <w:rPr>
          <w:rFonts w:hint="eastAsia" w:ascii="宋体" w:hAnsi="宋体"/>
          <w:szCs w:val="21"/>
        </w:rPr>
        <w:t>4. 你方和承包人按合同约定变更合同时，我方承担本保函规定的义务不变。</w:t>
      </w:r>
    </w:p>
    <w:p>
      <w:pPr>
        <w:spacing w:line="360" w:lineRule="auto"/>
        <w:ind w:firstLine="420" w:firstLineChars="200"/>
        <w:rPr>
          <w:rFonts w:ascii="宋体" w:hAnsi="宋体"/>
          <w:szCs w:val="21"/>
        </w:rPr>
      </w:pPr>
      <w:r>
        <w:rPr>
          <w:rFonts w:hint="eastAsia" w:ascii="宋体" w:hAnsi="宋体"/>
          <w:szCs w:val="21"/>
        </w:rPr>
        <w:t>5. 因本保函发生的纠纷，可由双方协商解决，协商不成的，按下列第</w:t>
      </w:r>
      <w:r>
        <w:rPr>
          <w:rFonts w:hint="eastAsia" w:ascii="宋体" w:hAnsi="宋体"/>
          <w:szCs w:val="21"/>
          <w:u w:val="single"/>
        </w:rPr>
        <w:t xml:space="preserve">    </w:t>
      </w:r>
      <w:r>
        <w:rPr>
          <w:rFonts w:hint="eastAsia" w:ascii="宋体" w:hAnsi="宋体"/>
          <w:szCs w:val="21"/>
        </w:rPr>
        <w:t>种方式解决：</w:t>
      </w:r>
    </w:p>
    <w:p>
      <w:pPr>
        <w:spacing w:line="360" w:lineRule="auto"/>
        <w:ind w:firstLine="420" w:firstLineChars="200"/>
        <w:rPr>
          <w:rFonts w:ascii="宋体" w:hAnsi="宋体"/>
          <w:szCs w:val="21"/>
        </w:rPr>
      </w:pPr>
      <w:r>
        <w:rPr>
          <w:rFonts w:hint="eastAsia" w:ascii="宋体" w:hAnsi="宋体"/>
          <w:szCs w:val="21"/>
        </w:rPr>
        <w:t>（1）向</w:t>
      </w:r>
      <w:r>
        <w:rPr>
          <w:rFonts w:hint="eastAsia" w:ascii="宋体" w:hAnsi="宋体"/>
          <w:szCs w:val="21"/>
          <w:u w:val="single"/>
        </w:rPr>
        <w:t xml:space="preserve">                     </w:t>
      </w:r>
      <w:r>
        <w:rPr>
          <w:rFonts w:hint="eastAsia" w:ascii="宋体" w:hAnsi="宋体"/>
          <w:szCs w:val="21"/>
        </w:rPr>
        <w:t>仲裁委员会申请仲裁；</w:t>
      </w:r>
    </w:p>
    <w:p>
      <w:pPr>
        <w:spacing w:line="360" w:lineRule="auto"/>
        <w:ind w:firstLine="420" w:firstLineChars="200"/>
        <w:rPr>
          <w:rFonts w:ascii="宋体" w:hAnsi="宋体"/>
          <w:szCs w:val="21"/>
        </w:rPr>
      </w:pPr>
      <w:r>
        <w:rPr>
          <w:rFonts w:hint="eastAsia" w:ascii="宋体" w:hAnsi="宋体"/>
          <w:szCs w:val="21"/>
        </w:rPr>
        <w:t>（2）向</w:t>
      </w:r>
      <w:r>
        <w:rPr>
          <w:rFonts w:hint="eastAsia" w:ascii="宋体" w:hAnsi="宋体"/>
          <w:szCs w:val="21"/>
          <w:u w:val="single"/>
        </w:rPr>
        <w:t xml:space="preserve">                     </w:t>
      </w:r>
      <w:r>
        <w:rPr>
          <w:rFonts w:hint="eastAsia" w:ascii="宋体" w:hAnsi="宋体"/>
          <w:szCs w:val="21"/>
        </w:rPr>
        <w:t>人民法院起诉。</w:t>
      </w:r>
    </w:p>
    <w:p>
      <w:pPr>
        <w:spacing w:line="360" w:lineRule="auto"/>
        <w:ind w:firstLine="420" w:firstLineChars="200"/>
        <w:rPr>
          <w:rFonts w:ascii="宋体" w:hAnsi="宋体"/>
          <w:szCs w:val="21"/>
        </w:rPr>
      </w:pPr>
      <w:r>
        <w:rPr>
          <w:rFonts w:hint="eastAsia" w:ascii="宋体" w:hAnsi="宋体"/>
          <w:szCs w:val="21"/>
        </w:rPr>
        <w:t>6. 本保函自我方法定代表人（或其委托代理人）签名并加盖单位公章之日起生效。</w:t>
      </w:r>
    </w:p>
    <w:p>
      <w:pPr>
        <w:pStyle w:val="2"/>
        <w:spacing w:line="360" w:lineRule="auto"/>
        <w:ind w:firstLine="420" w:firstLineChars="200"/>
        <w:rPr>
          <w:rFonts w:ascii="宋体" w:hAnsi="宋体"/>
          <w:szCs w:val="21"/>
        </w:rPr>
      </w:pPr>
    </w:p>
    <w:p>
      <w:pPr>
        <w:spacing w:line="360" w:lineRule="auto"/>
        <w:ind w:firstLine="420" w:firstLineChars="200"/>
        <w:rPr>
          <w:rFonts w:ascii="宋体" w:hAnsi="宋体"/>
          <w:szCs w:val="21"/>
        </w:rPr>
      </w:pPr>
      <w:r>
        <w:rPr>
          <w:rFonts w:hint="eastAsia" w:ascii="宋体" w:hAnsi="宋体"/>
          <w:szCs w:val="21"/>
        </w:rPr>
        <w:t>担保人：</w:t>
      </w:r>
      <w:r>
        <w:rPr>
          <w:rFonts w:hint="eastAsia" w:ascii="宋体" w:hAnsi="宋体"/>
          <w:szCs w:val="21"/>
          <w:u w:val="single"/>
        </w:rPr>
        <w:t xml:space="preserve">                           </w:t>
      </w:r>
      <w:r>
        <w:rPr>
          <w:rFonts w:hint="eastAsia" w:ascii="宋体" w:hAnsi="宋体"/>
          <w:szCs w:val="21"/>
        </w:rPr>
        <w:t>（盖单位公章）</w:t>
      </w:r>
    </w:p>
    <w:p>
      <w:pPr>
        <w:spacing w:line="360" w:lineRule="auto"/>
        <w:ind w:firstLine="420" w:firstLineChars="200"/>
        <w:rPr>
          <w:rFonts w:ascii="宋体" w:hAnsi="宋体"/>
          <w:szCs w:val="21"/>
        </w:rPr>
      </w:pPr>
      <w:r>
        <w:rPr>
          <w:rFonts w:hint="eastAsia" w:ascii="宋体" w:hAnsi="宋体"/>
          <w:szCs w:val="21"/>
        </w:rPr>
        <w:t>法定代表人或其委托代理人：</w:t>
      </w:r>
      <w:r>
        <w:rPr>
          <w:rFonts w:hint="eastAsia" w:ascii="宋体" w:hAnsi="宋体"/>
          <w:szCs w:val="21"/>
          <w:u w:val="single"/>
        </w:rPr>
        <w:t xml:space="preserve">          </w:t>
      </w:r>
      <w:r>
        <w:rPr>
          <w:rFonts w:hint="eastAsia" w:ascii="宋体" w:hAnsi="宋体"/>
          <w:szCs w:val="21"/>
        </w:rPr>
        <w:t>（签名）</w:t>
      </w:r>
    </w:p>
    <w:p>
      <w:pPr>
        <w:spacing w:line="360" w:lineRule="auto"/>
        <w:ind w:firstLine="420" w:firstLineChars="200"/>
        <w:rPr>
          <w:rFonts w:ascii="宋体" w:hAnsi="宋体"/>
          <w:szCs w:val="21"/>
        </w:rPr>
      </w:pPr>
      <w:r>
        <w:rPr>
          <w:rFonts w:hint="eastAsia" w:ascii="宋体" w:hAnsi="宋体"/>
          <w:szCs w:val="21"/>
        </w:rPr>
        <w:t>地    址：</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p>
    <w:p>
      <w:pPr>
        <w:spacing w:line="360" w:lineRule="auto"/>
        <w:ind w:firstLine="420" w:firstLineChars="200"/>
        <w:rPr>
          <w:rFonts w:ascii="宋体" w:hAnsi="宋体"/>
          <w:szCs w:val="21"/>
          <w:u w:val="single"/>
        </w:rPr>
      </w:pPr>
      <w:r>
        <w:rPr>
          <w:rFonts w:hint="eastAsia" w:ascii="宋体" w:hAnsi="宋体"/>
          <w:szCs w:val="21"/>
        </w:rPr>
        <w:t>邮政编码：</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p>
    <w:p>
      <w:pPr>
        <w:spacing w:line="360" w:lineRule="auto"/>
        <w:ind w:firstLine="420" w:firstLineChars="200"/>
        <w:rPr>
          <w:rFonts w:ascii="宋体" w:hAnsi="宋体"/>
          <w:szCs w:val="21"/>
          <w:u w:val="single"/>
        </w:rPr>
      </w:pPr>
      <w:r>
        <w:rPr>
          <w:rFonts w:hint="eastAsia" w:ascii="宋体" w:hAnsi="宋体"/>
          <w:szCs w:val="21"/>
        </w:rPr>
        <w:t>电    话：</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p>
    <w:p>
      <w:pPr>
        <w:spacing w:line="360" w:lineRule="auto"/>
        <w:ind w:firstLine="420" w:firstLineChars="200"/>
        <w:rPr>
          <w:rFonts w:ascii="宋体" w:hAnsi="宋体"/>
          <w:szCs w:val="21"/>
          <w:u w:val="single"/>
        </w:rPr>
      </w:pPr>
      <w:r>
        <w:rPr>
          <w:rFonts w:hint="eastAsia" w:ascii="宋体" w:hAnsi="宋体"/>
          <w:szCs w:val="21"/>
        </w:rPr>
        <w:t>传    真：</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p>
    <w:p>
      <w:pPr>
        <w:spacing w:line="360" w:lineRule="auto"/>
        <w:ind w:firstLine="420" w:firstLineChars="200"/>
        <w:rPr>
          <w:rFonts w:ascii="宋体" w:hAnsi="宋体"/>
          <w:szCs w:val="21"/>
          <w:u w:val="single"/>
        </w:rPr>
      </w:pPr>
    </w:p>
    <w:p>
      <w:pPr>
        <w:spacing w:line="360" w:lineRule="auto"/>
        <w:ind w:firstLine="420" w:firstLineChars="200"/>
        <w:jc w:val="right"/>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480" w:lineRule="auto"/>
        <w:rPr>
          <w:rFonts w:ascii="宋体" w:hAnsi="宋体"/>
          <w:szCs w:val="21"/>
        </w:rPr>
      </w:pPr>
      <w:r>
        <w:rPr>
          <w:rFonts w:hint="eastAsia" w:ascii="宋体" w:hAnsi="宋体"/>
          <w:szCs w:val="21"/>
        </w:rPr>
        <w:br w:type="page"/>
      </w:r>
      <w:r>
        <w:rPr>
          <w:rFonts w:hint="eastAsia" w:ascii="宋体" w:hAnsi="宋体"/>
          <w:szCs w:val="21"/>
        </w:rPr>
        <w:t>附</w:t>
      </w:r>
      <w:bookmarkStart w:id="1894" w:name="_Toc296346734"/>
      <w:bookmarkStart w:id="1895" w:name="_Toc296503233"/>
      <w:bookmarkStart w:id="1896" w:name="_Toc296944572"/>
      <w:bookmarkStart w:id="1897" w:name="_Toc296891061"/>
      <w:bookmarkStart w:id="1898" w:name="_Toc296891273"/>
      <w:bookmarkStart w:id="1899" w:name="_Toc296347232"/>
      <w:r>
        <w:rPr>
          <w:rFonts w:hint="eastAsia" w:ascii="宋体" w:hAnsi="宋体"/>
          <w:szCs w:val="21"/>
        </w:rPr>
        <w:t>件</w:t>
      </w:r>
      <w:r>
        <w:rPr>
          <w:rFonts w:ascii="宋体" w:hAnsi="宋体"/>
          <w:szCs w:val="21"/>
        </w:rPr>
        <w:t>6</w:t>
      </w:r>
      <w:r>
        <w:rPr>
          <w:rFonts w:hint="eastAsia" w:ascii="宋体" w:hAnsi="宋体"/>
          <w:szCs w:val="21"/>
        </w:rPr>
        <w:t>：</w:t>
      </w:r>
    </w:p>
    <w:bookmarkEnd w:id="1894"/>
    <w:bookmarkEnd w:id="1895"/>
    <w:bookmarkEnd w:id="1896"/>
    <w:bookmarkEnd w:id="1897"/>
    <w:bookmarkEnd w:id="1898"/>
    <w:bookmarkEnd w:id="1899"/>
    <w:p>
      <w:pPr>
        <w:spacing w:line="360" w:lineRule="auto"/>
        <w:ind w:firstLine="420" w:firstLineChars="200"/>
        <w:jc w:val="center"/>
        <w:rPr>
          <w:rFonts w:ascii="宋体" w:hAnsi="宋体"/>
          <w:szCs w:val="21"/>
        </w:rPr>
      </w:pPr>
      <w:r>
        <w:rPr>
          <w:rFonts w:hint="eastAsia" w:ascii="宋体" w:hAnsi="宋体"/>
          <w:szCs w:val="21"/>
        </w:rPr>
        <w:t>支付担保（如有）</w:t>
      </w:r>
    </w:p>
    <w:p>
      <w:pPr>
        <w:spacing w:line="360" w:lineRule="auto"/>
        <w:ind w:firstLine="420" w:firstLineChars="200"/>
        <w:rPr>
          <w:rFonts w:ascii="宋体" w:hAnsi="宋体"/>
          <w:szCs w:val="21"/>
        </w:rPr>
      </w:pPr>
      <w:r>
        <w:rPr>
          <w:rFonts w:hint="eastAsia" w:ascii="宋体" w:hAnsi="宋体"/>
          <w:szCs w:val="21"/>
          <w:u w:val="single"/>
        </w:rPr>
        <w:t xml:space="preserve">             </w:t>
      </w:r>
      <w:r>
        <w:rPr>
          <w:rFonts w:hint="eastAsia" w:ascii="宋体" w:hAnsi="宋体"/>
          <w:szCs w:val="21"/>
        </w:rPr>
        <w:t>（承包人）：</w:t>
      </w:r>
    </w:p>
    <w:p>
      <w:pPr>
        <w:spacing w:line="360" w:lineRule="auto"/>
        <w:ind w:firstLine="420" w:firstLineChars="200"/>
        <w:rPr>
          <w:rFonts w:ascii="宋体" w:hAnsi="宋体"/>
          <w:szCs w:val="21"/>
        </w:rPr>
      </w:pPr>
      <w:r>
        <w:rPr>
          <w:rFonts w:hint="eastAsia" w:ascii="宋体" w:hAnsi="宋体"/>
          <w:szCs w:val="21"/>
        </w:rPr>
        <w:t xml:space="preserve">鉴于你方作为承包人已经与 </w:t>
      </w:r>
      <w:r>
        <w:rPr>
          <w:rFonts w:hint="eastAsia" w:ascii="宋体" w:hAnsi="宋体"/>
          <w:szCs w:val="21"/>
          <w:u w:val="single"/>
        </w:rPr>
        <w:t xml:space="preserve">            </w:t>
      </w:r>
      <w:r>
        <w:rPr>
          <w:rFonts w:hint="eastAsia" w:ascii="宋体" w:hAnsi="宋体"/>
          <w:szCs w:val="21"/>
        </w:rPr>
        <w:t>（发包人名称）（以下称“发包人”）于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日签订了</w:t>
      </w:r>
      <w:r>
        <w:rPr>
          <w:rFonts w:hint="eastAsia" w:ascii="宋体" w:hAnsi="宋体"/>
          <w:szCs w:val="21"/>
          <w:u w:val="single"/>
        </w:rPr>
        <w:t xml:space="preserve">             </w:t>
      </w:r>
      <w:r>
        <w:rPr>
          <w:rFonts w:hint="eastAsia" w:ascii="宋体" w:hAnsi="宋体"/>
          <w:szCs w:val="21"/>
        </w:rPr>
        <w:t>（工程名称）《建设工程施工合同》（以下称“主合同”），应发包人的申请，我方愿就发包人履行主合同约定的工程款支付义务以保证的方式向你方提供如下担保：</w:t>
      </w:r>
    </w:p>
    <w:p>
      <w:pPr>
        <w:spacing w:line="360" w:lineRule="auto"/>
        <w:ind w:firstLine="420" w:firstLineChars="200"/>
        <w:rPr>
          <w:rFonts w:ascii="宋体" w:hAnsi="宋体"/>
          <w:szCs w:val="21"/>
        </w:rPr>
      </w:pPr>
      <w:bookmarkStart w:id="1900" w:name="_Toc532375692"/>
      <w:r>
        <w:rPr>
          <w:rFonts w:hint="eastAsia" w:ascii="宋体" w:hAnsi="宋体"/>
          <w:szCs w:val="21"/>
        </w:rPr>
        <w:t>一、保证的范围及保证金额</w:t>
      </w:r>
      <w:bookmarkEnd w:id="1900"/>
    </w:p>
    <w:p>
      <w:pPr>
        <w:spacing w:line="360" w:lineRule="auto"/>
        <w:ind w:firstLine="420" w:firstLineChars="200"/>
        <w:rPr>
          <w:rFonts w:ascii="宋体" w:hAnsi="宋体"/>
          <w:szCs w:val="21"/>
        </w:rPr>
      </w:pPr>
      <w:r>
        <w:rPr>
          <w:rFonts w:hint="eastAsia" w:ascii="宋体" w:hAnsi="宋体"/>
          <w:szCs w:val="21"/>
        </w:rPr>
        <w:t>1. 我方的保证范围是主合同约定的工程款。</w:t>
      </w:r>
    </w:p>
    <w:p>
      <w:pPr>
        <w:spacing w:line="360" w:lineRule="auto"/>
        <w:ind w:firstLine="420" w:firstLineChars="200"/>
        <w:rPr>
          <w:rFonts w:ascii="宋体" w:hAnsi="宋体"/>
          <w:szCs w:val="21"/>
        </w:rPr>
      </w:pPr>
      <w:r>
        <w:rPr>
          <w:rFonts w:hint="eastAsia" w:ascii="宋体" w:hAnsi="宋体"/>
          <w:szCs w:val="21"/>
        </w:rPr>
        <w:t>2. 本保函所称主合同约定的工程款是指主合同约定的除工程质量保证金以外的合同价款。</w:t>
      </w:r>
    </w:p>
    <w:p>
      <w:pPr>
        <w:spacing w:line="360" w:lineRule="auto"/>
        <w:ind w:firstLine="420" w:firstLineChars="200"/>
        <w:rPr>
          <w:rFonts w:ascii="宋体" w:hAnsi="宋体"/>
          <w:szCs w:val="21"/>
        </w:rPr>
      </w:pPr>
      <w:r>
        <w:rPr>
          <w:rFonts w:hint="eastAsia" w:ascii="宋体" w:hAnsi="宋体"/>
          <w:szCs w:val="21"/>
        </w:rPr>
        <w:t>3. 我方保证的金额是主合同约定的工程款的</w:t>
      </w:r>
      <w:r>
        <w:rPr>
          <w:rFonts w:hint="eastAsia" w:ascii="宋体" w:hAnsi="宋体"/>
          <w:szCs w:val="21"/>
          <w:u w:val="single"/>
        </w:rPr>
        <w:t xml:space="preserve">      </w:t>
      </w:r>
      <w:r>
        <w:rPr>
          <w:rFonts w:hint="eastAsia" w:ascii="宋体" w:hAnsi="宋体"/>
          <w:szCs w:val="21"/>
        </w:rPr>
        <w:t xml:space="preserve"> %，数额最高不超过人民币元（大写：</w:t>
      </w:r>
      <w:r>
        <w:rPr>
          <w:rFonts w:hint="eastAsia" w:ascii="宋体" w:hAnsi="宋体"/>
          <w:szCs w:val="21"/>
          <w:u w:val="single"/>
        </w:rPr>
        <w:t xml:space="preserve">      </w:t>
      </w:r>
      <w:r>
        <w:rPr>
          <w:rFonts w:hint="eastAsia" w:ascii="宋体" w:hAnsi="宋体"/>
          <w:szCs w:val="21"/>
        </w:rPr>
        <w:t>）。</w:t>
      </w:r>
    </w:p>
    <w:p>
      <w:pPr>
        <w:spacing w:line="360" w:lineRule="auto"/>
        <w:ind w:firstLine="420" w:firstLineChars="200"/>
        <w:rPr>
          <w:rFonts w:ascii="宋体" w:hAnsi="宋体"/>
          <w:szCs w:val="21"/>
        </w:rPr>
      </w:pPr>
      <w:bookmarkStart w:id="1901" w:name="_Toc532375693"/>
      <w:r>
        <w:rPr>
          <w:rFonts w:hint="eastAsia" w:ascii="宋体" w:hAnsi="宋体"/>
          <w:szCs w:val="21"/>
        </w:rPr>
        <w:t>二、保证的方式及保证期间</w:t>
      </w:r>
      <w:bookmarkEnd w:id="1901"/>
    </w:p>
    <w:p>
      <w:pPr>
        <w:spacing w:line="360" w:lineRule="auto"/>
        <w:ind w:firstLine="420" w:firstLineChars="200"/>
        <w:rPr>
          <w:rFonts w:ascii="宋体" w:hAnsi="宋体"/>
          <w:szCs w:val="21"/>
        </w:rPr>
      </w:pPr>
      <w:r>
        <w:rPr>
          <w:rFonts w:hint="eastAsia" w:ascii="宋体" w:hAnsi="宋体"/>
          <w:szCs w:val="21"/>
        </w:rPr>
        <w:t>1. 我方保证的方式为：连带责任保证。</w:t>
      </w:r>
    </w:p>
    <w:p>
      <w:pPr>
        <w:spacing w:line="360" w:lineRule="auto"/>
        <w:ind w:firstLine="420" w:firstLineChars="200"/>
        <w:rPr>
          <w:rFonts w:ascii="宋体" w:hAnsi="宋体"/>
          <w:szCs w:val="21"/>
        </w:rPr>
      </w:pPr>
      <w:r>
        <w:rPr>
          <w:rFonts w:hint="eastAsia" w:ascii="宋体" w:hAnsi="宋体"/>
          <w:szCs w:val="21"/>
        </w:rPr>
        <w:t>2. 我方保证的期间为：自合同生效之日起至主合同约定的工程款支付完毕之日后</w:t>
      </w:r>
      <w:r>
        <w:rPr>
          <w:rFonts w:hint="eastAsia" w:ascii="宋体" w:hAnsi="宋体"/>
          <w:szCs w:val="21"/>
          <w:u w:val="single"/>
        </w:rPr>
        <w:t xml:space="preserve">    </w:t>
      </w:r>
      <w:r>
        <w:rPr>
          <w:rFonts w:hint="eastAsia" w:ascii="宋体" w:hAnsi="宋体"/>
          <w:szCs w:val="21"/>
        </w:rPr>
        <w:t>日内。</w:t>
      </w:r>
    </w:p>
    <w:p>
      <w:pPr>
        <w:spacing w:line="360" w:lineRule="auto"/>
        <w:ind w:firstLine="420" w:firstLineChars="200"/>
        <w:rPr>
          <w:rFonts w:ascii="宋体" w:hAnsi="宋体"/>
          <w:szCs w:val="21"/>
        </w:rPr>
      </w:pPr>
      <w:r>
        <w:rPr>
          <w:rFonts w:hint="eastAsia" w:ascii="宋体" w:hAnsi="宋体"/>
          <w:szCs w:val="21"/>
        </w:rPr>
        <w:t>3. 你方与发包人协议变更工程款支付日期的，经我方书面同意后，保证期间按照变更后的支付日期做相应调整。</w:t>
      </w:r>
    </w:p>
    <w:p>
      <w:pPr>
        <w:spacing w:line="360" w:lineRule="auto"/>
        <w:ind w:firstLine="420" w:firstLineChars="200"/>
        <w:rPr>
          <w:rFonts w:ascii="宋体" w:hAnsi="宋体"/>
          <w:szCs w:val="21"/>
        </w:rPr>
      </w:pPr>
      <w:bookmarkStart w:id="1902" w:name="_Toc532375694"/>
      <w:r>
        <w:rPr>
          <w:rFonts w:hint="eastAsia" w:ascii="宋体" w:hAnsi="宋体"/>
          <w:szCs w:val="21"/>
        </w:rPr>
        <w:t>三、承担保证责任的形式</w:t>
      </w:r>
      <w:bookmarkEnd w:id="1902"/>
    </w:p>
    <w:p>
      <w:pPr>
        <w:spacing w:line="360" w:lineRule="auto"/>
        <w:ind w:firstLine="420" w:firstLineChars="200"/>
        <w:rPr>
          <w:rFonts w:ascii="宋体" w:hAnsi="宋体"/>
          <w:szCs w:val="21"/>
        </w:rPr>
      </w:pPr>
      <w:r>
        <w:rPr>
          <w:rFonts w:hint="eastAsia" w:ascii="宋体" w:hAnsi="宋体"/>
          <w:szCs w:val="21"/>
        </w:rPr>
        <w:t>我方承担保证责任的形式是代为支付。发包人未按主合同约定向你方支付工程款的，由我方在保证金额内代为支付。</w:t>
      </w:r>
    </w:p>
    <w:p>
      <w:pPr>
        <w:spacing w:line="360" w:lineRule="auto"/>
        <w:ind w:firstLine="420" w:firstLineChars="200"/>
        <w:rPr>
          <w:rFonts w:ascii="宋体" w:hAnsi="宋体"/>
          <w:szCs w:val="21"/>
        </w:rPr>
      </w:pPr>
      <w:bookmarkStart w:id="1903" w:name="_Toc532375695"/>
      <w:r>
        <w:rPr>
          <w:rFonts w:hint="eastAsia" w:ascii="宋体" w:hAnsi="宋体"/>
          <w:szCs w:val="21"/>
        </w:rPr>
        <w:t>四、代偿的安排</w:t>
      </w:r>
      <w:bookmarkEnd w:id="1903"/>
    </w:p>
    <w:p>
      <w:pPr>
        <w:spacing w:line="360" w:lineRule="auto"/>
        <w:ind w:firstLine="420" w:firstLineChars="200"/>
        <w:rPr>
          <w:rFonts w:ascii="宋体" w:hAnsi="宋体"/>
          <w:szCs w:val="21"/>
        </w:rPr>
      </w:pPr>
      <w:r>
        <w:rPr>
          <w:rFonts w:hint="eastAsia" w:ascii="宋体" w:hAnsi="宋体"/>
          <w:szCs w:val="21"/>
        </w:rPr>
        <w:t>1. 你方要求我方承担保证责任的，应向我方发出书面索赔通知及发包人未支付主合同约定工程款的证明材料。索赔通知应写明要求索赔的金额，支付款项应到达的账号。</w:t>
      </w:r>
    </w:p>
    <w:p>
      <w:pPr>
        <w:spacing w:line="360" w:lineRule="auto"/>
        <w:ind w:firstLine="420" w:firstLineChars="200"/>
        <w:rPr>
          <w:rFonts w:ascii="宋体" w:hAnsi="宋体"/>
          <w:szCs w:val="21"/>
        </w:rPr>
      </w:pPr>
      <w:r>
        <w:rPr>
          <w:rFonts w:hint="eastAsia" w:ascii="宋体" w:hAnsi="宋体"/>
          <w:szCs w:val="21"/>
        </w:rPr>
        <w:t>2. 在出现你方与发包人因工程质量发生争议，发包人拒绝向你方支付工程款的情形时，你方要求我方履行保证责任代为支付的，需提供符合相应条件要求的工程质量检测机构出具的质量说明材料。</w:t>
      </w:r>
    </w:p>
    <w:p>
      <w:pPr>
        <w:spacing w:line="360" w:lineRule="auto"/>
        <w:ind w:firstLine="420" w:firstLineChars="200"/>
        <w:rPr>
          <w:rFonts w:ascii="宋体" w:hAnsi="宋体"/>
          <w:szCs w:val="21"/>
        </w:rPr>
      </w:pPr>
      <w:r>
        <w:rPr>
          <w:rFonts w:hint="eastAsia" w:ascii="宋体" w:hAnsi="宋体"/>
          <w:szCs w:val="21"/>
        </w:rPr>
        <w:t>3. 我方收到你方的书面索赔通知及相应的证明材料后７天内无条件支付。</w:t>
      </w:r>
    </w:p>
    <w:p>
      <w:pPr>
        <w:spacing w:line="360" w:lineRule="auto"/>
        <w:ind w:firstLine="420" w:firstLineChars="200"/>
        <w:rPr>
          <w:rFonts w:ascii="宋体" w:hAnsi="宋体"/>
          <w:szCs w:val="21"/>
        </w:rPr>
      </w:pPr>
      <w:bookmarkStart w:id="1904" w:name="_Toc532375696"/>
      <w:r>
        <w:rPr>
          <w:rFonts w:hint="eastAsia" w:ascii="宋体" w:hAnsi="宋体"/>
          <w:szCs w:val="21"/>
        </w:rPr>
        <w:t>五、保证责任的解除</w:t>
      </w:r>
      <w:bookmarkEnd w:id="1904"/>
    </w:p>
    <w:p>
      <w:pPr>
        <w:spacing w:line="360" w:lineRule="auto"/>
        <w:ind w:firstLine="420" w:firstLineChars="200"/>
        <w:rPr>
          <w:rFonts w:ascii="宋体" w:hAnsi="宋体"/>
          <w:szCs w:val="21"/>
        </w:rPr>
      </w:pPr>
      <w:r>
        <w:rPr>
          <w:rFonts w:hint="eastAsia" w:ascii="宋体" w:hAnsi="宋体"/>
          <w:szCs w:val="21"/>
        </w:rPr>
        <w:t>1. 在本保函承诺的保证期间内，你方未书面向我方主张保证责任的，自保证期间届满次日起，我方保证责任解除。</w:t>
      </w:r>
    </w:p>
    <w:p>
      <w:pPr>
        <w:spacing w:line="360" w:lineRule="auto"/>
        <w:ind w:firstLine="420" w:firstLineChars="200"/>
        <w:rPr>
          <w:rFonts w:ascii="宋体" w:hAnsi="宋体"/>
          <w:szCs w:val="21"/>
        </w:rPr>
      </w:pPr>
      <w:r>
        <w:rPr>
          <w:rFonts w:hint="eastAsia" w:ascii="宋体" w:hAnsi="宋体"/>
          <w:szCs w:val="21"/>
        </w:rPr>
        <w:t>2. 发包人按主合同约定履行了工程款的全部支付义务的，自本保函承诺的保证期间届满次日起，我方保证责任解除。</w:t>
      </w:r>
    </w:p>
    <w:p>
      <w:pPr>
        <w:spacing w:line="360" w:lineRule="auto"/>
        <w:ind w:firstLine="420" w:firstLineChars="200"/>
        <w:rPr>
          <w:rFonts w:ascii="宋体" w:hAnsi="宋体"/>
          <w:szCs w:val="21"/>
        </w:rPr>
      </w:pPr>
      <w:r>
        <w:rPr>
          <w:rFonts w:hint="eastAsia" w:ascii="宋体" w:hAnsi="宋体"/>
          <w:szCs w:val="21"/>
        </w:rPr>
        <w:t>3. 我方按照本保函向你方履行保证责任所支付金额达到本保函保证金额时，自我方向你方支付（支付款项从我方账户划出）之日起，保证责任即解除。</w:t>
      </w:r>
    </w:p>
    <w:p>
      <w:pPr>
        <w:spacing w:line="360" w:lineRule="auto"/>
        <w:ind w:firstLine="420" w:firstLineChars="200"/>
        <w:rPr>
          <w:rFonts w:ascii="宋体" w:hAnsi="宋体"/>
          <w:szCs w:val="21"/>
        </w:rPr>
      </w:pPr>
      <w:r>
        <w:rPr>
          <w:rFonts w:hint="eastAsia" w:ascii="宋体" w:hAnsi="宋体"/>
          <w:szCs w:val="21"/>
        </w:rPr>
        <w:t>4. 按照法律法规的规定或出现应解除我方保证责任的其他情形的，我方在本保函项下的保证责任亦解除。</w:t>
      </w:r>
    </w:p>
    <w:p>
      <w:pPr>
        <w:spacing w:line="360" w:lineRule="auto"/>
        <w:ind w:firstLine="420" w:firstLineChars="200"/>
        <w:rPr>
          <w:rFonts w:ascii="宋体" w:hAnsi="宋体"/>
          <w:szCs w:val="21"/>
        </w:rPr>
      </w:pPr>
      <w:r>
        <w:rPr>
          <w:rFonts w:hint="eastAsia" w:ascii="宋体" w:hAnsi="宋体"/>
          <w:szCs w:val="21"/>
        </w:rPr>
        <w:t>5. 我方解除保证责任后，你方应自我方保证责任解除之日起  个工作日内，将本保函原件返还我方。</w:t>
      </w:r>
    </w:p>
    <w:p>
      <w:pPr>
        <w:spacing w:line="360" w:lineRule="auto"/>
        <w:ind w:firstLine="420" w:firstLineChars="200"/>
        <w:rPr>
          <w:rFonts w:ascii="宋体" w:hAnsi="宋体"/>
          <w:szCs w:val="21"/>
        </w:rPr>
      </w:pPr>
      <w:bookmarkStart w:id="1905" w:name="_Toc532375697"/>
      <w:r>
        <w:rPr>
          <w:rFonts w:hint="eastAsia" w:ascii="宋体" w:hAnsi="宋体"/>
          <w:szCs w:val="21"/>
        </w:rPr>
        <w:t>六、免责条款</w:t>
      </w:r>
      <w:bookmarkEnd w:id="1905"/>
    </w:p>
    <w:p>
      <w:pPr>
        <w:spacing w:line="360" w:lineRule="auto"/>
        <w:ind w:firstLine="420" w:firstLineChars="200"/>
        <w:rPr>
          <w:rFonts w:ascii="宋体" w:hAnsi="宋体"/>
          <w:szCs w:val="21"/>
        </w:rPr>
      </w:pPr>
      <w:r>
        <w:rPr>
          <w:rFonts w:hint="eastAsia" w:ascii="宋体" w:hAnsi="宋体"/>
          <w:szCs w:val="21"/>
        </w:rPr>
        <w:t>1. 因你方违约致使发包人不能履行义务的，我方不承担保证责任。</w:t>
      </w:r>
    </w:p>
    <w:p>
      <w:pPr>
        <w:spacing w:line="360" w:lineRule="auto"/>
        <w:ind w:firstLine="420" w:firstLineChars="200"/>
        <w:rPr>
          <w:rFonts w:ascii="宋体" w:hAnsi="宋体"/>
          <w:szCs w:val="21"/>
        </w:rPr>
      </w:pPr>
      <w:r>
        <w:rPr>
          <w:rFonts w:hint="eastAsia" w:ascii="宋体" w:hAnsi="宋体"/>
          <w:szCs w:val="21"/>
        </w:rPr>
        <w:t>2. 依照法律法规的规定或你方与发包人的另行约定，免除发包人部分或全部义务的，我方亦免除其相应的保证责任。</w:t>
      </w:r>
    </w:p>
    <w:p>
      <w:pPr>
        <w:spacing w:line="360" w:lineRule="auto"/>
        <w:ind w:firstLine="420" w:firstLineChars="200"/>
        <w:rPr>
          <w:rFonts w:ascii="宋体" w:hAnsi="宋体"/>
          <w:szCs w:val="21"/>
        </w:rPr>
      </w:pPr>
      <w:r>
        <w:rPr>
          <w:rFonts w:hint="eastAsia" w:ascii="宋体" w:hAnsi="宋体"/>
          <w:szCs w:val="21"/>
        </w:rPr>
        <w:t>3. 你方与发包人协议变更主合同的，如加重发包人责任致使我方保证责任加重的，需征得我方书面同意，否则我方不再承担因此而加重部分的保证责任，但主合同第10条〔变更〕约定的变更不受本款限制。</w:t>
      </w:r>
    </w:p>
    <w:p>
      <w:pPr>
        <w:spacing w:line="360" w:lineRule="auto"/>
        <w:ind w:firstLine="420" w:firstLineChars="200"/>
        <w:rPr>
          <w:rFonts w:ascii="宋体" w:hAnsi="宋体"/>
          <w:szCs w:val="21"/>
        </w:rPr>
      </w:pPr>
      <w:r>
        <w:rPr>
          <w:rFonts w:hint="eastAsia" w:ascii="宋体" w:hAnsi="宋体"/>
          <w:szCs w:val="21"/>
        </w:rPr>
        <w:t>4. 因不可抗力造成发包人不能履行义务的，我方不承担保证责任。</w:t>
      </w:r>
    </w:p>
    <w:p>
      <w:pPr>
        <w:spacing w:line="360" w:lineRule="auto"/>
        <w:ind w:firstLine="420" w:firstLineChars="200"/>
        <w:rPr>
          <w:rFonts w:ascii="宋体" w:hAnsi="宋体"/>
          <w:szCs w:val="21"/>
        </w:rPr>
      </w:pPr>
      <w:bookmarkStart w:id="1906" w:name="_Toc532375698"/>
      <w:r>
        <w:rPr>
          <w:rFonts w:hint="eastAsia" w:ascii="宋体" w:hAnsi="宋体"/>
          <w:szCs w:val="21"/>
        </w:rPr>
        <w:t>七、争议解决</w:t>
      </w:r>
      <w:bookmarkEnd w:id="1906"/>
    </w:p>
    <w:p>
      <w:pPr>
        <w:spacing w:line="360" w:lineRule="auto"/>
        <w:ind w:firstLine="420" w:firstLineChars="200"/>
        <w:rPr>
          <w:rFonts w:ascii="宋体" w:hAnsi="宋体"/>
          <w:szCs w:val="21"/>
        </w:rPr>
      </w:pPr>
      <w:r>
        <w:rPr>
          <w:rFonts w:hint="eastAsia" w:ascii="宋体" w:hAnsi="宋体"/>
          <w:szCs w:val="21"/>
        </w:rPr>
        <w:t>因本保函或本保函相关事项发生的纠纷，可由双方协商解决，协商不成的，按下列第</w:t>
      </w:r>
      <w:r>
        <w:rPr>
          <w:rFonts w:hint="eastAsia" w:ascii="宋体" w:hAnsi="宋体"/>
          <w:szCs w:val="21"/>
          <w:u w:val="single"/>
        </w:rPr>
        <w:t xml:space="preserve">    </w:t>
      </w:r>
      <w:r>
        <w:rPr>
          <w:rFonts w:hint="eastAsia" w:ascii="宋体" w:hAnsi="宋体"/>
          <w:szCs w:val="21"/>
        </w:rPr>
        <w:t>种方式解决：</w:t>
      </w:r>
    </w:p>
    <w:p>
      <w:pPr>
        <w:spacing w:line="360" w:lineRule="auto"/>
        <w:ind w:firstLine="420" w:firstLineChars="200"/>
        <w:rPr>
          <w:rFonts w:ascii="宋体" w:hAnsi="宋体"/>
          <w:szCs w:val="21"/>
        </w:rPr>
      </w:pPr>
      <w:r>
        <w:rPr>
          <w:rFonts w:hint="eastAsia" w:ascii="宋体" w:hAnsi="宋体"/>
          <w:szCs w:val="21"/>
        </w:rPr>
        <w:t>（1）向</w:t>
      </w:r>
      <w:r>
        <w:rPr>
          <w:rFonts w:hint="eastAsia" w:ascii="宋体" w:hAnsi="宋体"/>
          <w:szCs w:val="21"/>
          <w:u w:val="single"/>
        </w:rPr>
        <w:t xml:space="preserve">                     </w:t>
      </w:r>
      <w:r>
        <w:rPr>
          <w:rFonts w:hint="eastAsia" w:ascii="宋体" w:hAnsi="宋体"/>
          <w:szCs w:val="21"/>
        </w:rPr>
        <w:t>仲裁委员会申请仲裁；</w:t>
      </w:r>
    </w:p>
    <w:p>
      <w:pPr>
        <w:spacing w:line="360" w:lineRule="auto"/>
        <w:ind w:firstLine="420" w:firstLineChars="200"/>
        <w:rPr>
          <w:rFonts w:ascii="宋体" w:hAnsi="宋体"/>
          <w:szCs w:val="21"/>
        </w:rPr>
      </w:pPr>
      <w:r>
        <w:rPr>
          <w:rFonts w:hint="eastAsia" w:ascii="宋体" w:hAnsi="宋体"/>
          <w:szCs w:val="21"/>
        </w:rPr>
        <w:t>（2）向</w:t>
      </w:r>
      <w:r>
        <w:rPr>
          <w:rFonts w:hint="eastAsia" w:ascii="宋体" w:hAnsi="宋体"/>
          <w:szCs w:val="21"/>
          <w:u w:val="single"/>
        </w:rPr>
        <w:t xml:space="preserve">                     </w:t>
      </w:r>
      <w:r>
        <w:rPr>
          <w:rFonts w:hint="eastAsia" w:ascii="宋体" w:hAnsi="宋体"/>
          <w:szCs w:val="21"/>
        </w:rPr>
        <w:t>人民法院起诉。</w:t>
      </w:r>
    </w:p>
    <w:p>
      <w:pPr>
        <w:spacing w:line="360" w:lineRule="auto"/>
        <w:ind w:firstLine="420" w:firstLineChars="200"/>
        <w:rPr>
          <w:rFonts w:ascii="宋体" w:hAnsi="宋体"/>
          <w:szCs w:val="21"/>
        </w:rPr>
      </w:pPr>
      <w:bookmarkStart w:id="1907" w:name="_Toc532375699"/>
      <w:r>
        <w:rPr>
          <w:rFonts w:hint="eastAsia" w:ascii="宋体" w:hAnsi="宋体"/>
          <w:szCs w:val="21"/>
        </w:rPr>
        <w:t>八、保函的生效</w:t>
      </w:r>
      <w:bookmarkEnd w:id="1907"/>
    </w:p>
    <w:p>
      <w:pPr>
        <w:spacing w:line="360" w:lineRule="auto"/>
        <w:ind w:firstLine="420" w:firstLineChars="200"/>
        <w:rPr>
          <w:rFonts w:ascii="宋体" w:hAnsi="宋体"/>
          <w:szCs w:val="21"/>
        </w:rPr>
      </w:pPr>
      <w:r>
        <w:rPr>
          <w:rFonts w:hint="eastAsia" w:ascii="宋体" w:hAnsi="宋体"/>
          <w:szCs w:val="21"/>
        </w:rPr>
        <w:t>本保函自我方法定代表人（或其委托代理人）签名并加盖单位公章之日起生效。</w:t>
      </w:r>
    </w:p>
    <w:p>
      <w:pPr>
        <w:spacing w:line="360" w:lineRule="auto"/>
        <w:ind w:firstLine="420" w:firstLineChars="200"/>
        <w:jc w:val="left"/>
        <w:rPr>
          <w:rFonts w:ascii="宋体" w:hAnsi="宋体"/>
          <w:szCs w:val="21"/>
        </w:rPr>
      </w:pPr>
      <w:r>
        <w:rPr>
          <w:rFonts w:hint="eastAsia" w:ascii="宋体" w:hAnsi="宋体"/>
          <w:szCs w:val="21"/>
        </w:rPr>
        <w:t>担保人：</w:t>
      </w:r>
      <w:r>
        <w:rPr>
          <w:rFonts w:hint="eastAsia" w:ascii="宋体" w:hAnsi="宋体"/>
          <w:szCs w:val="21"/>
          <w:u w:val="single"/>
        </w:rPr>
        <w:t xml:space="preserve">                                   </w:t>
      </w:r>
      <w:r>
        <w:rPr>
          <w:rFonts w:hint="eastAsia" w:ascii="宋体" w:hAnsi="宋体"/>
          <w:szCs w:val="21"/>
        </w:rPr>
        <w:t>（盖单位公章）</w:t>
      </w:r>
    </w:p>
    <w:p>
      <w:pPr>
        <w:spacing w:line="360" w:lineRule="auto"/>
        <w:ind w:firstLine="420" w:firstLineChars="200"/>
        <w:rPr>
          <w:rFonts w:ascii="宋体" w:hAnsi="宋体"/>
          <w:szCs w:val="21"/>
        </w:rPr>
      </w:pPr>
      <w:r>
        <w:rPr>
          <w:rFonts w:hint="eastAsia" w:ascii="宋体" w:hAnsi="宋体"/>
          <w:szCs w:val="21"/>
        </w:rPr>
        <w:t>法定代表人或委托代理人：</w:t>
      </w:r>
      <w:r>
        <w:rPr>
          <w:rFonts w:hint="eastAsia" w:ascii="宋体" w:hAnsi="宋体"/>
          <w:szCs w:val="21"/>
          <w:u w:val="single"/>
        </w:rPr>
        <w:t xml:space="preserve">                   </w:t>
      </w:r>
      <w:r>
        <w:rPr>
          <w:rFonts w:hint="eastAsia" w:ascii="宋体" w:hAnsi="宋体"/>
          <w:szCs w:val="21"/>
        </w:rPr>
        <w:t>（签名）</w:t>
      </w:r>
    </w:p>
    <w:p>
      <w:pPr>
        <w:spacing w:line="360" w:lineRule="auto"/>
        <w:ind w:firstLine="420" w:firstLineChars="200"/>
        <w:jc w:val="left"/>
        <w:rPr>
          <w:rFonts w:ascii="宋体" w:hAnsi="宋体"/>
          <w:szCs w:val="21"/>
        </w:rPr>
      </w:pPr>
      <w:r>
        <w:rPr>
          <w:rFonts w:hint="eastAsia" w:ascii="宋体" w:hAnsi="宋体"/>
          <w:szCs w:val="21"/>
        </w:rPr>
        <w:t>地    址：</w:t>
      </w:r>
      <w:r>
        <w:rPr>
          <w:rFonts w:hint="eastAsia" w:ascii="宋体" w:hAnsi="宋体"/>
          <w:szCs w:val="21"/>
          <w:u w:val="single"/>
        </w:rPr>
        <w:t xml:space="preserve">                                        </w:t>
      </w:r>
    </w:p>
    <w:p>
      <w:pPr>
        <w:spacing w:line="360" w:lineRule="auto"/>
        <w:ind w:firstLine="420" w:firstLineChars="200"/>
        <w:jc w:val="left"/>
        <w:rPr>
          <w:rFonts w:ascii="宋体" w:hAnsi="宋体"/>
          <w:szCs w:val="21"/>
        </w:rPr>
      </w:pPr>
      <w:r>
        <w:rPr>
          <w:rFonts w:hint="eastAsia" w:ascii="宋体" w:hAnsi="宋体"/>
          <w:szCs w:val="21"/>
        </w:rPr>
        <w:t>邮政编码：</w:t>
      </w:r>
      <w:r>
        <w:rPr>
          <w:rFonts w:hint="eastAsia" w:ascii="宋体" w:hAnsi="宋体"/>
          <w:szCs w:val="21"/>
          <w:u w:val="single"/>
        </w:rPr>
        <w:t xml:space="preserve">                                        </w:t>
      </w:r>
    </w:p>
    <w:p>
      <w:pPr>
        <w:spacing w:line="360" w:lineRule="auto"/>
        <w:ind w:firstLine="420" w:firstLineChars="200"/>
        <w:jc w:val="left"/>
        <w:rPr>
          <w:rFonts w:ascii="宋体" w:hAnsi="宋体"/>
          <w:szCs w:val="21"/>
        </w:rPr>
      </w:pPr>
      <w:r>
        <w:rPr>
          <w:rFonts w:hint="eastAsia" w:ascii="宋体" w:hAnsi="宋体"/>
          <w:szCs w:val="21"/>
        </w:rPr>
        <w:t>传    真：</w:t>
      </w:r>
      <w:r>
        <w:rPr>
          <w:rFonts w:hint="eastAsia" w:ascii="宋体" w:hAnsi="宋体"/>
          <w:szCs w:val="21"/>
          <w:u w:val="single"/>
        </w:rPr>
        <w:t xml:space="preserve">                                        </w:t>
      </w:r>
    </w:p>
    <w:p>
      <w:pPr>
        <w:spacing w:line="360" w:lineRule="auto"/>
        <w:ind w:firstLine="420" w:firstLineChars="200"/>
        <w:rPr>
          <w:rFonts w:ascii="宋体" w:hAnsi="宋体"/>
          <w:szCs w:val="21"/>
        </w:rPr>
      </w:pPr>
      <w:r>
        <w:rPr>
          <w:rFonts w:hint="eastAsia" w:ascii="宋体" w:hAnsi="宋体"/>
          <w:szCs w:val="21"/>
        </w:rPr>
        <w:t xml:space="preserve">           </w:t>
      </w:r>
    </w:p>
    <w:p>
      <w:pPr>
        <w:spacing w:line="360" w:lineRule="auto"/>
        <w:ind w:firstLine="840" w:firstLineChars="400"/>
        <w:jc w:val="righ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hint="eastAsia" w:ascii="宋体" w:hAnsi="宋体"/>
          <w:szCs w:val="21"/>
        </w:rPr>
        <w:br w:type="page"/>
      </w:r>
    </w:p>
    <w:p>
      <w:pPr>
        <w:spacing w:line="480" w:lineRule="auto"/>
        <w:rPr>
          <w:rFonts w:ascii="宋体" w:hAnsi="宋体"/>
          <w:szCs w:val="21"/>
        </w:rPr>
      </w:pPr>
      <w:r>
        <w:rPr>
          <w:rFonts w:hint="eastAsia" w:ascii="宋体" w:hAnsi="宋体"/>
          <w:szCs w:val="21"/>
        </w:rPr>
        <w:t>附件</w:t>
      </w:r>
      <w:r>
        <w:rPr>
          <w:rFonts w:ascii="宋体" w:hAnsi="宋体"/>
          <w:szCs w:val="21"/>
        </w:rPr>
        <w:t>7</w:t>
      </w:r>
      <w:r>
        <w:rPr>
          <w:rFonts w:hint="eastAsia" w:ascii="宋体" w:hAnsi="宋体"/>
          <w:szCs w:val="21"/>
        </w:rPr>
        <w:t>：</w:t>
      </w:r>
    </w:p>
    <w:p>
      <w:pPr>
        <w:spacing w:before="289" w:beforeLines="50" w:after="289" w:afterLines="50" w:line="480" w:lineRule="auto"/>
        <w:jc w:val="center"/>
        <w:rPr>
          <w:rFonts w:ascii="宋体" w:hAnsi="宋体"/>
          <w:szCs w:val="21"/>
        </w:rPr>
      </w:pPr>
      <w:r>
        <w:rPr>
          <w:rFonts w:hint="eastAsia" w:ascii="宋体" w:hAnsi="宋体"/>
          <w:szCs w:val="21"/>
        </w:rPr>
        <w:t>专业工程暂估价表</w:t>
      </w:r>
    </w:p>
    <w:tbl>
      <w:tblPr>
        <w:tblStyle w:val="54"/>
        <w:tblW w:w="9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79"/>
        <w:gridCol w:w="1984"/>
        <w:gridCol w:w="5103"/>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jc w:val="center"/>
              <w:rPr>
                <w:rFonts w:ascii="宋体" w:hAnsi="宋体"/>
                <w:szCs w:val="21"/>
              </w:rPr>
            </w:pPr>
            <w:r>
              <w:rPr>
                <w:rFonts w:hint="eastAsia" w:ascii="宋体" w:hAnsi="宋体"/>
                <w:szCs w:val="21"/>
              </w:rPr>
              <w:t>序号</w:t>
            </w:r>
          </w:p>
        </w:tc>
        <w:tc>
          <w:tcPr>
            <w:tcW w:w="1984" w:type="dxa"/>
          </w:tcPr>
          <w:p>
            <w:pPr>
              <w:spacing w:line="400" w:lineRule="exact"/>
              <w:jc w:val="center"/>
              <w:rPr>
                <w:rFonts w:ascii="宋体" w:hAnsi="宋体"/>
                <w:szCs w:val="21"/>
              </w:rPr>
            </w:pPr>
            <w:r>
              <w:rPr>
                <w:rFonts w:hint="eastAsia" w:ascii="宋体" w:hAnsi="宋体"/>
                <w:szCs w:val="21"/>
              </w:rPr>
              <w:t>专业工程名称</w:t>
            </w:r>
          </w:p>
        </w:tc>
        <w:tc>
          <w:tcPr>
            <w:tcW w:w="5103" w:type="dxa"/>
          </w:tcPr>
          <w:p>
            <w:pPr>
              <w:spacing w:line="400" w:lineRule="exact"/>
              <w:jc w:val="center"/>
              <w:rPr>
                <w:rFonts w:ascii="宋体" w:hAnsi="宋体"/>
                <w:szCs w:val="21"/>
              </w:rPr>
            </w:pPr>
            <w:r>
              <w:rPr>
                <w:rFonts w:hint="eastAsia" w:ascii="宋体" w:hAnsi="宋体"/>
                <w:szCs w:val="21"/>
              </w:rPr>
              <w:t>工程内容</w:t>
            </w:r>
          </w:p>
        </w:tc>
        <w:tc>
          <w:tcPr>
            <w:tcW w:w="1560" w:type="dxa"/>
          </w:tcPr>
          <w:p>
            <w:pPr>
              <w:spacing w:line="400" w:lineRule="exact"/>
              <w:jc w:val="center"/>
              <w:rPr>
                <w:rFonts w:ascii="宋体" w:hAnsi="宋体"/>
                <w:szCs w:val="21"/>
              </w:rPr>
            </w:pPr>
            <w:r>
              <w:rPr>
                <w:rFonts w:hint="eastAsia" w:ascii="宋体" w:hAnsi="宋体"/>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879" w:type="dxa"/>
          </w:tcPr>
          <w:p>
            <w:pPr>
              <w:spacing w:line="400" w:lineRule="exact"/>
              <w:ind w:firstLine="420" w:firstLineChars="200"/>
              <w:rPr>
                <w:rFonts w:ascii="宋体" w:hAnsi="宋体"/>
                <w:szCs w:val="21"/>
              </w:rPr>
            </w:pPr>
          </w:p>
        </w:tc>
        <w:tc>
          <w:tcPr>
            <w:tcW w:w="1984" w:type="dxa"/>
          </w:tcPr>
          <w:p>
            <w:pPr>
              <w:spacing w:line="400" w:lineRule="exact"/>
              <w:ind w:firstLine="420" w:firstLineChars="200"/>
              <w:rPr>
                <w:rFonts w:ascii="宋体" w:hAnsi="宋体"/>
                <w:szCs w:val="21"/>
              </w:rPr>
            </w:pPr>
          </w:p>
        </w:tc>
        <w:tc>
          <w:tcPr>
            <w:tcW w:w="5103" w:type="dxa"/>
          </w:tcPr>
          <w:p>
            <w:pPr>
              <w:spacing w:line="400" w:lineRule="exact"/>
              <w:ind w:firstLine="420" w:firstLineChars="200"/>
              <w:rPr>
                <w:rFonts w:ascii="宋体" w:hAnsi="宋体"/>
                <w:szCs w:val="21"/>
              </w:rPr>
            </w:pPr>
          </w:p>
        </w:tc>
        <w:tc>
          <w:tcPr>
            <w:tcW w:w="1560" w:type="dxa"/>
          </w:tcPr>
          <w:p>
            <w:pPr>
              <w:spacing w:line="400" w:lineRule="exact"/>
              <w:ind w:firstLine="420" w:firstLineChars="2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c>
          <w:tcPr>
            <w:tcW w:w="9526" w:type="dxa"/>
            <w:gridSpan w:val="4"/>
          </w:tcPr>
          <w:p>
            <w:pPr>
              <w:spacing w:line="400" w:lineRule="exact"/>
              <w:ind w:firstLine="420" w:firstLineChars="200"/>
              <w:rPr>
                <w:rFonts w:ascii="宋体" w:hAnsi="宋体"/>
                <w:szCs w:val="21"/>
              </w:rPr>
            </w:pPr>
            <w:r>
              <w:rPr>
                <w:rFonts w:hint="eastAsia" w:ascii="宋体" w:hAnsi="宋体"/>
                <w:szCs w:val="21"/>
              </w:rPr>
              <w:t>小计：</w:t>
            </w:r>
          </w:p>
        </w:tc>
      </w:tr>
    </w:tbl>
    <w:p>
      <w:pPr>
        <w:spacing w:line="480" w:lineRule="auto"/>
        <w:ind w:firstLine="420" w:firstLineChars="200"/>
        <w:rPr>
          <w:rFonts w:ascii="宋体" w:hAnsi="宋体"/>
          <w:szCs w:val="21"/>
        </w:rPr>
      </w:pPr>
      <w:r>
        <w:rPr>
          <w:rFonts w:ascii="宋体" w:hAnsi="宋体"/>
          <w:szCs w:val="21"/>
        </w:rPr>
        <w:br w:type="page"/>
      </w:r>
    </w:p>
    <w:p>
      <w:pPr>
        <w:spacing w:line="480" w:lineRule="auto"/>
        <w:rPr>
          <w:rFonts w:ascii="宋体" w:hAnsi="宋体"/>
          <w:szCs w:val="21"/>
        </w:rPr>
      </w:pPr>
      <w:r>
        <w:rPr>
          <w:rFonts w:hint="eastAsia" w:ascii="宋体" w:hAnsi="宋体"/>
          <w:szCs w:val="21"/>
        </w:rPr>
        <w:t>附件</w:t>
      </w:r>
      <w:r>
        <w:rPr>
          <w:rFonts w:ascii="宋体" w:hAnsi="宋体"/>
          <w:szCs w:val="21"/>
        </w:rPr>
        <w:t>8</w:t>
      </w:r>
      <w:r>
        <w:rPr>
          <w:rFonts w:hint="eastAsia" w:ascii="宋体" w:hAnsi="宋体"/>
          <w:szCs w:val="21"/>
        </w:rPr>
        <w:t>：</w:t>
      </w:r>
    </w:p>
    <w:p>
      <w:pPr>
        <w:spacing w:before="289" w:beforeLines="50" w:after="289" w:afterLines="50" w:line="480" w:lineRule="auto"/>
        <w:jc w:val="center"/>
        <w:rPr>
          <w:rFonts w:ascii="宋体" w:hAnsi="宋体"/>
          <w:szCs w:val="21"/>
        </w:rPr>
      </w:pPr>
      <w:r>
        <w:rPr>
          <w:rFonts w:hint="eastAsia" w:ascii="宋体" w:hAnsi="宋体"/>
          <w:szCs w:val="21"/>
        </w:rPr>
        <w:t>廉洁从业协议</w:t>
      </w:r>
    </w:p>
    <w:p>
      <w:pPr>
        <w:snapToGrid w:val="0"/>
        <w:spacing w:line="360" w:lineRule="auto"/>
        <w:ind w:firstLine="422" w:firstLineChars="200"/>
        <w:rPr>
          <w:rFonts w:ascii="宋体" w:hAnsi="宋体"/>
          <w:b/>
          <w:szCs w:val="21"/>
          <w:u w:val="single"/>
        </w:rPr>
      </w:pPr>
      <w:r>
        <w:rPr>
          <w:rFonts w:hint="eastAsia" w:ascii="宋体" w:hAnsi="宋体"/>
          <w:b/>
          <w:szCs w:val="21"/>
        </w:rPr>
        <w:t>发包人（全称）：</w:t>
      </w:r>
      <w:r>
        <w:rPr>
          <w:rFonts w:hint="eastAsia" w:ascii="宋体" w:hAnsi="宋体"/>
          <w:szCs w:val="21"/>
          <w:u w:val="single"/>
        </w:rPr>
        <w:t xml:space="preserve">                             </w:t>
      </w:r>
    </w:p>
    <w:p>
      <w:pPr>
        <w:snapToGrid w:val="0"/>
        <w:spacing w:line="360" w:lineRule="auto"/>
        <w:ind w:firstLine="422" w:firstLineChars="200"/>
        <w:rPr>
          <w:rFonts w:ascii="宋体" w:hAnsi="宋体"/>
          <w:b/>
          <w:szCs w:val="21"/>
          <w:u w:val="single"/>
        </w:rPr>
      </w:pPr>
      <w:r>
        <w:rPr>
          <w:rFonts w:hint="eastAsia" w:ascii="宋体" w:hAnsi="宋体"/>
          <w:b/>
          <w:szCs w:val="21"/>
        </w:rPr>
        <w:t>承包人（全称）：</w:t>
      </w:r>
      <w:r>
        <w:rPr>
          <w:rFonts w:hint="eastAsia" w:ascii="宋体" w:hAnsi="宋体"/>
          <w:szCs w:val="21"/>
          <w:u w:val="single"/>
        </w:rPr>
        <w:t xml:space="preserve">                             </w:t>
      </w:r>
    </w:p>
    <w:p>
      <w:pPr>
        <w:spacing w:line="360" w:lineRule="auto"/>
        <w:ind w:firstLine="420" w:firstLineChars="200"/>
        <w:rPr>
          <w:rFonts w:ascii="宋体" w:hAnsi="宋体"/>
          <w:szCs w:val="21"/>
        </w:rPr>
      </w:pPr>
      <w:r>
        <w:rPr>
          <w:rFonts w:hint="eastAsia" w:ascii="宋体" w:hAnsi="宋体"/>
          <w:szCs w:val="21"/>
        </w:rPr>
        <w:t>根据国家有关部门以及有关工程建设、廉政建设的规定，为做好工程建设中的党风廉政建设，保证工程建设高效优质，保证建设资金的安全和有效使用以及投资效益，建设工程的项目法人（以下简称“发包人”）与承包人（以下简称“承包人”），特订立如下协议。</w:t>
      </w:r>
    </w:p>
    <w:p>
      <w:pPr>
        <w:spacing w:line="360" w:lineRule="auto"/>
        <w:ind w:firstLine="420" w:firstLineChars="200"/>
        <w:rPr>
          <w:rFonts w:ascii="宋体" w:hAnsi="宋体"/>
          <w:szCs w:val="21"/>
        </w:rPr>
      </w:pPr>
      <w:r>
        <w:rPr>
          <w:rFonts w:hint="eastAsia" w:ascii="宋体" w:hAnsi="宋体"/>
          <w:szCs w:val="21"/>
        </w:rPr>
        <w:t xml:space="preserve"> 1. 发包人承包人的权利和义务</w:t>
      </w:r>
    </w:p>
    <w:p>
      <w:pPr>
        <w:spacing w:line="360" w:lineRule="auto"/>
        <w:ind w:firstLine="420" w:firstLineChars="200"/>
        <w:rPr>
          <w:rFonts w:ascii="宋体" w:hAnsi="宋体"/>
          <w:szCs w:val="21"/>
        </w:rPr>
      </w:pPr>
      <w:r>
        <w:rPr>
          <w:rFonts w:hint="eastAsia" w:ascii="宋体" w:hAnsi="宋体"/>
          <w:szCs w:val="21"/>
        </w:rPr>
        <w:t>（1）严格遵守党的政策规定和国家有关法律法规及相关部门的有关规定。</w:t>
      </w:r>
    </w:p>
    <w:p>
      <w:pPr>
        <w:spacing w:line="360" w:lineRule="auto"/>
        <w:ind w:firstLine="420" w:firstLineChars="200"/>
        <w:rPr>
          <w:rFonts w:ascii="宋体" w:hAnsi="宋体"/>
          <w:szCs w:val="21"/>
        </w:rPr>
      </w:pPr>
      <w:r>
        <w:rPr>
          <w:rFonts w:hint="eastAsia" w:ascii="宋体" w:hAnsi="宋体"/>
          <w:szCs w:val="21"/>
        </w:rPr>
        <w:t>（2）严格执行 工程的合同文件，自觉按合同办事。</w:t>
      </w:r>
    </w:p>
    <w:p>
      <w:pPr>
        <w:spacing w:line="360" w:lineRule="auto"/>
        <w:ind w:firstLine="420" w:firstLineChars="200"/>
        <w:rPr>
          <w:rFonts w:ascii="宋体" w:hAnsi="宋体"/>
          <w:szCs w:val="21"/>
        </w:rPr>
      </w:pPr>
      <w:r>
        <w:rPr>
          <w:rFonts w:hint="eastAsia" w:ascii="宋体" w:hAnsi="宋体"/>
          <w:szCs w:val="21"/>
        </w:rPr>
        <w:t>（3）双方的业务活动坚持公开、公正、诚信、透明的原则（法律认定的商业秘密和合同文件另有规定除外），不得损害国家和集体利益，违反工程建设管理规章制度。</w:t>
      </w:r>
    </w:p>
    <w:p>
      <w:pPr>
        <w:spacing w:line="360" w:lineRule="auto"/>
        <w:ind w:firstLine="420" w:firstLineChars="200"/>
        <w:rPr>
          <w:rFonts w:ascii="宋体" w:hAnsi="宋体"/>
          <w:szCs w:val="21"/>
        </w:rPr>
      </w:pPr>
      <w:r>
        <w:rPr>
          <w:rFonts w:hint="eastAsia" w:ascii="宋体" w:hAnsi="宋体"/>
          <w:szCs w:val="21"/>
        </w:rPr>
        <w:t>（4）建立健全廉政制度，开展廉政教育，设立廉政告示牌，公布举报电话，监督并认真查处违法违纪行为。</w:t>
      </w:r>
    </w:p>
    <w:p>
      <w:pPr>
        <w:spacing w:line="360" w:lineRule="auto"/>
        <w:ind w:firstLine="420" w:firstLineChars="200"/>
        <w:rPr>
          <w:rFonts w:ascii="宋体" w:hAnsi="宋体"/>
          <w:szCs w:val="21"/>
        </w:rPr>
      </w:pPr>
      <w:r>
        <w:rPr>
          <w:rFonts w:hint="eastAsia" w:ascii="宋体" w:hAnsi="宋体"/>
          <w:szCs w:val="21"/>
        </w:rPr>
        <w:t>（5）发现对方在业务活动中有违反廉政规定的行为，有及时提醒对方纠正的权利和义务。</w:t>
      </w:r>
    </w:p>
    <w:p>
      <w:pPr>
        <w:spacing w:line="360" w:lineRule="auto"/>
        <w:ind w:firstLine="420" w:firstLineChars="200"/>
        <w:rPr>
          <w:rFonts w:ascii="宋体" w:hAnsi="宋体"/>
          <w:szCs w:val="21"/>
        </w:rPr>
      </w:pPr>
      <w:r>
        <w:rPr>
          <w:rFonts w:hint="eastAsia" w:ascii="宋体" w:hAnsi="宋体"/>
          <w:szCs w:val="21"/>
        </w:rPr>
        <w:t>（6）发现对方严重违反协议义务条款的行为，有向其上级有关部门举报、建议给予处理并要求告知处理结果的权利。</w:t>
      </w:r>
    </w:p>
    <w:p>
      <w:pPr>
        <w:spacing w:line="360" w:lineRule="auto"/>
        <w:ind w:firstLine="420" w:firstLineChars="200"/>
        <w:rPr>
          <w:rFonts w:ascii="宋体" w:hAnsi="宋体"/>
          <w:szCs w:val="21"/>
        </w:rPr>
      </w:pPr>
      <w:r>
        <w:rPr>
          <w:rFonts w:hint="eastAsia" w:ascii="宋体" w:hAnsi="宋体"/>
          <w:szCs w:val="21"/>
        </w:rPr>
        <w:t>2. 发包人的义务</w:t>
      </w:r>
    </w:p>
    <w:p>
      <w:pPr>
        <w:spacing w:line="360" w:lineRule="auto"/>
        <w:ind w:firstLine="420" w:firstLineChars="200"/>
        <w:rPr>
          <w:rFonts w:ascii="宋体" w:hAnsi="宋体"/>
          <w:szCs w:val="21"/>
        </w:rPr>
      </w:pPr>
      <w:r>
        <w:rPr>
          <w:rFonts w:hint="eastAsia" w:ascii="宋体" w:hAnsi="宋体"/>
          <w:szCs w:val="21"/>
        </w:rPr>
        <w:t>（1）发包人及其工作人员不得索要或接受承包人的礼金、有价证券和贵重物品，不得在承包人报销任何应由发包人或发包人工作人员个人支付的费用等。</w:t>
      </w:r>
    </w:p>
    <w:p>
      <w:pPr>
        <w:spacing w:line="360" w:lineRule="auto"/>
        <w:ind w:firstLine="420" w:firstLineChars="200"/>
        <w:rPr>
          <w:rFonts w:ascii="宋体" w:hAnsi="宋体"/>
          <w:szCs w:val="21"/>
        </w:rPr>
      </w:pPr>
      <w:r>
        <w:rPr>
          <w:rFonts w:hint="eastAsia" w:ascii="宋体" w:hAnsi="宋体"/>
          <w:szCs w:val="21"/>
        </w:rPr>
        <w:t>（2）发包人工作人员不得参加承包人安排的超标准宴请和娱乐活动；不得接受承包人提供的通讯工具、交通工具和高档办公用品等。</w:t>
      </w:r>
    </w:p>
    <w:p>
      <w:pPr>
        <w:spacing w:line="360" w:lineRule="auto"/>
        <w:ind w:firstLine="420" w:firstLineChars="200"/>
        <w:rPr>
          <w:rFonts w:ascii="宋体" w:hAnsi="宋体"/>
          <w:szCs w:val="21"/>
        </w:rPr>
      </w:pPr>
      <w:r>
        <w:rPr>
          <w:rFonts w:hint="eastAsia" w:ascii="宋体" w:hAnsi="宋体"/>
          <w:szCs w:val="21"/>
        </w:rPr>
        <w:t>（3）发包人及其工作人员不得要求或者接受承包人为其住房装修、婚丧嫁娶活动、配偶子女的工作安排以及出国出境、旅游等提供方便等。</w:t>
      </w:r>
    </w:p>
    <w:p>
      <w:pPr>
        <w:spacing w:line="360" w:lineRule="auto"/>
        <w:ind w:firstLine="420" w:firstLineChars="200"/>
        <w:rPr>
          <w:rFonts w:ascii="宋体" w:hAnsi="宋体"/>
          <w:szCs w:val="21"/>
        </w:rPr>
      </w:pPr>
      <w:r>
        <w:rPr>
          <w:rFonts w:hint="eastAsia" w:ascii="宋体" w:hAnsi="宋体"/>
          <w:szCs w:val="21"/>
        </w:rPr>
        <w:t>（4）发包人工作人员及其配偶、子女不得从事与发包人工程有关的材料设备供应、工程分包、劳务等经济活动等。</w:t>
      </w:r>
    </w:p>
    <w:p>
      <w:pPr>
        <w:spacing w:line="360" w:lineRule="auto"/>
        <w:ind w:firstLine="420" w:firstLineChars="200"/>
        <w:rPr>
          <w:rFonts w:ascii="宋体" w:hAnsi="宋体"/>
          <w:szCs w:val="21"/>
        </w:rPr>
      </w:pPr>
      <w:r>
        <w:rPr>
          <w:rFonts w:hint="eastAsia" w:ascii="宋体" w:hAnsi="宋体"/>
          <w:szCs w:val="21"/>
        </w:rPr>
        <w:t>（5）发包人及其工作人员不得以任何理由向承包人推荐分包单位或推销材料，不得要求承包人购买合同规定外的材料和设备。</w:t>
      </w:r>
    </w:p>
    <w:p>
      <w:pPr>
        <w:spacing w:line="360" w:lineRule="auto"/>
        <w:ind w:firstLine="420" w:firstLineChars="200"/>
        <w:rPr>
          <w:rFonts w:ascii="宋体" w:hAnsi="宋体"/>
          <w:szCs w:val="21"/>
        </w:rPr>
      </w:pPr>
      <w:r>
        <w:rPr>
          <w:rFonts w:hint="eastAsia" w:ascii="宋体" w:hAnsi="宋体"/>
          <w:szCs w:val="21"/>
        </w:rPr>
        <w:t>（6）发包人工作人员要秉公办事，不准营私舞弊，不准利用职权从事各种个人有偿中介活动和安排个人施工队伍。</w:t>
      </w:r>
    </w:p>
    <w:p>
      <w:pPr>
        <w:spacing w:line="360" w:lineRule="auto"/>
        <w:ind w:firstLine="420" w:firstLineChars="200"/>
        <w:rPr>
          <w:rFonts w:ascii="宋体" w:hAnsi="宋体"/>
          <w:szCs w:val="21"/>
        </w:rPr>
      </w:pPr>
      <w:r>
        <w:rPr>
          <w:rFonts w:hint="eastAsia" w:ascii="宋体" w:hAnsi="宋体"/>
          <w:szCs w:val="21"/>
        </w:rPr>
        <w:t>3. 承包人义务</w:t>
      </w:r>
    </w:p>
    <w:p>
      <w:pPr>
        <w:spacing w:line="360" w:lineRule="auto"/>
        <w:ind w:firstLine="420" w:firstLineChars="200"/>
        <w:rPr>
          <w:rFonts w:ascii="宋体" w:hAnsi="宋体"/>
          <w:szCs w:val="21"/>
        </w:rPr>
      </w:pPr>
      <w:r>
        <w:rPr>
          <w:rFonts w:hint="eastAsia" w:ascii="宋体" w:hAnsi="宋体"/>
          <w:szCs w:val="21"/>
        </w:rPr>
        <w:t>（1）承包人不得以任何理由向发包人及其工作人员行贿或馈赠礼金、有价证券、贵重礼品。</w:t>
      </w:r>
    </w:p>
    <w:p>
      <w:pPr>
        <w:spacing w:line="360" w:lineRule="auto"/>
        <w:ind w:firstLine="420" w:firstLineChars="200"/>
        <w:rPr>
          <w:rFonts w:ascii="宋体" w:hAnsi="宋体"/>
          <w:szCs w:val="21"/>
        </w:rPr>
      </w:pPr>
      <w:r>
        <w:rPr>
          <w:rFonts w:hint="eastAsia" w:ascii="宋体" w:hAnsi="宋体"/>
          <w:szCs w:val="21"/>
        </w:rPr>
        <w:t>（2）承包人不得以任何名义为发包人及其工作人员报销应由发包人单位或个人支付的任何费用。</w:t>
      </w:r>
    </w:p>
    <w:p>
      <w:pPr>
        <w:spacing w:line="360" w:lineRule="auto"/>
        <w:ind w:firstLine="420" w:firstLineChars="200"/>
        <w:rPr>
          <w:rFonts w:ascii="宋体" w:hAnsi="宋体"/>
          <w:szCs w:val="21"/>
        </w:rPr>
      </w:pPr>
      <w:r>
        <w:rPr>
          <w:rFonts w:hint="eastAsia" w:ascii="宋体" w:hAnsi="宋体"/>
          <w:szCs w:val="21"/>
        </w:rPr>
        <w:t>（3）承包人不得以任何理由安排发包人工作人员参加超标准宴请及娱乐活动。</w:t>
      </w:r>
    </w:p>
    <w:p>
      <w:pPr>
        <w:spacing w:line="360" w:lineRule="auto"/>
        <w:ind w:firstLine="420" w:firstLineChars="200"/>
        <w:rPr>
          <w:rFonts w:ascii="宋体" w:hAnsi="宋体"/>
          <w:szCs w:val="21"/>
        </w:rPr>
      </w:pPr>
      <w:r>
        <w:rPr>
          <w:rFonts w:hint="eastAsia" w:ascii="宋体" w:hAnsi="宋体"/>
          <w:szCs w:val="21"/>
        </w:rPr>
        <w:t>（4）承包人不得为发包人单位和个人购置或提供通讯工具、交通工具和高档办公用品等。</w:t>
      </w:r>
    </w:p>
    <w:p>
      <w:pPr>
        <w:spacing w:line="360" w:lineRule="auto"/>
        <w:ind w:firstLine="420" w:firstLineChars="200"/>
        <w:rPr>
          <w:rFonts w:ascii="宋体" w:hAnsi="宋体"/>
          <w:szCs w:val="21"/>
        </w:rPr>
      </w:pPr>
      <w:r>
        <w:rPr>
          <w:rFonts w:hint="eastAsia" w:ascii="宋体" w:hAnsi="宋体"/>
          <w:szCs w:val="21"/>
        </w:rPr>
        <w:t>4. 违约责任</w:t>
      </w:r>
    </w:p>
    <w:p>
      <w:pPr>
        <w:spacing w:line="360" w:lineRule="auto"/>
        <w:ind w:firstLine="420" w:firstLineChars="200"/>
        <w:rPr>
          <w:rFonts w:ascii="宋体" w:hAnsi="宋体"/>
          <w:szCs w:val="21"/>
        </w:rPr>
      </w:pPr>
      <w:r>
        <w:rPr>
          <w:rFonts w:hint="eastAsia" w:ascii="宋体" w:hAnsi="宋体"/>
          <w:szCs w:val="21"/>
        </w:rPr>
        <w:t>（1）发包人及其工作人员违反合同第1、2条，按管理权限，依据有关规定给予党纪、政纪或组织处理；涉嫌犯罪的，移交司法机关追究刑事责任；给承包人单位造成经济损失的，应予以赔偿。</w:t>
      </w:r>
    </w:p>
    <w:p>
      <w:pPr>
        <w:spacing w:line="360" w:lineRule="auto"/>
        <w:ind w:firstLine="420" w:firstLineChars="200"/>
        <w:rPr>
          <w:rFonts w:ascii="宋体" w:hAnsi="宋体"/>
          <w:szCs w:val="21"/>
        </w:rPr>
      </w:pPr>
      <w:r>
        <w:rPr>
          <w:rFonts w:hint="eastAsia" w:ascii="宋体" w:hAnsi="宋体"/>
          <w:szCs w:val="21"/>
        </w:rPr>
        <w:t>（2）承包人及其工作人员违反合同第1、3条，按管理权限，依据有关规定给予党纪、政纪或组织处理；给发包人单位造成经济损失的，应予以赔偿。</w:t>
      </w:r>
    </w:p>
    <w:p>
      <w:pPr>
        <w:spacing w:line="360" w:lineRule="auto"/>
        <w:ind w:firstLine="420" w:firstLineChars="200"/>
        <w:rPr>
          <w:rFonts w:ascii="宋体" w:hAnsi="宋体"/>
          <w:szCs w:val="21"/>
        </w:rPr>
      </w:pPr>
      <w:r>
        <w:rPr>
          <w:rFonts w:hint="eastAsia" w:ascii="宋体" w:hAnsi="宋体"/>
          <w:szCs w:val="21"/>
        </w:rPr>
        <w:t>5. 双方约定：协议由双方或双方上级单位的纪检监察机关负责监督执行。由发包人或发包人上级单位的纪检监察机关约请承包人或承包人上级单位纪检监察机关对合同执行情况进行检查，提出在协议规定范围内的裁定意见。</w:t>
      </w:r>
    </w:p>
    <w:p>
      <w:pPr>
        <w:spacing w:line="360" w:lineRule="auto"/>
        <w:ind w:firstLine="420" w:firstLineChars="200"/>
        <w:rPr>
          <w:rFonts w:ascii="宋体" w:hAnsi="宋体"/>
          <w:szCs w:val="21"/>
        </w:rPr>
      </w:pPr>
      <w:r>
        <w:rPr>
          <w:rFonts w:hint="eastAsia" w:ascii="宋体" w:hAnsi="宋体"/>
          <w:szCs w:val="21"/>
        </w:rPr>
        <w:t>6. 协议有效期为甲乙双方签署之日起至该工程项目竣工验收后止。</w:t>
      </w:r>
    </w:p>
    <w:p>
      <w:pPr>
        <w:spacing w:line="360" w:lineRule="auto"/>
        <w:ind w:firstLine="420" w:firstLineChars="200"/>
        <w:rPr>
          <w:rFonts w:ascii="宋体" w:hAnsi="宋体"/>
          <w:szCs w:val="21"/>
        </w:rPr>
      </w:pPr>
      <w:r>
        <w:rPr>
          <w:rFonts w:hint="eastAsia" w:ascii="宋体" w:hAnsi="宋体"/>
          <w:szCs w:val="21"/>
        </w:rPr>
        <w:t>7.协议作为 工程施工合同的附件，与工程施工合同具有同等的法律效力，经合同双方签署立即生效。</w:t>
      </w:r>
    </w:p>
    <w:p>
      <w:pPr>
        <w:spacing w:line="360" w:lineRule="auto"/>
        <w:ind w:firstLine="420" w:firstLineChars="200"/>
        <w:rPr>
          <w:rFonts w:ascii="宋体" w:hAnsi="宋体"/>
          <w:szCs w:val="21"/>
        </w:rPr>
      </w:pPr>
      <w:r>
        <w:rPr>
          <w:rFonts w:hint="eastAsia" w:ascii="宋体" w:hAnsi="宋体"/>
          <w:szCs w:val="21"/>
        </w:rPr>
        <w:t>（以下无正文）</w:t>
      </w:r>
    </w:p>
    <w:p>
      <w:pPr>
        <w:spacing w:line="360" w:lineRule="auto"/>
        <w:rPr>
          <w:rFonts w:ascii="宋体" w:hAnsi="宋体"/>
          <w:szCs w:val="21"/>
        </w:rPr>
      </w:pPr>
      <w:r>
        <w:rPr>
          <w:rFonts w:hint="eastAsia" w:ascii="宋体" w:hAnsi="宋体"/>
          <w:szCs w:val="21"/>
        </w:rPr>
        <w:t>甲     方：                         乙     方：</w:t>
      </w:r>
    </w:p>
    <w:p>
      <w:pPr>
        <w:spacing w:line="360" w:lineRule="auto"/>
        <w:rPr>
          <w:rFonts w:ascii="宋体" w:hAnsi="宋体"/>
          <w:szCs w:val="21"/>
        </w:rPr>
      </w:pPr>
      <w:r>
        <w:rPr>
          <w:rFonts w:hint="eastAsia" w:ascii="宋体" w:hAnsi="宋体"/>
          <w:szCs w:val="21"/>
        </w:rPr>
        <w:t xml:space="preserve">法定代表人                          法定代表人                      </w:t>
      </w:r>
    </w:p>
    <w:p>
      <w:pPr>
        <w:spacing w:line="360" w:lineRule="auto"/>
        <w:rPr>
          <w:rFonts w:ascii="宋体" w:hAnsi="宋体"/>
          <w:szCs w:val="21"/>
        </w:rPr>
      </w:pPr>
      <w:r>
        <w:rPr>
          <w:rFonts w:hint="eastAsia" w:ascii="宋体" w:hAnsi="宋体"/>
          <w:szCs w:val="21"/>
        </w:rPr>
        <w:t>或其授权的代理人：                  或授权的代理人：</w:t>
      </w:r>
      <w:r>
        <w:rPr>
          <w:rFonts w:hint="eastAsia" w:ascii="宋体" w:hAnsi="宋体"/>
          <w:szCs w:val="21"/>
        </w:rPr>
        <w:br w:type="page"/>
      </w:r>
      <w:r>
        <w:rPr>
          <w:rFonts w:hint="eastAsia" w:ascii="宋体" w:hAnsi="宋体"/>
          <w:szCs w:val="21"/>
        </w:rPr>
        <w:t>附件</w:t>
      </w:r>
      <w:r>
        <w:rPr>
          <w:rFonts w:ascii="宋体" w:hAnsi="宋体"/>
          <w:szCs w:val="21"/>
        </w:rPr>
        <w:t>9</w:t>
      </w:r>
      <w:r>
        <w:rPr>
          <w:rFonts w:hint="eastAsia" w:ascii="宋体" w:hAnsi="宋体"/>
          <w:szCs w:val="21"/>
        </w:rPr>
        <w:t>：</w:t>
      </w:r>
    </w:p>
    <w:p>
      <w:pPr>
        <w:spacing w:before="289" w:beforeLines="50" w:after="289" w:afterLines="50" w:line="480" w:lineRule="auto"/>
        <w:jc w:val="center"/>
        <w:rPr>
          <w:rFonts w:ascii="宋体" w:hAnsi="宋体"/>
          <w:szCs w:val="21"/>
        </w:rPr>
      </w:pPr>
      <w:bookmarkStart w:id="1908" w:name="_Toc247431422"/>
      <w:bookmarkStart w:id="1909" w:name="_Toc435690184"/>
      <w:bookmarkStart w:id="1910" w:name="_Toc239510288"/>
      <w:bookmarkStart w:id="1911" w:name="_Toc448406299"/>
      <w:bookmarkStart w:id="1912" w:name="_Toc336680145"/>
      <w:bookmarkStart w:id="1913" w:name="_Toc435689499"/>
      <w:r>
        <w:rPr>
          <w:rFonts w:hint="eastAsia" w:ascii="宋体" w:hAnsi="宋体"/>
          <w:szCs w:val="21"/>
        </w:rPr>
        <w:t>安全管理协议</w:t>
      </w:r>
      <w:bookmarkEnd w:id="1908"/>
      <w:bookmarkEnd w:id="1909"/>
      <w:bookmarkEnd w:id="1910"/>
      <w:bookmarkEnd w:id="1911"/>
      <w:bookmarkEnd w:id="1912"/>
      <w:bookmarkEnd w:id="1913"/>
    </w:p>
    <w:p>
      <w:pPr>
        <w:snapToGrid w:val="0"/>
        <w:spacing w:line="360" w:lineRule="auto"/>
        <w:ind w:firstLine="422" w:firstLineChars="200"/>
        <w:rPr>
          <w:rFonts w:ascii="宋体" w:hAnsi="宋体"/>
          <w:b/>
          <w:szCs w:val="21"/>
          <w:u w:val="single"/>
        </w:rPr>
      </w:pPr>
      <w:r>
        <w:rPr>
          <w:rFonts w:hint="eastAsia" w:ascii="宋体" w:hAnsi="宋体"/>
          <w:b/>
          <w:szCs w:val="21"/>
        </w:rPr>
        <w:t>发包人（全称）：</w:t>
      </w:r>
      <w:r>
        <w:rPr>
          <w:rFonts w:hint="eastAsia" w:ascii="宋体" w:hAnsi="宋体"/>
          <w:szCs w:val="21"/>
          <w:u w:val="single"/>
        </w:rPr>
        <w:t xml:space="preserve">                             </w:t>
      </w:r>
    </w:p>
    <w:p>
      <w:pPr>
        <w:snapToGrid w:val="0"/>
        <w:spacing w:line="360" w:lineRule="auto"/>
        <w:ind w:firstLine="422" w:firstLineChars="200"/>
        <w:rPr>
          <w:rFonts w:ascii="宋体" w:hAnsi="宋体"/>
          <w:b/>
          <w:szCs w:val="21"/>
          <w:u w:val="single"/>
        </w:rPr>
      </w:pPr>
      <w:r>
        <w:rPr>
          <w:rFonts w:hint="eastAsia" w:ascii="宋体" w:hAnsi="宋体"/>
          <w:b/>
          <w:szCs w:val="21"/>
        </w:rPr>
        <w:t>承包人（全称）：</w:t>
      </w:r>
      <w:r>
        <w:rPr>
          <w:rFonts w:hint="eastAsia" w:ascii="宋体" w:hAnsi="宋体"/>
          <w:szCs w:val="21"/>
          <w:u w:val="single"/>
        </w:rPr>
        <w:t xml:space="preserve">                             </w:t>
      </w:r>
    </w:p>
    <w:p>
      <w:pPr>
        <w:spacing w:line="360" w:lineRule="auto"/>
        <w:ind w:firstLine="420" w:firstLineChars="200"/>
        <w:jc w:val="left"/>
        <w:rPr>
          <w:rFonts w:ascii="宋体" w:hAnsi="宋体"/>
          <w:szCs w:val="21"/>
        </w:rPr>
      </w:pPr>
      <w:r>
        <w:rPr>
          <w:rFonts w:hint="eastAsia" w:ascii="宋体" w:hAnsi="宋体"/>
          <w:szCs w:val="21"/>
        </w:rPr>
        <w:t>为了确保实现</w:t>
      </w:r>
      <w:r>
        <w:rPr>
          <w:rFonts w:hint="eastAsia" w:ascii="宋体" w:hAnsi="宋体"/>
          <w:szCs w:val="21"/>
          <w:u w:val="single"/>
        </w:rPr>
        <w:t xml:space="preserve">        </w:t>
      </w:r>
      <w:r>
        <w:rPr>
          <w:rFonts w:hint="eastAsia" w:ascii="宋体" w:hAnsi="宋体"/>
          <w:szCs w:val="21"/>
        </w:rPr>
        <w:t>安全生产目标，进一步明确双方的安全管理责任，加强安全生产管理工作的协调、管理力度，</w:t>
      </w:r>
      <w:r>
        <w:rPr>
          <w:rFonts w:hint="eastAsia" w:ascii="宋体" w:hAnsi="宋体"/>
          <w:szCs w:val="21"/>
          <w:u w:val="single"/>
        </w:rPr>
        <w:t xml:space="preserve">        </w:t>
      </w:r>
      <w:r>
        <w:rPr>
          <w:rFonts w:hint="eastAsia" w:ascii="宋体" w:hAnsi="宋体"/>
          <w:szCs w:val="21"/>
        </w:rPr>
        <w:t>（以下简称“发包人”）与</w:t>
      </w:r>
      <w:r>
        <w:rPr>
          <w:rFonts w:hint="eastAsia" w:ascii="宋体" w:hAnsi="宋体"/>
          <w:szCs w:val="21"/>
          <w:u w:val="single"/>
        </w:rPr>
        <w:t xml:space="preserve">        </w:t>
      </w:r>
      <w:r>
        <w:rPr>
          <w:rFonts w:hint="eastAsia" w:ascii="宋体" w:hAnsi="宋体"/>
          <w:szCs w:val="21"/>
        </w:rPr>
        <w:t>（以下简称“承包人”）依据国家安全生产相关的法律、法规和安全方面的强制性国家标准或行业标准，双方同意签订该协议作为正式合同安全管理方面的补充规定，并承诺本协议具有与合同相同的法律效力。具体条款如下：</w:t>
      </w:r>
    </w:p>
    <w:p>
      <w:pPr>
        <w:spacing w:line="360" w:lineRule="auto"/>
        <w:ind w:firstLine="420" w:firstLineChars="200"/>
        <w:rPr>
          <w:rFonts w:ascii="宋体" w:hAnsi="宋体"/>
          <w:szCs w:val="21"/>
        </w:rPr>
      </w:pPr>
      <w:bookmarkStart w:id="1914" w:name="_Toc532375700"/>
      <w:bookmarkStart w:id="1915" w:name="_Toc239510289"/>
      <w:bookmarkStart w:id="1916" w:name="_Toc247418263"/>
      <w:bookmarkStart w:id="1917" w:name="_Toc247431423"/>
      <w:r>
        <w:rPr>
          <w:rFonts w:hint="eastAsia" w:ascii="宋体" w:hAnsi="宋体"/>
          <w:szCs w:val="21"/>
        </w:rPr>
        <w:t>一、协议有效期限</w:t>
      </w:r>
      <w:bookmarkEnd w:id="1914"/>
      <w:bookmarkEnd w:id="1915"/>
      <w:bookmarkEnd w:id="1916"/>
      <w:bookmarkEnd w:id="1917"/>
    </w:p>
    <w:p>
      <w:pPr>
        <w:spacing w:line="360" w:lineRule="auto"/>
        <w:ind w:firstLine="420" w:firstLineChars="200"/>
        <w:jc w:val="left"/>
        <w:rPr>
          <w:rFonts w:ascii="宋体" w:hAnsi="宋体"/>
          <w:szCs w:val="21"/>
        </w:rPr>
      </w:pPr>
      <w:r>
        <w:rPr>
          <w:rFonts w:hint="eastAsia" w:ascii="宋体" w:hAnsi="宋体"/>
          <w:szCs w:val="21"/>
        </w:rPr>
        <w:t>本协议中所涉及的安全管理责任自合同签订之日起开始生效，至合同工程全部完工验收且经发包人与承包人签订移交协议生效后之日终止。</w:t>
      </w:r>
    </w:p>
    <w:p>
      <w:pPr>
        <w:spacing w:line="360" w:lineRule="auto"/>
        <w:ind w:firstLine="420" w:firstLineChars="200"/>
        <w:rPr>
          <w:rFonts w:ascii="宋体" w:hAnsi="宋体"/>
          <w:szCs w:val="21"/>
        </w:rPr>
      </w:pPr>
      <w:bookmarkStart w:id="1918" w:name="_Toc247418264"/>
      <w:bookmarkStart w:id="1919" w:name="_Toc532375701"/>
      <w:bookmarkStart w:id="1920" w:name="_Toc239510290"/>
      <w:bookmarkStart w:id="1921" w:name="_Toc247431424"/>
      <w:r>
        <w:rPr>
          <w:rFonts w:hint="eastAsia" w:ascii="宋体" w:hAnsi="宋体"/>
          <w:szCs w:val="21"/>
        </w:rPr>
        <w:t>二、责任目标</w:t>
      </w:r>
      <w:bookmarkEnd w:id="1918"/>
      <w:bookmarkEnd w:id="1919"/>
      <w:bookmarkEnd w:id="1920"/>
      <w:bookmarkEnd w:id="1921"/>
    </w:p>
    <w:p>
      <w:pPr>
        <w:spacing w:line="360" w:lineRule="auto"/>
        <w:ind w:firstLine="420" w:firstLineChars="200"/>
        <w:jc w:val="left"/>
        <w:rPr>
          <w:rFonts w:ascii="宋体" w:hAnsi="宋体"/>
          <w:szCs w:val="21"/>
        </w:rPr>
      </w:pPr>
      <w:r>
        <w:rPr>
          <w:rFonts w:hint="eastAsia" w:ascii="宋体" w:hAnsi="宋体"/>
          <w:szCs w:val="21"/>
        </w:rPr>
        <w:t>（一）承包人承诺承担和履行合同和发包人所规定的安全责任，且满足要求。</w:t>
      </w:r>
    </w:p>
    <w:p>
      <w:pPr>
        <w:spacing w:line="360" w:lineRule="auto"/>
        <w:ind w:firstLine="420" w:firstLineChars="200"/>
        <w:jc w:val="left"/>
        <w:rPr>
          <w:rFonts w:ascii="宋体" w:hAnsi="宋体"/>
          <w:szCs w:val="21"/>
        </w:rPr>
      </w:pPr>
      <w:r>
        <w:rPr>
          <w:rFonts w:hint="eastAsia" w:ascii="宋体" w:hAnsi="宋体"/>
          <w:szCs w:val="21"/>
        </w:rPr>
        <w:t>（二）承包人的安全控制目标是确保本工程在实施过程中：</w:t>
      </w:r>
    </w:p>
    <w:p>
      <w:pPr>
        <w:spacing w:line="360" w:lineRule="auto"/>
        <w:ind w:firstLine="420" w:firstLineChars="200"/>
        <w:jc w:val="left"/>
        <w:rPr>
          <w:rFonts w:ascii="宋体" w:hAnsi="宋体"/>
          <w:szCs w:val="21"/>
        </w:rPr>
      </w:pPr>
      <w:r>
        <w:rPr>
          <w:rFonts w:hint="eastAsia" w:ascii="宋体" w:hAnsi="宋体"/>
          <w:szCs w:val="21"/>
        </w:rPr>
        <w:t>1．不发生人身重伤事故；</w:t>
      </w:r>
    </w:p>
    <w:p>
      <w:pPr>
        <w:spacing w:line="360" w:lineRule="auto"/>
        <w:ind w:firstLine="420" w:firstLineChars="200"/>
        <w:jc w:val="left"/>
        <w:rPr>
          <w:rFonts w:ascii="宋体" w:hAnsi="宋体"/>
          <w:szCs w:val="21"/>
        </w:rPr>
      </w:pPr>
      <w:r>
        <w:rPr>
          <w:rFonts w:hint="eastAsia" w:ascii="宋体" w:hAnsi="宋体"/>
          <w:szCs w:val="21"/>
        </w:rPr>
        <w:t>2．不发生火灾事故；</w:t>
      </w:r>
    </w:p>
    <w:p>
      <w:pPr>
        <w:spacing w:line="360" w:lineRule="auto"/>
        <w:ind w:firstLine="420" w:firstLineChars="200"/>
        <w:jc w:val="left"/>
        <w:rPr>
          <w:rFonts w:ascii="宋体" w:hAnsi="宋体"/>
          <w:szCs w:val="21"/>
        </w:rPr>
      </w:pPr>
      <w:r>
        <w:rPr>
          <w:rFonts w:hint="eastAsia" w:ascii="宋体" w:hAnsi="宋体"/>
          <w:szCs w:val="21"/>
        </w:rPr>
        <w:t>3．不发生负有同等及以上事故责任的造成人身重伤的一般交通事故；</w:t>
      </w:r>
    </w:p>
    <w:p>
      <w:pPr>
        <w:spacing w:line="360" w:lineRule="auto"/>
        <w:ind w:firstLine="420" w:firstLineChars="200"/>
        <w:jc w:val="left"/>
        <w:rPr>
          <w:rFonts w:ascii="宋体" w:hAnsi="宋体"/>
          <w:szCs w:val="21"/>
        </w:rPr>
      </w:pPr>
      <w:r>
        <w:rPr>
          <w:rFonts w:hint="eastAsia" w:ascii="宋体" w:hAnsi="宋体"/>
          <w:szCs w:val="21"/>
        </w:rPr>
        <w:t>4．不发生集体食物中毒事件（同时5人及以上的食物中毒）；</w:t>
      </w:r>
    </w:p>
    <w:p>
      <w:pPr>
        <w:spacing w:line="360" w:lineRule="auto"/>
        <w:ind w:firstLine="420" w:firstLineChars="200"/>
        <w:jc w:val="left"/>
        <w:rPr>
          <w:rFonts w:ascii="宋体" w:hAnsi="宋体"/>
          <w:szCs w:val="21"/>
        </w:rPr>
      </w:pPr>
      <w:r>
        <w:rPr>
          <w:rFonts w:hint="eastAsia" w:ascii="宋体" w:hAnsi="宋体"/>
          <w:szCs w:val="21"/>
        </w:rPr>
        <w:t>5．不发生流行性传染病 （无甲型传染病、其他常见传染病未形成多人同时患病）；</w:t>
      </w:r>
    </w:p>
    <w:p>
      <w:pPr>
        <w:spacing w:line="360" w:lineRule="auto"/>
        <w:ind w:firstLine="420" w:firstLineChars="200"/>
        <w:jc w:val="left"/>
        <w:rPr>
          <w:rFonts w:ascii="宋体" w:hAnsi="宋体"/>
          <w:szCs w:val="21"/>
        </w:rPr>
      </w:pPr>
      <w:r>
        <w:rPr>
          <w:rFonts w:hint="eastAsia" w:ascii="宋体" w:hAnsi="宋体"/>
          <w:szCs w:val="21"/>
        </w:rPr>
        <w:t>6．不发生重大环境污染事件（生活、工业垃圾及其他污染物造成环境污染和大面积水土流失）；</w:t>
      </w:r>
    </w:p>
    <w:p>
      <w:pPr>
        <w:spacing w:line="360" w:lineRule="auto"/>
        <w:ind w:firstLine="420" w:firstLineChars="200"/>
        <w:jc w:val="left"/>
        <w:rPr>
          <w:rFonts w:ascii="宋体" w:hAnsi="宋体"/>
          <w:szCs w:val="21"/>
        </w:rPr>
      </w:pPr>
      <w:r>
        <w:rPr>
          <w:rFonts w:hint="eastAsia" w:ascii="宋体" w:hAnsi="宋体"/>
          <w:szCs w:val="21"/>
        </w:rPr>
        <w:t>7．不发生对施工区附近生产、生活造成重大影响的事件（如造成重大设备损坏、重大财产损失、人员伤害等）；</w:t>
      </w:r>
    </w:p>
    <w:p>
      <w:pPr>
        <w:spacing w:line="360" w:lineRule="auto"/>
        <w:ind w:firstLine="420" w:firstLineChars="200"/>
        <w:jc w:val="left"/>
        <w:rPr>
          <w:rFonts w:ascii="宋体" w:hAnsi="宋体"/>
          <w:szCs w:val="21"/>
        </w:rPr>
      </w:pPr>
      <w:r>
        <w:rPr>
          <w:rFonts w:hint="eastAsia" w:ascii="宋体" w:hAnsi="宋体"/>
          <w:szCs w:val="21"/>
        </w:rPr>
        <w:t>8．不发生治安保卫事件（构成刑事拘留及以上的事件、盗窃直接损失超过1万元人民币的事件）。</w:t>
      </w:r>
    </w:p>
    <w:p>
      <w:pPr>
        <w:spacing w:line="360" w:lineRule="auto"/>
        <w:ind w:firstLine="420" w:firstLineChars="200"/>
        <w:jc w:val="left"/>
        <w:rPr>
          <w:rFonts w:ascii="宋体" w:hAnsi="宋体"/>
          <w:szCs w:val="21"/>
        </w:rPr>
      </w:pPr>
      <w:bookmarkStart w:id="1922" w:name="_Toc247431425"/>
      <w:bookmarkStart w:id="1923" w:name="_Toc239510291"/>
      <w:bookmarkStart w:id="1924" w:name="_Toc247418265"/>
      <w:r>
        <w:rPr>
          <w:rFonts w:hint="eastAsia" w:ascii="宋体" w:hAnsi="宋体"/>
          <w:szCs w:val="21"/>
        </w:rPr>
        <w:t>（三）承包人承诺在施工中控制以下安全事故的发生：</w:t>
      </w:r>
      <w:bookmarkEnd w:id="1922"/>
      <w:bookmarkEnd w:id="1923"/>
      <w:bookmarkEnd w:id="1924"/>
    </w:p>
    <w:p>
      <w:pPr>
        <w:spacing w:line="360" w:lineRule="auto"/>
        <w:ind w:firstLine="420" w:firstLineChars="200"/>
        <w:jc w:val="left"/>
        <w:rPr>
          <w:rFonts w:ascii="宋体" w:hAnsi="宋体"/>
          <w:szCs w:val="21"/>
        </w:rPr>
      </w:pPr>
      <w:r>
        <w:rPr>
          <w:rFonts w:hint="eastAsia" w:ascii="宋体" w:hAnsi="宋体"/>
          <w:szCs w:val="21"/>
        </w:rPr>
        <w:t>1．人员轻伤事故。</w:t>
      </w:r>
    </w:p>
    <w:p>
      <w:pPr>
        <w:spacing w:line="360" w:lineRule="auto"/>
        <w:ind w:firstLine="420" w:firstLineChars="200"/>
        <w:jc w:val="left"/>
        <w:rPr>
          <w:rFonts w:ascii="宋体" w:hAnsi="宋体"/>
          <w:szCs w:val="21"/>
        </w:rPr>
      </w:pPr>
      <w:r>
        <w:rPr>
          <w:rFonts w:hint="eastAsia" w:ascii="宋体" w:hAnsi="宋体"/>
          <w:szCs w:val="21"/>
        </w:rPr>
        <w:t>2．负有同等及以上事故责任的人身轻伤交通事故。</w:t>
      </w:r>
    </w:p>
    <w:p>
      <w:pPr>
        <w:spacing w:line="360" w:lineRule="auto"/>
        <w:ind w:firstLine="420" w:firstLineChars="200"/>
        <w:jc w:val="left"/>
        <w:rPr>
          <w:rFonts w:ascii="宋体" w:hAnsi="宋体"/>
          <w:szCs w:val="21"/>
        </w:rPr>
      </w:pPr>
      <w:r>
        <w:rPr>
          <w:rFonts w:hint="eastAsia" w:ascii="宋体" w:hAnsi="宋体"/>
          <w:szCs w:val="21"/>
        </w:rPr>
        <w:t>3．其他安全未遂事故和异常事件。</w:t>
      </w:r>
    </w:p>
    <w:p>
      <w:pPr>
        <w:spacing w:line="360" w:lineRule="auto"/>
        <w:ind w:firstLine="420" w:firstLineChars="200"/>
        <w:rPr>
          <w:rFonts w:ascii="宋体" w:hAnsi="宋体"/>
          <w:szCs w:val="21"/>
        </w:rPr>
      </w:pPr>
      <w:bookmarkStart w:id="1925" w:name="_Toc247431426"/>
      <w:bookmarkStart w:id="1926" w:name="_Toc247418266"/>
      <w:bookmarkStart w:id="1927" w:name="_Toc532375702"/>
      <w:bookmarkStart w:id="1928" w:name="_Toc239510292"/>
      <w:r>
        <w:rPr>
          <w:rFonts w:hint="eastAsia" w:ascii="宋体" w:hAnsi="宋体"/>
          <w:szCs w:val="21"/>
        </w:rPr>
        <w:t>三、安全责任</w:t>
      </w:r>
      <w:bookmarkEnd w:id="1925"/>
      <w:bookmarkEnd w:id="1926"/>
      <w:bookmarkEnd w:id="1927"/>
      <w:bookmarkEnd w:id="1928"/>
    </w:p>
    <w:p>
      <w:pPr>
        <w:spacing w:line="360" w:lineRule="auto"/>
        <w:ind w:firstLine="420" w:firstLineChars="200"/>
        <w:jc w:val="left"/>
        <w:rPr>
          <w:rFonts w:ascii="宋体" w:hAnsi="宋体"/>
          <w:szCs w:val="21"/>
        </w:rPr>
      </w:pPr>
      <w:r>
        <w:rPr>
          <w:rFonts w:hint="eastAsia" w:ascii="宋体" w:hAnsi="宋体"/>
          <w:szCs w:val="21"/>
        </w:rPr>
        <w:t>1．承包人负有安全生产的管理责任和直接责任。</w:t>
      </w:r>
    </w:p>
    <w:p>
      <w:pPr>
        <w:spacing w:line="360" w:lineRule="auto"/>
        <w:ind w:firstLine="420" w:firstLineChars="200"/>
        <w:jc w:val="left"/>
        <w:rPr>
          <w:rFonts w:ascii="宋体" w:hAnsi="宋体"/>
          <w:szCs w:val="21"/>
        </w:rPr>
      </w:pPr>
      <w:r>
        <w:rPr>
          <w:rFonts w:hint="eastAsia" w:ascii="宋体" w:hAnsi="宋体"/>
          <w:szCs w:val="21"/>
        </w:rPr>
        <w:t>2．承包人的法人或签署合同的公司总经理或受委托的代理人对合同安全负有全面的领导责任。</w:t>
      </w:r>
    </w:p>
    <w:p>
      <w:pPr>
        <w:spacing w:line="360" w:lineRule="auto"/>
        <w:ind w:firstLine="420" w:firstLineChars="200"/>
        <w:jc w:val="left"/>
        <w:rPr>
          <w:rFonts w:ascii="宋体" w:hAnsi="宋体"/>
          <w:szCs w:val="21"/>
        </w:rPr>
      </w:pPr>
      <w:r>
        <w:rPr>
          <w:rFonts w:hint="eastAsia" w:ascii="宋体" w:hAnsi="宋体"/>
          <w:szCs w:val="21"/>
        </w:rPr>
        <w:t>3．承包人项目经理对施工现场的安全工作负有全面的直接领导责任。</w:t>
      </w:r>
    </w:p>
    <w:p>
      <w:pPr>
        <w:spacing w:line="360" w:lineRule="auto"/>
        <w:ind w:firstLine="420" w:firstLineChars="200"/>
        <w:jc w:val="left"/>
        <w:rPr>
          <w:rFonts w:ascii="宋体" w:hAnsi="宋体"/>
          <w:szCs w:val="21"/>
        </w:rPr>
      </w:pPr>
      <w:r>
        <w:rPr>
          <w:rFonts w:hint="eastAsia" w:ascii="宋体" w:hAnsi="宋体"/>
          <w:szCs w:val="21"/>
        </w:rPr>
        <w:t>4．承包人保证执行“谁施工、谁负责”的施工安全原则。</w:t>
      </w:r>
    </w:p>
    <w:p>
      <w:pPr>
        <w:spacing w:line="360" w:lineRule="auto"/>
        <w:ind w:firstLine="420" w:firstLineChars="200"/>
        <w:jc w:val="left"/>
        <w:rPr>
          <w:rFonts w:ascii="宋体" w:hAnsi="宋体"/>
          <w:szCs w:val="21"/>
        </w:rPr>
      </w:pPr>
      <w:r>
        <w:rPr>
          <w:rFonts w:hint="eastAsia" w:ascii="宋体" w:hAnsi="宋体"/>
          <w:szCs w:val="21"/>
        </w:rPr>
        <w:t>5．承包人保证服从发包人对安全工作的统一协调和管理。</w:t>
      </w:r>
    </w:p>
    <w:p>
      <w:pPr>
        <w:spacing w:line="360" w:lineRule="auto"/>
        <w:ind w:firstLine="420" w:firstLineChars="200"/>
        <w:jc w:val="left"/>
        <w:rPr>
          <w:rFonts w:ascii="宋体" w:hAnsi="宋体"/>
          <w:szCs w:val="21"/>
        </w:rPr>
      </w:pPr>
      <w:r>
        <w:rPr>
          <w:rFonts w:hint="eastAsia" w:ascii="宋体" w:hAnsi="宋体"/>
          <w:szCs w:val="21"/>
        </w:rPr>
        <w:t>6．承包人保证对本工程项目安全生产条件及其管理资源自行投入，保证安全资金的专款专用。</w:t>
      </w:r>
    </w:p>
    <w:p>
      <w:pPr>
        <w:spacing w:line="360" w:lineRule="auto"/>
        <w:ind w:firstLine="420" w:firstLineChars="200"/>
        <w:jc w:val="left"/>
        <w:rPr>
          <w:rFonts w:ascii="宋体" w:hAnsi="宋体"/>
          <w:szCs w:val="21"/>
        </w:rPr>
      </w:pPr>
      <w:r>
        <w:rPr>
          <w:rFonts w:hint="eastAsia" w:ascii="宋体" w:hAnsi="宋体"/>
          <w:szCs w:val="21"/>
        </w:rPr>
        <w:t>7．承包人保证建立本工程项目的安全管理体系及安全保证体系（注：项目安全管理大纲/手册、管理性的程序文件等）。</w:t>
      </w:r>
    </w:p>
    <w:p>
      <w:pPr>
        <w:spacing w:line="360" w:lineRule="auto"/>
        <w:ind w:firstLine="420" w:firstLineChars="200"/>
        <w:jc w:val="left"/>
        <w:rPr>
          <w:rFonts w:ascii="宋体" w:hAnsi="宋体"/>
          <w:szCs w:val="21"/>
        </w:rPr>
      </w:pPr>
      <w:r>
        <w:rPr>
          <w:rFonts w:hint="eastAsia" w:ascii="宋体" w:hAnsi="宋体"/>
          <w:szCs w:val="21"/>
        </w:rPr>
        <w:t>8．承包人保证现场的安全管理专职人员必须持有建设主管部门安全生产培训考核合格证书。</w:t>
      </w:r>
    </w:p>
    <w:p>
      <w:pPr>
        <w:spacing w:line="360" w:lineRule="auto"/>
        <w:ind w:firstLine="420" w:firstLineChars="200"/>
        <w:jc w:val="left"/>
        <w:rPr>
          <w:rFonts w:ascii="宋体" w:hAnsi="宋体"/>
          <w:szCs w:val="21"/>
        </w:rPr>
      </w:pPr>
      <w:r>
        <w:rPr>
          <w:rFonts w:hint="eastAsia" w:ascii="宋体" w:hAnsi="宋体"/>
          <w:szCs w:val="21"/>
        </w:rPr>
        <w:t>9．承包人保证为现场所有工作人员（含分包商员工及劳务人员）配备符合国家标准的有承包人和/或其下属分包商标志的个人基本劳动保护用品。</w:t>
      </w:r>
    </w:p>
    <w:p>
      <w:pPr>
        <w:spacing w:line="360" w:lineRule="auto"/>
        <w:ind w:firstLine="420" w:firstLineChars="200"/>
        <w:jc w:val="left"/>
        <w:rPr>
          <w:rFonts w:ascii="宋体" w:hAnsi="宋体"/>
          <w:szCs w:val="21"/>
        </w:rPr>
      </w:pPr>
      <w:r>
        <w:rPr>
          <w:rFonts w:hint="eastAsia" w:ascii="宋体" w:hAnsi="宋体"/>
          <w:szCs w:val="21"/>
        </w:rPr>
        <w:t>10．承包人保证按照国家法律规定为现场所有工作人员（含分包商员工及劳务人员）购买意外伤害保险。</w:t>
      </w:r>
    </w:p>
    <w:p>
      <w:pPr>
        <w:spacing w:line="360" w:lineRule="auto"/>
        <w:ind w:firstLine="420" w:firstLineChars="200"/>
        <w:jc w:val="left"/>
        <w:rPr>
          <w:rFonts w:ascii="宋体" w:hAnsi="宋体"/>
          <w:szCs w:val="21"/>
        </w:rPr>
      </w:pPr>
      <w:r>
        <w:rPr>
          <w:rFonts w:hint="eastAsia" w:ascii="宋体" w:hAnsi="宋体"/>
          <w:szCs w:val="21"/>
        </w:rPr>
        <w:t>11．承包人保证施工生活营地（包括自建的和租用的营地）满足消防、安全用电、卫生防疫、防暴雨、防雷击等方面的安全要求。</w:t>
      </w:r>
    </w:p>
    <w:p>
      <w:pPr>
        <w:spacing w:line="360" w:lineRule="auto"/>
        <w:ind w:firstLine="420" w:firstLineChars="200"/>
        <w:jc w:val="left"/>
        <w:rPr>
          <w:rFonts w:ascii="宋体" w:hAnsi="宋体"/>
          <w:szCs w:val="21"/>
        </w:rPr>
      </w:pPr>
      <w:r>
        <w:rPr>
          <w:rFonts w:hint="eastAsia" w:ascii="宋体" w:hAnsi="宋体"/>
          <w:szCs w:val="21"/>
        </w:rPr>
        <w:t>12．承包人保证对带入现场的设备、工具、材料按照国家法规和标准进行检测、试验，并持有法定部门出具的检验证书。</w:t>
      </w:r>
    </w:p>
    <w:p>
      <w:pPr>
        <w:spacing w:line="360" w:lineRule="auto"/>
        <w:ind w:firstLine="420" w:firstLineChars="200"/>
        <w:jc w:val="left"/>
        <w:rPr>
          <w:rFonts w:ascii="宋体" w:hAnsi="宋体"/>
          <w:szCs w:val="21"/>
        </w:rPr>
      </w:pPr>
      <w:r>
        <w:rPr>
          <w:rFonts w:hint="eastAsia" w:ascii="宋体" w:hAnsi="宋体"/>
          <w:szCs w:val="21"/>
        </w:rPr>
        <w:t>13．承包人保证制订施工现场的文明施工措施，保护环境、树木和植被，保持施工现场的良好秩序和整洁的作业环境。</w:t>
      </w:r>
    </w:p>
    <w:p>
      <w:pPr>
        <w:spacing w:line="360" w:lineRule="auto"/>
        <w:ind w:firstLine="420" w:firstLineChars="200"/>
        <w:jc w:val="left"/>
        <w:rPr>
          <w:rFonts w:ascii="宋体" w:hAnsi="宋体"/>
          <w:szCs w:val="21"/>
        </w:rPr>
      </w:pPr>
      <w:r>
        <w:rPr>
          <w:rFonts w:hint="eastAsia" w:ascii="宋体" w:hAnsi="宋体"/>
          <w:szCs w:val="21"/>
        </w:rPr>
        <w:t>14．承包人负责在施工过程中与当地政府、周边群众及其他承包商保持良好的沟通和交流。承包人遇到与周边群众发生纠纷时，应负责协调工作，确保工程能够顺利进行。</w:t>
      </w:r>
    </w:p>
    <w:p>
      <w:pPr>
        <w:spacing w:line="360" w:lineRule="auto"/>
        <w:ind w:firstLine="420" w:firstLineChars="200"/>
        <w:rPr>
          <w:rFonts w:ascii="宋体" w:hAnsi="宋体"/>
          <w:szCs w:val="21"/>
        </w:rPr>
      </w:pPr>
      <w:bookmarkStart w:id="1929" w:name="_Toc532375703"/>
      <w:bookmarkStart w:id="1930" w:name="_Toc239510293"/>
      <w:bookmarkStart w:id="1931" w:name="_Toc247431427"/>
      <w:bookmarkStart w:id="1932" w:name="_Toc247418267"/>
      <w:r>
        <w:rPr>
          <w:rFonts w:hint="eastAsia" w:ascii="宋体" w:hAnsi="宋体"/>
          <w:szCs w:val="21"/>
        </w:rPr>
        <w:t>四、接口及协调</w:t>
      </w:r>
      <w:bookmarkEnd w:id="1929"/>
      <w:bookmarkEnd w:id="1930"/>
      <w:bookmarkEnd w:id="1931"/>
      <w:bookmarkEnd w:id="1932"/>
    </w:p>
    <w:p>
      <w:pPr>
        <w:spacing w:line="360" w:lineRule="auto"/>
        <w:ind w:firstLine="420" w:firstLineChars="200"/>
        <w:jc w:val="left"/>
        <w:rPr>
          <w:rFonts w:ascii="宋体" w:hAnsi="宋体"/>
          <w:szCs w:val="21"/>
        </w:rPr>
      </w:pPr>
      <w:r>
        <w:rPr>
          <w:rFonts w:hint="eastAsia" w:ascii="宋体" w:hAnsi="宋体"/>
          <w:szCs w:val="21"/>
        </w:rPr>
        <w:t>1．发包人委托监理公司对该工程实施监理，监理公司在安全管理方面代表发包人行使监督检查职能，承包人必须给予配合和支持。</w:t>
      </w:r>
    </w:p>
    <w:p>
      <w:pPr>
        <w:spacing w:line="360" w:lineRule="auto"/>
        <w:ind w:firstLine="420" w:firstLineChars="200"/>
        <w:jc w:val="left"/>
        <w:rPr>
          <w:rFonts w:ascii="宋体" w:hAnsi="宋体"/>
          <w:szCs w:val="21"/>
        </w:rPr>
      </w:pPr>
      <w:r>
        <w:rPr>
          <w:rFonts w:hint="eastAsia" w:ascii="宋体" w:hAnsi="宋体"/>
          <w:szCs w:val="21"/>
        </w:rPr>
        <w:t>2．承包人人员、车辆的出入，带入现场的设备、机具、材料，在现场使用的或直接管理的办公、生活、生产性设施的安全管理须满足发包人现场管理的基本要求。</w:t>
      </w:r>
    </w:p>
    <w:p>
      <w:pPr>
        <w:spacing w:line="360" w:lineRule="auto"/>
        <w:ind w:firstLine="420" w:firstLineChars="200"/>
        <w:jc w:val="left"/>
        <w:rPr>
          <w:rFonts w:ascii="宋体" w:hAnsi="宋体"/>
          <w:szCs w:val="21"/>
        </w:rPr>
      </w:pPr>
      <w:r>
        <w:rPr>
          <w:rFonts w:hint="eastAsia" w:ascii="宋体" w:hAnsi="宋体"/>
          <w:szCs w:val="21"/>
        </w:rPr>
        <w:t>3．承包人应指定专职安全管理人员与发包人委托的监理公司接口，参与安全协调和管理。安全协调和管理的内容包括职业健康、工业安全、消防安全、卫生防疫、交通安全、环境保护、治安保卫等各方面。</w:t>
      </w:r>
    </w:p>
    <w:p>
      <w:pPr>
        <w:spacing w:line="360" w:lineRule="auto"/>
        <w:ind w:firstLine="420" w:firstLineChars="200"/>
        <w:jc w:val="left"/>
        <w:rPr>
          <w:rFonts w:ascii="宋体" w:hAnsi="宋体"/>
          <w:szCs w:val="21"/>
        </w:rPr>
      </w:pPr>
      <w:r>
        <w:rPr>
          <w:rFonts w:hint="eastAsia" w:ascii="宋体" w:hAnsi="宋体"/>
          <w:szCs w:val="21"/>
        </w:rPr>
        <w:t>4．承包人的专职安全管理人员应具备协调安全工作的能力和授权。发包人委托的监理公司有权对专职安全管理人员的能力和权力做出评价，对于不能胜任的专职安全管理人员，发包人委托的监理公司有权要求承包人换人。</w:t>
      </w:r>
    </w:p>
    <w:p>
      <w:pPr>
        <w:spacing w:line="360" w:lineRule="auto"/>
        <w:ind w:firstLine="420" w:firstLineChars="200"/>
        <w:jc w:val="left"/>
        <w:rPr>
          <w:rFonts w:ascii="宋体" w:hAnsi="宋体"/>
          <w:szCs w:val="21"/>
        </w:rPr>
      </w:pPr>
      <w:r>
        <w:rPr>
          <w:rFonts w:hint="eastAsia" w:ascii="宋体" w:hAnsi="宋体"/>
          <w:szCs w:val="21"/>
        </w:rPr>
        <w:t>5．承包人指定的专职安全管理人员应与发包人委托的监理公司建立联系，在业务上接受发包人委托的监理公司的协调和指导。</w:t>
      </w:r>
    </w:p>
    <w:p>
      <w:pPr>
        <w:spacing w:line="360" w:lineRule="auto"/>
        <w:ind w:firstLine="420" w:firstLineChars="200"/>
        <w:jc w:val="left"/>
        <w:rPr>
          <w:rFonts w:ascii="宋体" w:hAnsi="宋体"/>
          <w:szCs w:val="21"/>
        </w:rPr>
      </w:pPr>
      <w:r>
        <w:rPr>
          <w:rFonts w:hint="eastAsia" w:ascii="宋体" w:hAnsi="宋体"/>
          <w:szCs w:val="21"/>
        </w:rPr>
        <w:t>6．开工后承包人的专职安全管理人员应按照发包人委托的监理公司的规定，定期报送安全月度快报、季报、年报和各种专项事故报告等。</w:t>
      </w:r>
    </w:p>
    <w:p>
      <w:pPr>
        <w:spacing w:line="360" w:lineRule="auto"/>
        <w:ind w:firstLine="420" w:firstLineChars="200"/>
        <w:jc w:val="left"/>
        <w:rPr>
          <w:rFonts w:ascii="宋体" w:hAnsi="宋体"/>
          <w:szCs w:val="21"/>
        </w:rPr>
      </w:pPr>
      <w:r>
        <w:rPr>
          <w:rFonts w:hint="eastAsia" w:ascii="宋体" w:hAnsi="宋体"/>
          <w:szCs w:val="21"/>
        </w:rPr>
        <w:t>7．在工程实体未全部正式移交发包人施工管理部门之前，承包人依旧对施工范围内的安全管理负责。</w:t>
      </w:r>
    </w:p>
    <w:p>
      <w:pPr>
        <w:spacing w:line="360" w:lineRule="auto"/>
        <w:ind w:firstLine="420" w:firstLineChars="200"/>
        <w:rPr>
          <w:rFonts w:ascii="宋体" w:hAnsi="宋体"/>
          <w:szCs w:val="21"/>
        </w:rPr>
      </w:pPr>
      <w:bookmarkStart w:id="1933" w:name="_Toc247431428"/>
      <w:bookmarkStart w:id="1934" w:name="_Toc239510294"/>
      <w:bookmarkStart w:id="1935" w:name="_Toc247418268"/>
      <w:bookmarkStart w:id="1936" w:name="_Toc532375704"/>
      <w:r>
        <w:rPr>
          <w:rFonts w:hint="eastAsia" w:ascii="宋体" w:hAnsi="宋体"/>
          <w:szCs w:val="21"/>
        </w:rPr>
        <w:t>五、安全资质审查</w:t>
      </w:r>
      <w:bookmarkEnd w:id="1933"/>
      <w:bookmarkEnd w:id="1934"/>
      <w:bookmarkEnd w:id="1935"/>
      <w:bookmarkEnd w:id="1936"/>
    </w:p>
    <w:p>
      <w:pPr>
        <w:spacing w:line="360" w:lineRule="auto"/>
        <w:ind w:firstLine="420" w:firstLineChars="200"/>
        <w:jc w:val="left"/>
        <w:rPr>
          <w:rFonts w:ascii="宋体" w:hAnsi="宋体"/>
          <w:szCs w:val="21"/>
        </w:rPr>
      </w:pPr>
      <w:r>
        <w:rPr>
          <w:rFonts w:hint="eastAsia" w:ascii="宋体" w:hAnsi="宋体"/>
          <w:szCs w:val="21"/>
        </w:rPr>
        <w:t>承包人在项目开工前5个工作天内向发包人委托的监理公司提供以下安全资质供审查和存档：</w:t>
      </w:r>
    </w:p>
    <w:p>
      <w:pPr>
        <w:spacing w:line="360" w:lineRule="auto"/>
        <w:ind w:firstLine="420" w:firstLineChars="200"/>
        <w:jc w:val="left"/>
        <w:rPr>
          <w:rFonts w:ascii="宋体" w:hAnsi="宋体"/>
          <w:szCs w:val="21"/>
        </w:rPr>
      </w:pPr>
      <w:r>
        <w:rPr>
          <w:rFonts w:hint="eastAsia" w:ascii="宋体" w:hAnsi="宋体"/>
          <w:szCs w:val="21"/>
        </w:rPr>
        <w:t>1．企业安全生产许可证书复印件。</w:t>
      </w:r>
    </w:p>
    <w:p>
      <w:pPr>
        <w:spacing w:line="360" w:lineRule="auto"/>
        <w:ind w:firstLine="420" w:firstLineChars="200"/>
        <w:jc w:val="left"/>
        <w:rPr>
          <w:rFonts w:ascii="宋体" w:hAnsi="宋体"/>
          <w:szCs w:val="21"/>
        </w:rPr>
      </w:pPr>
      <w:r>
        <w:rPr>
          <w:rFonts w:hint="eastAsia" w:ascii="宋体" w:hAnsi="宋体"/>
          <w:szCs w:val="21"/>
        </w:rPr>
        <w:t>2．企业近三年的施工简历及安全施工业绩证明文件。</w:t>
      </w:r>
    </w:p>
    <w:p>
      <w:pPr>
        <w:spacing w:line="360" w:lineRule="auto"/>
        <w:ind w:firstLine="420" w:firstLineChars="200"/>
        <w:jc w:val="left"/>
        <w:rPr>
          <w:rFonts w:ascii="宋体" w:hAnsi="宋体"/>
          <w:szCs w:val="21"/>
        </w:rPr>
      </w:pPr>
      <w:r>
        <w:rPr>
          <w:rFonts w:hint="eastAsia" w:ascii="宋体" w:hAnsi="宋体"/>
          <w:szCs w:val="21"/>
        </w:rPr>
        <w:t>3．企业主要安全管理人员（包括项目经理、专职安全管理人员）经建设主管部门安全生产知识考核合格证书。</w:t>
      </w:r>
    </w:p>
    <w:p>
      <w:pPr>
        <w:spacing w:line="360" w:lineRule="auto"/>
        <w:ind w:firstLine="420" w:firstLineChars="200"/>
        <w:jc w:val="left"/>
        <w:rPr>
          <w:rFonts w:ascii="宋体" w:hAnsi="宋体"/>
          <w:szCs w:val="21"/>
        </w:rPr>
      </w:pPr>
      <w:r>
        <w:rPr>
          <w:rFonts w:hint="eastAsia" w:ascii="宋体" w:hAnsi="宋体"/>
          <w:szCs w:val="21"/>
        </w:rPr>
        <w:t>4．特种作业人员资格证书。</w:t>
      </w:r>
    </w:p>
    <w:p>
      <w:pPr>
        <w:spacing w:line="360" w:lineRule="auto"/>
        <w:ind w:firstLine="420" w:firstLineChars="200"/>
        <w:jc w:val="left"/>
        <w:rPr>
          <w:rFonts w:ascii="宋体" w:hAnsi="宋体"/>
          <w:szCs w:val="21"/>
        </w:rPr>
      </w:pPr>
      <w:r>
        <w:rPr>
          <w:rFonts w:hint="eastAsia" w:ascii="宋体" w:hAnsi="宋体"/>
          <w:szCs w:val="21"/>
        </w:rPr>
        <w:t>5．项目安全管理机构及其人员配备（承包人必须配有专职的安全员）。</w:t>
      </w:r>
    </w:p>
    <w:p>
      <w:pPr>
        <w:spacing w:line="360" w:lineRule="auto"/>
        <w:ind w:firstLine="420" w:firstLineChars="200"/>
        <w:jc w:val="left"/>
        <w:rPr>
          <w:rFonts w:ascii="宋体" w:hAnsi="宋体"/>
          <w:szCs w:val="21"/>
        </w:rPr>
      </w:pPr>
      <w:r>
        <w:rPr>
          <w:rFonts w:hint="eastAsia" w:ascii="宋体" w:hAnsi="宋体"/>
          <w:szCs w:val="21"/>
        </w:rPr>
        <w:t>6．适用于项目的安全管理体系及保证体系文件（安全管理大纲及管理程序文件）。</w:t>
      </w:r>
    </w:p>
    <w:p>
      <w:pPr>
        <w:spacing w:line="360" w:lineRule="auto"/>
        <w:ind w:firstLine="420" w:firstLineChars="200"/>
        <w:rPr>
          <w:rFonts w:ascii="宋体" w:hAnsi="宋体"/>
          <w:szCs w:val="21"/>
        </w:rPr>
      </w:pPr>
      <w:bookmarkStart w:id="1937" w:name="_Toc239510295"/>
      <w:bookmarkStart w:id="1938" w:name="_Toc532375705"/>
      <w:bookmarkStart w:id="1939" w:name="_Toc247418269"/>
      <w:bookmarkStart w:id="1940" w:name="_Toc247431429"/>
      <w:r>
        <w:rPr>
          <w:rFonts w:hint="eastAsia" w:ascii="宋体" w:hAnsi="宋体"/>
          <w:szCs w:val="21"/>
        </w:rPr>
        <w:t>六、人员基本素质</w:t>
      </w:r>
      <w:bookmarkEnd w:id="1937"/>
      <w:bookmarkEnd w:id="1938"/>
      <w:bookmarkEnd w:id="1939"/>
      <w:bookmarkEnd w:id="1940"/>
    </w:p>
    <w:p>
      <w:pPr>
        <w:spacing w:line="360" w:lineRule="auto"/>
        <w:ind w:firstLine="420" w:firstLineChars="200"/>
        <w:jc w:val="left"/>
        <w:rPr>
          <w:rFonts w:ascii="宋体" w:hAnsi="宋体"/>
          <w:szCs w:val="21"/>
        </w:rPr>
      </w:pPr>
      <w:r>
        <w:rPr>
          <w:rFonts w:hint="eastAsia" w:ascii="宋体" w:hAnsi="宋体"/>
          <w:szCs w:val="21"/>
        </w:rPr>
        <w:t>承包人提供的人员必须满足下列要求：</w:t>
      </w:r>
    </w:p>
    <w:p>
      <w:pPr>
        <w:spacing w:line="360" w:lineRule="auto"/>
        <w:ind w:firstLine="420" w:firstLineChars="200"/>
        <w:jc w:val="left"/>
        <w:rPr>
          <w:rFonts w:ascii="宋体" w:hAnsi="宋体"/>
          <w:szCs w:val="21"/>
        </w:rPr>
      </w:pPr>
      <w:r>
        <w:rPr>
          <w:rFonts w:hint="eastAsia" w:ascii="宋体" w:hAnsi="宋体"/>
          <w:szCs w:val="21"/>
        </w:rPr>
        <w:t>1．身体健康，无影响工作的精神疾病、无传染病和其他重大疾病；承包人需对其雇用的施工人员签发健康声明并保证其健康。其中体检证明材料（县级以上医院）和健康声明作为人员办理入场证件的必备材料。</w:t>
      </w:r>
    </w:p>
    <w:p>
      <w:pPr>
        <w:spacing w:line="360" w:lineRule="auto"/>
        <w:ind w:firstLine="420" w:firstLineChars="200"/>
        <w:jc w:val="left"/>
        <w:rPr>
          <w:rFonts w:ascii="宋体" w:hAnsi="宋体"/>
          <w:szCs w:val="21"/>
        </w:rPr>
      </w:pPr>
      <w:r>
        <w:rPr>
          <w:rFonts w:hint="eastAsia" w:ascii="宋体" w:hAnsi="宋体"/>
          <w:szCs w:val="21"/>
        </w:rPr>
        <w:t>2．无刑事案件牵连。</w:t>
      </w:r>
    </w:p>
    <w:p>
      <w:pPr>
        <w:spacing w:line="360" w:lineRule="auto"/>
        <w:ind w:firstLine="420" w:firstLineChars="200"/>
        <w:jc w:val="left"/>
        <w:rPr>
          <w:rFonts w:ascii="宋体" w:hAnsi="宋体"/>
          <w:szCs w:val="21"/>
        </w:rPr>
      </w:pPr>
      <w:r>
        <w:rPr>
          <w:rFonts w:hint="eastAsia" w:ascii="宋体" w:hAnsi="宋体"/>
          <w:szCs w:val="21"/>
        </w:rPr>
        <w:t>3．无吸毒、酗酒、赌博、嫖娼等恶习及违法行为。</w:t>
      </w:r>
    </w:p>
    <w:p>
      <w:pPr>
        <w:spacing w:line="360" w:lineRule="auto"/>
        <w:ind w:firstLine="420" w:firstLineChars="200"/>
        <w:rPr>
          <w:rFonts w:ascii="宋体" w:hAnsi="宋体"/>
          <w:szCs w:val="21"/>
        </w:rPr>
      </w:pPr>
      <w:bookmarkStart w:id="1941" w:name="_Toc239510296"/>
      <w:bookmarkStart w:id="1942" w:name="_Toc247418270"/>
      <w:bookmarkStart w:id="1943" w:name="_Toc532375706"/>
      <w:bookmarkStart w:id="1944" w:name="_Toc247431430"/>
      <w:r>
        <w:rPr>
          <w:rFonts w:hint="eastAsia" w:ascii="宋体" w:hAnsi="宋体"/>
          <w:szCs w:val="21"/>
        </w:rPr>
        <w:t>七、劳动保护</w:t>
      </w:r>
      <w:bookmarkEnd w:id="1941"/>
      <w:bookmarkEnd w:id="1942"/>
      <w:bookmarkEnd w:id="1943"/>
      <w:bookmarkEnd w:id="1944"/>
    </w:p>
    <w:p>
      <w:pPr>
        <w:spacing w:line="360" w:lineRule="auto"/>
        <w:ind w:firstLine="420" w:firstLineChars="200"/>
        <w:jc w:val="left"/>
        <w:rPr>
          <w:rFonts w:ascii="宋体" w:hAnsi="宋体"/>
          <w:szCs w:val="21"/>
        </w:rPr>
      </w:pPr>
      <w:r>
        <w:rPr>
          <w:rFonts w:hint="eastAsia" w:ascii="宋体" w:hAnsi="宋体"/>
          <w:szCs w:val="21"/>
        </w:rPr>
        <w:t>1．承包人负责为本单位任何用工形式的员工提供个人劳动保护用品（包括工作服、安全帽、安全鞋等）。</w:t>
      </w:r>
    </w:p>
    <w:p>
      <w:pPr>
        <w:spacing w:line="360" w:lineRule="auto"/>
        <w:ind w:firstLine="420" w:firstLineChars="200"/>
        <w:jc w:val="left"/>
        <w:rPr>
          <w:rFonts w:ascii="宋体" w:hAnsi="宋体"/>
          <w:szCs w:val="21"/>
        </w:rPr>
      </w:pPr>
      <w:r>
        <w:rPr>
          <w:rFonts w:hint="eastAsia" w:ascii="宋体" w:hAnsi="宋体"/>
          <w:szCs w:val="21"/>
        </w:rPr>
        <w:t>2．承包人负责向特殊工种的员工提供特殊劳动保护，否则不得从事特殊工种作业。</w:t>
      </w:r>
    </w:p>
    <w:p>
      <w:pPr>
        <w:spacing w:line="360" w:lineRule="auto"/>
        <w:ind w:firstLine="420" w:firstLineChars="200"/>
        <w:jc w:val="left"/>
        <w:rPr>
          <w:rFonts w:ascii="宋体" w:hAnsi="宋体"/>
          <w:szCs w:val="21"/>
        </w:rPr>
      </w:pPr>
      <w:r>
        <w:rPr>
          <w:rFonts w:hint="eastAsia" w:ascii="宋体" w:hAnsi="宋体"/>
          <w:szCs w:val="21"/>
        </w:rPr>
        <w:t>3．发包人委托的监理公司有权检查承包人的个人劳动保护用品是否符合国家的相应标准。</w:t>
      </w:r>
    </w:p>
    <w:p>
      <w:pPr>
        <w:spacing w:line="360" w:lineRule="auto"/>
        <w:ind w:firstLine="420" w:firstLineChars="200"/>
        <w:jc w:val="left"/>
        <w:rPr>
          <w:rFonts w:ascii="宋体" w:hAnsi="宋体"/>
          <w:szCs w:val="21"/>
        </w:rPr>
      </w:pPr>
      <w:r>
        <w:rPr>
          <w:rFonts w:hint="eastAsia" w:ascii="宋体" w:hAnsi="宋体"/>
          <w:szCs w:val="21"/>
        </w:rPr>
        <w:t>4． 承包人在特殊风险场所作业而需要特殊防护用品或安全仪表时，必须在上述防护用品全部到位后才能开工。</w:t>
      </w:r>
    </w:p>
    <w:p>
      <w:pPr>
        <w:spacing w:line="360" w:lineRule="auto"/>
        <w:ind w:firstLine="420" w:firstLineChars="200"/>
        <w:jc w:val="left"/>
        <w:rPr>
          <w:rFonts w:ascii="宋体" w:hAnsi="宋体"/>
          <w:szCs w:val="21"/>
        </w:rPr>
      </w:pPr>
      <w:r>
        <w:rPr>
          <w:rFonts w:hint="eastAsia" w:ascii="宋体" w:hAnsi="宋体"/>
          <w:szCs w:val="21"/>
        </w:rPr>
        <w:t>5．承包人应配备临时安全围栏、警示带、警告标志、防火布等集体防护用品。</w:t>
      </w:r>
    </w:p>
    <w:p>
      <w:pPr>
        <w:spacing w:line="360" w:lineRule="auto"/>
        <w:ind w:firstLine="420" w:firstLineChars="200"/>
        <w:rPr>
          <w:rFonts w:ascii="宋体" w:hAnsi="宋体"/>
          <w:szCs w:val="21"/>
        </w:rPr>
      </w:pPr>
      <w:bookmarkStart w:id="1945" w:name="_Toc532375707"/>
      <w:bookmarkStart w:id="1946" w:name="_Toc247418271"/>
      <w:bookmarkStart w:id="1947" w:name="_Toc247431431"/>
      <w:bookmarkStart w:id="1948" w:name="_Toc239510297"/>
      <w:r>
        <w:rPr>
          <w:rFonts w:hint="eastAsia" w:ascii="宋体" w:hAnsi="宋体"/>
          <w:szCs w:val="21"/>
        </w:rPr>
        <w:t>八、施工机具与材料</w:t>
      </w:r>
      <w:bookmarkEnd w:id="1945"/>
      <w:bookmarkEnd w:id="1946"/>
      <w:bookmarkEnd w:id="1947"/>
      <w:bookmarkEnd w:id="1948"/>
    </w:p>
    <w:p>
      <w:pPr>
        <w:spacing w:line="360" w:lineRule="auto"/>
        <w:ind w:firstLine="420" w:firstLineChars="200"/>
        <w:jc w:val="left"/>
        <w:rPr>
          <w:rFonts w:ascii="宋体" w:hAnsi="宋体"/>
          <w:szCs w:val="21"/>
        </w:rPr>
      </w:pPr>
      <w:r>
        <w:rPr>
          <w:rFonts w:hint="eastAsia" w:ascii="宋体" w:hAnsi="宋体"/>
          <w:szCs w:val="21"/>
        </w:rPr>
        <w:t>1．承包人对带入现场的施工机械和工器具的安全负责。</w:t>
      </w:r>
    </w:p>
    <w:p>
      <w:pPr>
        <w:spacing w:line="360" w:lineRule="auto"/>
        <w:ind w:firstLine="420" w:firstLineChars="200"/>
        <w:jc w:val="left"/>
        <w:rPr>
          <w:rFonts w:ascii="宋体" w:hAnsi="宋体"/>
          <w:szCs w:val="21"/>
        </w:rPr>
      </w:pPr>
      <w:r>
        <w:rPr>
          <w:rFonts w:hint="eastAsia" w:ascii="宋体" w:hAnsi="宋体"/>
          <w:szCs w:val="21"/>
        </w:rPr>
        <w:t>2．对于承包人带入现场的特殊工器具，如起重设备、索具、机动车辆、压缩气瓶等，承包人必须按国家法规和标准进行检测、试验，并持有法定部门出具的检验证书。</w:t>
      </w:r>
    </w:p>
    <w:p>
      <w:pPr>
        <w:spacing w:line="360" w:lineRule="auto"/>
        <w:ind w:firstLine="420" w:firstLineChars="200"/>
        <w:jc w:val="left"/>
        <w:rPr>
          <w:rFonts w:ascii="宋体" w:hAnsi="宋体"/>
          <w:szCs w:val="21"/>
        </w:rPr>
      </w:pPr>
      <w:r>
        <w:rPr>
          <w:rFonts w:hint="eastAsia" w:ascii="宋体" w:hAnsi="宋体"/>
          <w:szCs w:val="21"/>
        </w:rPr>
        <w:t>3．对于不属于法定检测的工器具，承包人也必须建立相应的管理、检测制度，这些工器具包括登高工具、脚手架材料、电动工具、安全防护设备及用具等。</w:t>
      </w:r>
    </w:p>
    <w:p>
      <w:pPr>
        <w:spacing w:line="360" w:lineRule="auto"/>
        <w:ind w:firstLine="420" w:firstLineChars="200"/>
        <w:rPr>
          <w:rFonts w:ascii="宋体" w:hAnsi="宋体"/>
          <w:szCs w:val="21"/>
        </w:rPr>
      </w:pPr>
      <w:bookmarkStart w:id="1949" w:name="_Toc239510298"/>
      <w:bookmarkStart w:id="1950" w:name="_Toc247431432"/>
      <w:bookmarkStart w:id="1951" w:name="_Toc532375708"/>
      <w:bookmarkStart w:id="1952" w:name="_Toc247418272"/>
      <w:r>
        <w:rPr>
          <w:rFonts w:hint="eastAsia" w:ascii="宋体" w:hAnsi="宋体"/>
          <w:szCs w:val="21"/>
        </w:rPr>
        <w:t>九、开工前安全条件检查</w:t>
      </w:r>
      <w:bookmarkEnd w:id="1949"/>
      <w:bookmarkEnd w:id="1950"/>
      <w:bookmarkEnd w:id="1951"/>
      <w:bookmarkEnd w:id="1952"/>
    </w:p>
    <w:p>
      <w:pPr>
        <w:spacing w:line="360" w:lineRule="auto"/>
        <w:ind w:firstLine="420" w:firstLineChars="200"/>
        <w:jc w:val="left"/>
        <w:rPr>
          <w:rFonts w:ascii="宋体" w:hAnsi="宋体"/>
          <w:szCs w:val="21"/>
        </w:rPr>
      </w:pPr>
      <w:r>
        <w:rPr>
          <w:rFonts w:hint="eastAsia" w:ascii="宋体" w:hAnsi="宋体"/>
          <w:szCs w:val="21"/>
        </w:rPr>
        <w:t>1．发包人委托的监理公司将在合同生效后，工程项目正式开工5个工作日前，依据合同安全条款的要求逐项对承包人安全准备情况进行检查。不满足开工安全条件时，承包人将不得开工，由此产生的工期和成本的影响，由承包人自行负责。</w:t>
      </w:r>
    </w:p>
    <w:p>
      <w:pPr>
        <w:spacing w:line="360" w:lineRule="auto"/>
        <w:ind w:firstLine="420" w:firstLineChars="200"/>
        <w:jc w:val="left"/>
        <w:rPr>
          <w:rFonts w:ascii="宋体" w:hAnsi="宋体"/>
          <w:szCs w:val="21"/>
        </w:rPr>
      </w:pPr>
      <w:r>
        <w:rPr>
          <w:rFonts w:hint="eastAsia" w:ascii="宋体" w:hAnsi="宋体"/>
          <w:szCs w:val="21"/>
        </w:rPr>
        <w:t>2．开工前安全条件检查的基本内容包括：安全管理体系建设、安全资金投入、危险源识别和安全风险分析、施工机械的安全状况、安全工器具和材料、安全培训教材和教员、专职安全人员的到岗情况、培训的有效性、人员控制、个人劳动保护用品配备等内容。</w:t>
      </w:r>
    </w:p>
    <w:p>
      <w:pPr>
        <w:spacing w:line="360" w:lineRule="auto"/>
        <w:ind w:firstLine="420" w:firstLineChars="200"/>
        <w:jc w:val="left"/>
        <w:rPr>
          <w:rFonts w:ascii="宋体" w:hAnsi="宋体"/>
          <w:szCs w:val="21"/>
        </w:rPr>
      </w:pPr>
      <w:r>
        <w:rPr>
          <w:rFonts w:hint="eastAsia" w:ascii="宋体" w:hAnsi="宋体"/>
          <w:szCs w:val="21"/>
        </w:rPr>
        <w:t>3．发包人委托的监理公司检查发现的缺陷，承包人应在规定期限内完成整改。对于重大缺陷，发包人委托的监理公司有权要求承包人推迟开工，由此对工期产生的影响或经济损失，由承包人承担。</w:t>
      </w:r>
    </w:p>
    <w:p>
      <w:pPr>
        <w:spacing w:line="360" w:lineRule="auto"/>
        <w:ind w:firstLine="420" w:firstLineChars="200"/>
        <w:rPr>
          <w:rFonts w:ascii="宋体" w:hAnsi="宋体"/>
          <w:szCs w:val="21"/>
        </w:rPr>
      </w:pPr>
      <w:bookmarkStart w:id="1953" w:name="_Toc532375709"/>
      <w:bookmarkStart w:id="1954" w:name="_Toc247431433"/>
      <w:bookmarkStart w:id="1955" w:name="_Toc239510299"/>
      <w:bookmarkStart w:id="1956" w:name="_Toc247418273"/>
      <w:r>
        <w:rPr>
          <w:rFonts w:hint="eastAsia" w:ascii="宋体" w:hAnsi="宋体"/>
          <w:szCs w:val="21"/>
        </w:rPr>
        <w:t>十、安全监督</w:t>
      </w:r>
      <w:bookmarkEnd w:id="1953"/>
      <w:bookmarkEnd w:id="1954"/>
      <w:bookmarkEnd w:id="1955"/>
      <w:bookmarkEnd w:id="1956"/>
    </w:p>
    <w:p>
      <w:pPr>
        <w:spacing w:line="360" w:lineRule="auto"/>
        <w:ind w:firstLine="420" w:firstLineChars="200"/>
        <w:jc w:val="left"/>
        <w:rPr>
          <w:rFonts w:ascii="宋体" w:hAnsi="宋体"/>
          <w:szCs w:val="21"/>
        </w:rPr>
      </w:pPr>
      <w:r>
        <w:rPr>
          <w:rFonts w:hint="eastAsia" w:ascii="宋体" w:hAnsi="宋体"/>
          <w:szCs w:val="21"/>
        </w:rPr>
        <w:t>1．承包人应配备有满足项目安全管理需要的专职安全管理人员。</w:t>
      </w:r>
    </w:p>
    <w:p>
      <w:pPr>
        <w:spacing w:line="360" w:lineRule="auto"/>
        <w:ind w:firstLine="420" w:firstLineChars="200"/>
        <w:jc w:val="left"/>
        <w:rPr>
          <w:rFonts w:ascii="宋体" w:hAnsi="宋体"/>
          <w:szCs w:val="21"/>
        </w:rPr>
      </w:pPr>
      <w:r>
        <w:rPr>
          <w:rFonts w:hint="eastAsia" w:ascii="宋体" w:hAnsi="宋体"/>
          <w:szCs w:val="21"/>
        </w:rPr>
        <w:t>2．承包人的专职安全管理人员必须持建设主管部门颁发的安全生产知识考核合格证书。</w:t>
      </w:r>
    </w:p>
    <w:p>
      <w:pPr>
        <w:spacing w:line="360" w:lineRule="auto"/>
        <w:ind w:firstLine="420" w:firstLineChars="200"/>
        <w:jc w:val="left"/>
        <w:rPr>
          <w:rFonts w:ascii="宋体" w:hAnsi="宋体"/>
          <w:szCs w:val="21"/>
        </w:rPr>
      </w:pPr>
      <w:r>
        <w:rPr>
          <w:rFonts w:hint="eastAsia" w:ascii="宋体" w:hAnsi="宋体"/>
          <w:szCs w:val="21"/>
        </w:rPr>
        <w:t>3．承包人的专职安全管理人员在业务上接受发包人委托的监理公司和发包人安全管理部门的协调和指导。</w:t>
      </w:r>
    </w:p>
    <w:p>
      <w:pPr>
        <w:spacing w:line="360" w:lineRule="auto"/>
        <w:ind w:firstLine="420" w:firstLineChars="200"/>
        <w:jc w:val="left"/>
        <w:rPr>
          <w:rFonts w:ascii="宋体" w:hAnsi="宋体"/>
          <w:szCs w:val="21"/>
        </w:rPr>
      </w:pPr>
      <w:r>
        <w:rPr>
          <w:rFonts w:hint="eastAsia" w:ascii="宋体" w:hAnsi="宋体"/>
          <w:szCs w:val="21"/>
        </w:rPr>
        <w:t>4．承包人应建立班前安全交底制度；施工期间坚持开展安全检查和日常安全监督并形成相应的记录。</w:t>
      </w:r>
    </w:p>
    <w:p>
      <w:pPr>
        <w:spacing w:line="360" w:lineRule="auto"/>
        <w:ind w:firstLine="420" w:firstLineChars="200"/>
        <w:jc w:val="left"/>
        <w:rPr>
          <w:rFonts w:ascii="宋体" w:hAnsi="宋体"/>
          <w:szCs w:val="21"/>
        </w:rPr>
      </w:pPr>
      <w:r>
        <w:rPr>
          <w:rFonts w:hint="eastAsia" w:ascii="宋体" w:hAnsi="宋体"/>
          <w:szCs w:val="21"/>
        </w:rPr>
        <w:t>5．承包人应在每个作业区任命兼职安全员，赋予兼职安全员相应的授权和义务，并对兼职安全员进行定期考核。</w:t>
      </w:r>
    </w:p>
    <w:p>
      <w:pPr>
        <w:spacing w:line="360" w:lineRule="auto"/>
        <w:ind w:firstLine="420" w:firstLineChars="200"/>
        <w:jc w:val="left"/>
        <w:rPr>
          <w:rFonts w:ascii="宋体" w:hAnsi="宋体"/>
          <w:szCs w:val="21"/>
        </w:rPr>
      </w:pPr>
      <w:r>
        <w:rPr>
          <w:rFonts w:hint="eastAsia" w:ascii="宋体" w:hAnsi="宋体"/>
          <w:szCs w:val="21"/>
        </w:rPr>
        <w:t>6．承包人应接受和配合发包人专业部门及委托的监理公司的监督与安全评价。</w:t>
      </w:r>
    </w:p>
    <w:p>
      <w:pPr>
        <w:spacing w:line="360" w:lineRule="auto"/>
        <w:ind w:firstLine="420" w:firstLineChars="200"/>
        <w:jc w:val="left"/>
        <w:rPr>
          <w:rFonts w:ascii="宋体" w:hAnsi="宋体"/>
          <w:szCs w:val="21"/>
        </w:rPr>
      </w:pPr>
      <w:r>
        <w:rPr>
          <w:rFonts w:hint="eastAsia" w:ascii="宋体" w:hAnsi="宋体"/>
          <w:szCs w:val="21"/>
        </w:rPr>
        <w:t>7．发包人和委托的监理公司有权对承包人履行安全管理协议的情况进行监督，并有权对违章行为实行停工和处罚，处罚情况将通知承包人。涉及经济处罚时将直接通知合同管理部门从合同结算中扣除。</w:t>
      </w:r>
    </w:p>
    <w:p>
      <w:pPr>
        <w:spacing w:line="360" w:lineRule="auto"/>
        <w:ind w:firstLine="420" w:firstLineChars="200"/>
        <w:rPr>
          <w:rFonts w:ascii="宋体" w:hAnsi="宋体"/>
          <w:szCs w:val="21"/>
        </w:rPr>
      </w:pPr>
      <w:bookmarkStart w:id="1957" w:name="_Toc239510300"/>
      <w:bookmarkStart w:id="1958" w:name="_Toc247418274"/>
      <w:bookmarkStart w:id="1959" w:name="_Toc532375710"/>
      <w:bookmarkStart w:id="1960" w:name="_Toc247431434"/>
      <w:r>
        <w:rPr>
          <w:rFonts w:hint="eastAsia" w:ascii="宋体" w:hAnsi="宋体"/>
          <w:szCs w:val="21"/>
        </w:rPr>
        <w:t>十一、安全培训与授权</w:t>
      </w:r>
      <w:bookmarkEnd w:id="1957"/>
      <w:bookmarkEnd w:id="1958"/>
      <w:bookmarkEnd w:id="1959"/>
      <w:bookmarkEnd w:id="1960"/>
    </w:p>
    <w:p>
      <w:pPr>
        <w:spacing w:line="360" w:lineRule="auto"/>
        <w:ind w:firstLine="420" w:firstLineChars="200"/>
        <w:jc w:val="left"/>
        <w:rPr>
          <w:rFonts w:ascii="宋体" w:hAnsi="宋体"/>
          <w:szCs w:val="21"/>
        </w:rPr>
      </w:pPr>
      <w:r>
        <w:rPr>
          <w:rFonts w:hint="eastAsia" w:ascii="宋体" w:hAnsi="宋体"/>
          <w:szCs w:val="21"/>
        </w:rPr>
        <w:t>1．承包人所有特殊工种人员必须持证上岗，发包人和发包人委托的监理公司有权对其进行抽查。承包人要建立特殊工种定期培训和检查计划，这些工种包括但不限于：机动车驾驶员、焊工、起重工、电工等。</w:t>
      </w:r>
    </w:p>
    <w:p>
      <w:pPr>
        <w:spacing w:line="360" w:lineRule="auto"/>
        <w:ind w:firstLine="420" w:firstLineChars="200"/>
        <w:jc w:val="left"/>
        <w:rPr>
          <w:rFonts w:ascii="宋体" w:hAnsi="宋体"/>
          <w:szCs w:val="21"/>
        </w:rPr>
      </w:pPr>
      <w:r>
        <w:rPr>
          <w:rFonts w:hint="eastAsia" w:ascii="宋体" w:hAnsi="宋体"/>
          <w:szCs w:val="21"/>
        </w:rPr>
        <w:t>2．承包人应在特殊工种之外的其他工种中，筛选出高风险工种，并对其开展针对性的专题安全培训。</w:t>
      </w:r>
    </w:p>
    <w:p>
      <w:pPr>
        <w:spacing w:line="360" w:lineRule="auto"/>
        <w:ind w:firstLine="420" w:firstLineChars="200"/>
        <w:jc w:val="left"/>
        <w:rPr>
          <w:rFonts w:ascii="宋体" w:hAnsi="宋体"/>
          <w:szCs w:val="21"/>
        </w:rPr>
      </w:pPr>
      <w:r>
        <w:rPr>
          <w:rFonts w:hint="eastAsia" w:ascii="宋体" w:hAnsi="宋体"/>
          <w:szCs w:val="21"/>
        </w:rPr>
        <w:t>3．承包人应组织 “入场培训”和考核。发包人委托的监理公司有权监督培训、考核情况或组织抽查考核。</w:t>
      </w:r>
    </w:p>
    <w:p>
      <w:pPr>
        <w:spacing w:line="360" w:lineRule="auto"/>
        <w:ind w:firstLine="420" w:firstLineChars="200"/>
        <w:jc w:val="left"/>
        <w:rPr>
          <w:rFonts w:ascii="宋体" w:hAnsi="宋体"/>
          <w:szCs w:val="21"/>
        </w:rPr>
      </w:pPr>
      <w:r>
        <w:rPr>
          <w:rFonts w:hint="eastAsia" w:ascii="宋体" w:hAnsi="宋体"/>
          <w:szCs w:val="21"/>
        </w:rPr>
        <w:t>4．承包人应建立安全培训和考核机制，编制培训教材和培训滚动计划。承包人应组织安全考试/考核，建立培训考核记录，发包人委托的监理公司有权查看这些记录。</w:t>
      </w:r>
    </w:p>
    <w:p>
      <w:pPr>
        <w:spacing w:line="360" w:lineRule="auto"/>
        <w:ind w:firstLine="420" w:firstLineChars="200"/>
        <w:rPr>
          <w:rFonts w:ascii="宋体" w:hAnsi="宋体"/>
          <w:szCs w:val="21"/>
        </w:rPr>
      </w:pPr>
      <w:bookmarkStart w:id="1961" w:name="_Toc239510301"/>
      <w:bookmarkStart w:id="1962" w:name="_Toc247418275"/>
      <w:bookmarkStart w:id="1963" w:name="_Toc532375711"/>
      <w:bookmarkStart w:id="1964" w:name="_Toc247431435"/>
      <w:r>
        <w:rPr>
          <w:rFonts w:hint="eastAsia" w:ascii="宋体" w:hAnsi="宋体"/>
          <w:szCs w:val="21"/>
        </w:rPr>
        <w:t>十二、职业健康与卫生防疫</w:t>
      </w:r>
      <w:bookmarkEnd w:id="1961"/>
      <w:bookmarkEnd w:id="1962"/>
      <w:bookmarkEnd w:id="1963"/>
      <w:bookmarkEnd w:id="1964"/>
    </w:p>
    <w:p>
      <w:pPr>
        <w:spacing w:line="360" w:lineRule="auto"/>
        <w:ind w:firstLine="420" w:firstLineChars="200"/>
        <w:jc w:val="left"/>
        <w:rPr>
          <w:rFonts w:ascii="宋体" w:hAnsi="宋体"/>
          <w:szCs w:val="21"/>
        </w:rPr>
      </w:pPr>
      <w:r>
        <w:rPr>
          <w:rFonts w:hint="eastAsia" w:ascii="宋体" w:hAnsi="宋体"/>
          <w:szCs w:val="21"/>
        </w:rPr>
        <w:t>1．承包人应有特殊健康检查制度，预防有禁忌症患者从事有关职业，如恐高症患者不得从事高空作业，患有心血管疾病的人员不得从事繁重的体力劳动，特殊工种人员的体检应符合国家的规定。</w:t>
      </w:r>
    </w:p>
    <w:p>
      <w:pPr>
        <w:spacing w:line="360" w:lineRule="auto"/>
        <w:ind w:firstLine="420" w:firstLineChars="200"/>
        <w:jc w:val="left"/>
        <w:rPr>
          <w:rFonts w:ascii="宋体" w:hAnsi="宋体"/>
          <w:szCs w:val="21"/>
        </w:rPr>
      </w:pPr>
      <w:r>
        <w:rPr>
          <w:rFonts w:hint="eastAsia" w:ascii="宋体" w:hAnsi="宋体"/>
          <w:szCs w:val="21"/>
        </w:rPr>
        <w:t>2．承包人应保证卫生防疫基本设施的投入，以满足医疗、急救的要求，建立外部医疗支持渠道。</w:t>
      </w:r>
    </w:p>
    <w:p>
      <w:pPr>
        <w:spacing w:line="360" w:lineRule="auto"/>
        <w:ind w:firstLine="420" w:firstLineChars="200"/>
        <w:jc w:val="left"/>
        <w:rPr>
          <w:rFonts w:ascii="宋体" w:hAnsi="宋体"/>
          <w:szCs w:val="21"/>
        </w:rPr>
      </w:pPr>
      <w:r>
        <w:rPr>
          <w:rFonts w:hint="eastAsia" w:ascii="宋体" w:hAnsi="宋体"/>
          <w:szCs w:val="21"/>
        </w:rPr>
        <w:t>3．应建立卫生防疫措施计划，做好生活区和施工区的卫生防疫工作；制定和执行保证饮水卫生、饮食卫生、环境卫生和预防集体食物中毒的措施；有灭蚊、灭鼠和消毒的专项工作计划；有针对性地制订预防SARS、禽流感、疟疾、霍乱、肠道传染病、肝炎、H1N1流感等疾病的措施。</w:t>
      </w:r>
    </w:p>
    <w:p>
      <w:pPr>
        <w:spacing w:line="360" w:lineRule="auto"/>
        <w:ind w:firstLine="420" w:firstLineChars="200"/>
        <w:rPr>
          <w:rFonts w:ascii="宋体" w:hAnsi="宋体"/>
          <w:szCs w:val="21"/>
        </w:rPr>
      </w:pPr>
      <w:bookmarkStart w:id="1965" w:name="_Toc532375712"/>
      <w:bookmarkStart w:id="1966" w:name="_Toc239510302"/>
      <w:bookmarkStart w:id="1967" w:name="_Toc247418276"/>
      <w:bookmarkStart w:id="1968" w:name="_Toc247431436"/>
      <w:r>
        <w:rPr>
          <w:rFonts w:hint="eastAsia" w:ascii="宋体" w:hAnsi="宋体"/>
          <w:szCs w:val="21"/>
        </w:rPr>
        <w:t>十三、文明施工与环保要求</w:t>
      </w:r>
      <w:bookmarkEnd w:id="1965"/>
      <w:bookmarkEnd w:id="1966"/>
      <w:bookmarkEnd w:id="1967"/>
      <w:bookmarkEnd w:id="1968"/>
    </w:p>
    <w:p>
      <w:pPr>
        <w:spacing w:line="360" w:lineRule="auto"/>
        <w:ind w:firstLine="420" w:firstLineChars="200"/>
        <w:jc w:val="left"/>
        <w:rPr>
          <w:rFonts w:ascii="宋体" w:hAnsi="宋体"/>
          <w:szCs w:val="21"/>
        </w:rPr>
      </w:pPr>
      <w:r>
        <w:rPr>
          <w:rFonts w:hint="eastAsia" w:ascii="宋体" w:hAnsi="宋体"/>
          <w:szCs w:val="21"/>
        </w:rPr>
        <w:t>1．承包人需制订施工现场的文明施工措施，保持良好的施工现场秩序。施工现场的物料堆放要摆放整齐，安全标志和宣传标志要清楚醒目，废料、废物要分类收集，安全通道要畅通。</w:t>
      </w:r>
    </w:p>
    <w:p>
      <w:pPr>
        <w:spacing w:line="360" w:lineRule="auto"/>
        <w:ind w:firstLine="420" w:firstLineChars="200"/>
        <w:jc w:val="left"/>
        <w:rPr>
          <w:rFonts w:ascii="宋体" w:hAnsi="宋体"/>
          <w:szCs w:val="21"/>
        </w:rPr>
      </w:pPr>
      <w:r>
        <w:rPr>
          <w:rFonts w:hint="eastAsia" w:ascii="宋体" w:hAnsi="宋体"/>
          <w:szCs w:val="21"/>
        </w:rPr>
        <w:t>2．承包人作业时应避免建筑材料抛洒、飞扬、流淌；应尽可能降低噪音、震动。</w:t>
      </w:r>
    </w:p>
    <w:p>
      <w:pPr>
        <w:spacing w:line="360" w:lineRule="auto"/>
        <w:ind w:firstLine="420" w:firstLineChars="200"/>
        <w:jc w:val="left"/>
        <w:rPr>
          <w:rFonts w:ascii="宋体" w:hAnsi="宋体"/>
          <w:szCs w:val="21"/>
        </w:rPr>
      </w:pPr>
      <w:r>
        <w:rPr>
          <w:rFonts w:hint="eastAsia" w:ascii="宋体" w:hAnsi="宋体"/>
          <w:szCs w:val="21"/>
        </w:rPr>
        <w:t>3．承包人应根据实际需要，在施工现场布置临时卫生设施（洗手间、卫生间等），施工作业不破坏环境卫生，不污染现场环境。</w:t>
      </w:r>
    </w:p>
    <w:p>
      <w:pPr>
        <w:spacing w:line="360" w:lineRule="auto"/>
        <w:ind w:firstLine="420" w:firstLineChars="200"/>
        <w:jc w:val="left"/>
        <w:rPr>
          <w:rFonts w:ascii="宋体" w:hAnsi="宋体"/>
          <w:szCs w:val="21"/>
        </w:rPr>
      </w:pPr>
      <w:r>
        <w:rPr>
          <w:rFonts w:hint="eastAsia" w:ascii="宋体" w:hAnsi="宋体"/>
          <w:szCs w:val="21"/>
        </w:rPr>
        <w:t>4．承包人在施工中应充分重视对环境的保护，保护绿色植被，保护古树。施工如需伤害古树，必须报告发包人委托的监理公司，在未得到指令前，禁止擅自伤害古树。</w:t>
      </w:r>
    </w:p>
    <w:p>
      <w:pPr>
        <w:spacing w:line="360" w:lineRule="auto"/>
        <w:ind w:firstLine="420" w:firstLineChars="200"/>
        <w:jc w:val="left"/>
        <w:rPr>
          <w:rFonts w:ascii="宋体" w:hAnsi="宋体"/>
          <w:szCs w:val="21"/>
        </w:rPr>
      </w:pPr>
      <w:r>
        <w:rPr>
          <w:rFonts w:hint="eastAsia" w:ascii="宋体" w:hAnsi="宋体"/>
          <w:szCs w:val="21"/>
        </w:rPr>
        <w:t>5．承包人应及时清理现场废物和垃圾。工业废料与生活垃圾必须分开，有害废物与普通废物必须分开（如油品废物、电池灯管等，必须单独收集、存放）；禁止在非指定场所乱倒、乱堆垃圾。禁止违章处理危险化学品和工业垃圾。</w:t>
      </w:r>
    </w:p>
    <w:p>
      <w:pPr>
        <w:spacing w:line="360" w:lineRule="auto"/>
        <w:ind w:firstLine="420" w:firstLineChars="200"/>
        <w:jc w:val="left"/>
        <w:rPr>
          <w:rFonts w:ascii="宋体" w:hAnsi="宋体"/>
          <w:szCs w:val="21"/>
        </w:rPr>
      </w:pPr>
      <w:r>
        <w:rPr>
          <w:rFonts w:hint="eastAsia" w:ascii="宋体" w:hAnsi="宋体"/>
          <w:szCs w:val="21"/>
        </w:rPr>
        <w:t>6．承包人在施工中应禁止向环境，排放工业污水、生活污水、废油或其他有害物质。</w:t>
      </w:r>
    </w:p>
    <w:p>
      <w:pPr>
        <w:spacing w:line="360" w:lineRule="auto"/>
        <w:ind w:firstLine="420" w:firstLineChars="200"/>
        <w:jc w:val="left"/>
        <w:rPr>
          <w:rFonts w:ascii="宋体" w:hAnsi="宋体"/>
          <w:szCs w:val="21"/>
        </w:rPr>
      </w:pPr>
      <w:r>
        <w:rPr>
          <w:rFonts w:hint="eastAsia" w:ascii="宋体" w:hAnsi="宋体"/>
          <w:szCs w:val="21"/>
        </w:rPr>
        <w:t>7．承包人在施工中应防止水土流失，应及时对裸露的地基、边坡、开挖出来的沙/土以及砂、石、水泥等建筑材料予以保护，防止风刮扬尘，雨水冲刷，流入下水道、排洪沟。如因防护不及时而造成大量水土流失、淤塞道路、沟道或污染环境的，承包人应承担清淤、清扫以及相应的赔偿责任。</w:t>
      </w:r>
    </w:p>
    <w:p>
      <w:pPr>
        <w:spacing w:line="360" w:lineRule="auto"/>
        <w:ind w:firstLine="420" w:firstLineChars="200"/>
        <w:rPr>
          <w:rFonts w:ascii="宋体" w:hAnsi="宋体"/>
          <w:szCs w:val="21"/>
        </w:rPr>
      </w:pPr>
      <w:bookmarkStart w:id="1969" w:name="_Toc239510303"/>
      <w:bookmarkStart w:id="1970" w:name="_Toc532375713"/>
      <w:bookmarkStart w:id="1971" w:name="_Toc247418277"/>
      <w:bookmarkStart w:id="1972" w:name="_Toc247431437"/>
      <w:r>
        <w:rPr>
          <w:rFonts w:hint="eastAsia" w:ascii="宋体" w:hAnsi="宋体"/>
          <w:szCs w:val="21"/>
        </w:rPr>
        <w:t>十四、工程风险管理与事故预防</w:t>
      </w:r>
      <w:bookmarkEnd w:id="1969"/>
      <w:bookmarkEnd w:id="1970"/>
      <w:bookmarkEnd w:id="1971"/>
      <w:bookmarkEnd w:id="1972"/>
    </w:p>
    <w:p>
      <w:pPr>
        <w:spacing w:line="360" w:lineRule="auto"/>
        <w:ind w:firstLine="420" w:firstLineChars="200"/>
        <w:jc w:val="left"/>
        <w:rPr>
          <w:rFonts w:ascii="宋体" w:hAnsi="宋体"/>
          <w:szCs w:val="21"/>
        </w:rPr>
      </w:pPr>
      <w:bookmarkStart w:id="1973" w:name="_Toc239510304"/>
      <w:bookmarkStart w:id="1974" w:name="_Toc247431438"/>
      <w:bookmarkStart w:id="1975" w:name="_Toc247418278"/>
      <w:r>
        <w:rPr>
          <w:rFonts w:hint="eastAsia" w:ascii="宋体" w:hAnsi="宋体"/>
          <w:szCs w:val="21"/>
        </w:rPr>
        <w:t>（一）基本要求</w:t>
      </w:r>
      <w:bookmarkEnd w:id="1973"/>
      <w:bookmarkEnd w:id="1974"/>
      <w:bookmarkEnd w:id="1975"/>
    </w:p>
    <w:p>
      <w:pPr>
        <w:spacing w:line="360" w:lineRule="auto"/>
        <w:ind w:firstLine="420" w:firstLineChars="200"/>
        <w:jc w:val="left"/>
        <w:rPr>
          <w:rFonts w:ascii="宋体" w:hAnsi="宋体"/>
          <w:szCs w:val="21"/>
        </w:rPr>
      </w:pPr>
      <w:bookmarkStart w:id="1976" w:name="_Toc532375714"/>
      <w:r>
        <w:rPr>
          <w:rFonts w:hint="eastAsia" w:ascii="宋体" w:hAnsi="宋体"/>
          <w:szCs w:val="21"/>
        </w:rPr>
        <w:t>1．承包人应对施工过程进行全面、深入的危险源识别和风险分析。在施工安全组织设计中提供危险源及重要危险源清单、作业风险分析报告，该报告应包括（但不限于）如下信息：</w:t>
      </w:r>
      <w:bookmarkEnd w:id="1976"/>
    </w:p>
    <w:p>
      <w:pPr>
        <w:spacing w:line="360" w:lineRule="auto"/>
        <w:ind w:firstLine="420" w:firstLineChars="200"/>
        <w:jc w:val="left"/>
        <w:rPr>
          <w:rFonts w:ascii="宋体" w:hAnsi="宋体"/>
          <w:szCs w:val="21"/>
        </w:rPr>
      </w:pPr>
      <w:r>
        <w:rPr>
          <w:rFonts w:hint="eastAsia" w:ascii="宋体" w:hAnsi="宋体"/>
          <w:szCs w:val="21"/>
        </w:rPr>
        <w:t>（1）高风险作业和工种清单：作业名称、类别和数量、主要事故风险。</w:t>
      </w:r>
    </w:p>
    <w:p>
      <w:pPr>
        <w:spacing w:line="360" w:lineRule="auto"/>
        <w:ind w:firstLine="420" w:firstLineChars="200"/>
        <w:jc w:val="left"/>
        <w:rPr>
          <w:rFonts w:ascii="宋体" w:hAnsi="宋体"/>
          <w:szCs w:val="21"/>
        </w:rPr>
      </w:pPr>
      <w:r>
        <w:rPr>
          <w:rFonts w:hint="eastAsia" w:ascii="宋体" w:hAnsi="宋体"/>
          <w:szCs w:val="21"/>
        </w:rPr>
        <w:t>（2）施工能源和机械的种类、数量和主要事故风险。</w:t>
      </w:r>
    </w:p>
    <w:p>
      <w:pPr>
        <w:spacing w:line="360" w:lineRule="auto"/>
        <w:ind w:firstLine="420" w:firstLineChars="200"/>
        <w:jc w:val="left"/>
        <w:rPr>
          <w:rFonts w:ascii="宋体" w:hAnsi="宋体"/>
          <w:szCs w:val="21"/>
        </w:rPr>
      </w:pPr>
      <w:r>
        <w:rPr>
          <w:rFonts w:hint="eastAsia" w:ascii="宋体" w:hAnsi="宋体"/>
          <w:szCs w:val="21"/>
        </w:rPr>
        <w:t>（3）施工作业条件的类型和主要事故风险。</w:t>
      </w:r>
    </w:p>
    <w:p>
      <w:pPr>
        <w:spacing w:line="360" w:lineRule="auto"/>
        <w:ind w:firstLine="420" w:firstLineChars="200"/>
        <w:jc w:val="left"/>
        <w:rPr>
          <w:rFonts w:ascii="宋体" w:hAnsi="宋体"/>
          <w:szCs w:val="21"/>
        </w:rPr>
      </w:pPr>
      <w:r>
        <w:rPr>
          <w:rFonts w:hint="eastAsia" w:ascii="宋体" w:hAnsi="宋体"/>
          <w:szCs w:val="21"/>
        </w:rPr>
        <w:t>（4）主要工艺过程（或施工活动）的类别及其相关的事故风险。</w:t>
      </w:r>
    </w:p>
    <w:p>
      <w:pPr>
        <w:spacing w:line="360" w:lineRule="auto"/>
        <w:ind w:firstLine="420" w:firstLineChars="200"/>
        <w:jc w:val="left"/>
        <w:rPr>
          <w:rFonts w:ascii="宋体" w:hAnsi="宋体"/>
          <w:szCs w:val="21"/>
        </w:rPr>
      </w:pPr>
      <w:r>
        <w:rPr>
          <w:rFonts w:hint="eastAsia" w:ascii="宋体" w:hAnsi="宋体"/>
          <w:szCs w:val="21"/>
        </w:rPr>
        <w:t>（5）主要火灾危险（可燃物、点火源）。</w:t>
      </w:r>
    </w:p>
    <w:p>
      <w:pPr>
        <w:spacing w:line="360" w:lineRule="auto"/>
        <w:ind w:firstLine="420" w:firstLineChars="200"/>
        <w:jc w:val="left"/>
        <w:rPr>
          <w:rFonts w:ascii="宋体" w:hAnsi="宋体"/>
          <w:szCs w:val="21"/>
        </w:rPr>
      </w:pPr>
      <w:r>
        <w:rPr>
          <w:rFonts w:hint="eastAsia" w:ascii="宋体" w:hAnsi="宋体"/>
          <w:szCs w:val="21"/>
        </w:rPr>
        <w:t>（6）主要自然灾害（洪水、大风、雷暴、暴雨、地质灾害等）。</w:t>
      </w:r>
    </w:p>
    <w:p>
      <w:pPr>
        <w:spacing w:line="360" w:lineRule="auto"/>
        <w:ind w:firstLine="420" w:firstLineChars="200"/>
        <w:jc w:val="left"/>
        <w:rPr>
          <w:rFonts w:ascii="宋体" w:hAnsi="宋体"/>
          <w:szCs w:val="21"/>
        </w:rPr>
      </w:pPr>
      <w:r>
        <w:rPr>
          <w:rFonts w:hint="eastAsia" w:ascii="宋体" w:hAnsi="宋体"/>
          <w:szCs w:val="21"/>
        </w:rPr>
        <w:t>（7）主要环境保护事件（有害垃圾、机械的跑冒滴漏、原材料流失、水土流失等）。</w:t>
      </w:r>
    </w:p>
    <w:p>
      <w:pPr>
        <w:spacing w:line="360" w:lineRule="auto"/>
        <w:ind w:firstLine="420" w:firstLineChars="200"/>
        <w:jc w:val="left"/>
        <w:rPr>
          <w:rFonts w:ascii="宋体" w:hAnsi="宋体"/>
          <w:szCs w:val="21"/>
        </w:rPr>
      </w:pPr>
      <w:r>
        <w:rPr>
          <w:rFonts w:hint="eastAsia" w:ascii="宋体" w:hAnsi="宋体"/>
          <w:szCs w:val="21"/>
        </w:rPr>
        <w:t>（8）其他。</w:t>
      </w:r>
    </w:p>
    <w:p>
      <w:pPr>
        <w:spacing w:line="360" w:lineRule="auto"/>
        <w:ind w:firstLine="420" w:firstLineChars="200"/>
        <w:jc w:val="left"/>
        <w:rPr>
          <w:rFonts w:ascii="宋体" w:hAnsi="宋体"/>
          <w:szCs w:val="21"/>
        </w:rPr>
      </w:pPr>
      <w:r>
        <w:rPr>
          <w:rFonts w:hint="eastAsia" w:ascii="宋体" w:hAnsi="宋体"/>
          <w:szCs w:val="21"/>
        </w:rPr>
        <w:t>2．承包人应针对识别出的危险源制定有针对性的事故预防措施并确保在施工中得到有效落实。</w:t>
      </w:r>
    </w:p>
    <w:p>
      <w:pPr>
        <w:spacing w:line="360" w:lineRule="auto"/>
        <w:ind w:firstLine="420" w:firstLineChars="200"/>
        <w:jc w:val="left"/>
        <w:rPr>
          <w:rFonts w:ascii="宋体" w:hAnsi="宋体"/>
          <w:szCs w:val="21"/>
        </w:rPr>
      </w:pPr>
      <w:r>
        <w:rPr>
          <w:rFonts w:hint="eastAsia" w:ascii="宋体" w:hAnsi="宋体"/>
          <w:szCs w:val="21"/>
        </w:rPr>
        <w:t>3．承包人应建立日常施工活动的动态作业风险分析和安全交底制度。该制度应明确规定风险分析的方法、责任和交底的内容、时间及记录。</w:t>
      </w:r>
    </w:p>
    <w:p>
      <w:pPr>
        <w:spacing w:line="360" w:lineRule="auto"/>
        <w:ind w:firstLine="420" w:firstLineChars="200"/>
        <w:jc w:val="left"/>
        <w:rPr>
          <w:rFonts w:ascii="宋体" w:hAnsi="宋体"/>
          <w:szCs w:val="21"/>
        </w:rPr>
      </w:pPr>
      <w:bookmarkStart w:id="1977" w:name="_Toc247418279"/>
      <w:bookmarkStart w:id="1978" w:name="_Toc239510305"/>
      <w:bookmarkStart w:id="1979" w:name="_Toc247431439"/>
      <w:r>
        <w:rPr>
          <w:rFonts w:hint="eastAsia" w:ascii="宋体" w:hAnsi="宋体"/>
          <w:szCs w:val="21"/>
        </w:rPr>
        <w:t>（二）现场作业基本安全条件</w:t>
      </w:r>
      <w:bookmarkEnd w:id="1977"/>
      <w:bookmarkEnd w:id="1978"/>
      <w:bookmarkEnd w:id="1979"/>
    </w:p>
    <w:p>
      <w:pPr>
        <w:spacing w:line="360" w:lineRule="auto"/>
        <w:ind w:firstLine="420" w:firstLineChars="200"/>
        <w:jc w:val="left"/>
        <w:rPr>
          <w:rFonts w:ascii="宋体" w:hAnsi="宋体"/>
          <w:szCs w:val="21"/>
        </w:rPr>
      </w:pPr>
      <w:r>
        <w:rPr>
          <w:rFonts w:hint="eastAsia" w:ascii="宋体" w:hAnsi="宋体"/>
          <w:szCs w:val="21"/>
        </w:rPr>
        <w:t>承包人应规定现场作业的基本安全条件，包括照明条件、通风条件、作业平台和通道条件、物料堆放条件、供电供水条件、吸烟点、休息点等，并对临边现场、道路上作业现场、立体交叉作业现场、地面坑洞和沟道、夜间作业现场等的基本安全条件做出规定。</w:t>
      </w:r>
    </w:p>
    <w:p>
      <w:pPr>
        <w:spacing w:line="360" w:lineRule="auto"/>
        <w:ind w:firstLine="420" w:firstLineChars="200"/>
        <w:rPr>
          <w:rFonts w:ascii="宋体" w:hAnsi="宋体"/>
          <w:szCs w:val="21"/>
        </w:rPr>
      </w:pPr>
      <w:bookmarkStart w:id="1980" w:name="_Toc247431440"/>
      <w:bookmarkStart w:id="1981" w:name="_Toc532375715"/>
      <w:bookmarkStart w:id="1982" w:name="_Toc239510306"/>
      <w:bookmarkStart w:id="1983" w:name="_Toc247418280"/>
      <w:r>
        <w:rPr>
          <w:rFonts w:hint="eastAsia" w:ascii="宋体" w:hAnsi="宋体"/>
          <w:szCs w:val="21"/>
        </w:rPr>
        <w:t>十五、事故报告与应急救援</w:t>
      </w:r>
      <w:bookmarkEnd w:id="1980"/>
      <w:bookmarkEnd w:id="1981"/>
      <w:bookmarkEnd w:id="1982"/>
      <w:bookmarkEnd w:id="1983"/>
    </w:p>
    <w:p>
      <w:pPr>
        <w:spacing w:line="360" w:lineRule="auto"/>
        <w:ind w:firstLine="420" w:firstLineChars="200"/>
        <w:jc w:val="left"/>
        <w:rPr>
          <w:rFonts w:ascii="宋体" w:hAnsi="宋体"/>
          <w:szCs w:val="21"/>
        </w:rPr>
      </w:pPr>
      <w:r>
        <w:rPr>
          <w:rFonts w:hint="eastAsia" w:ascii="宋体" w:hAnsi="宋体"/>
          <w:szCs w:val="21"/>
        </w:rPr>
        <w:t>1．承包人应制定对于未遂事故及以上级别的安全事件和事故，定期报送安全月度快报、季报、年报和各种专项事故报告等。</w:t>
      </w:r>
    </w:p>
    <w:p>
      <w:pPr>
        <w:spacing w:line="360" w:lineRule="auto"/>
        <w:ind w:firstLine="420" w:firstLineChars="200"/>
        <w:jc w:val="left"/>
        <w:rPr>
          <w:rFonts w:ascii="宋体" w:hAnsi="宋体"/>
          <w:szCs w:val="21"/>
        </w:rPr>
      </w:pPr>
      <w:r>
        <w:rPr>
          <w:rFonts w:hint="eastAsia" w:ascii="宋体" w:hAnsi="宋体"/>
          <w:szCs w:val="21"/>
        </w:rPr>
        <w:t>2．承包人应建立安全事故统计记录、未遂事故统计记录、违章统计记录，并根据统计情况进行分析，并就分析结果制定相应的预防措施。</w:t>
      </w:r>
    </w:p>
    <w:p>
      <w:pPr>
        <w:spacing w:line="360" w:lineRule="auto"/>
        <w:ind w:firstLine="420" w:firstLineChars="200"/>
        <w:jc w:val="left"/>
        <w:rPr>
          <w:rFonts w:ascii="宋体" w:hAnsi="宋体"/>
          <w:szCs w:val="21"/>
        </w:rPr>
      </w:pPr>
      <w:r>
        <w:rPr>
          <w:rFonts w:hint="eastAsia" w:ascii="宋体" w:hAnsi="宋体"/>
          <w:szCs w:val="21"/>
        </w:rPr>
        <w:t>3．承包人应建立事故应急救援机制，明确事故处置的基本原则，即现场发生事故时，首先抢救生命，向救援组织报警，并采取措施限制事故扩大。</w:t>
      </w:r>
    </w:p>
    <w:p>
      <w:pPr>
        <w:spacing w:line="360" w:lineRule="auto"/>
        <w:ind w:firstLine="420" w:firstLineChars="200"/>
        <w:jc w:val="left"/>
        <w:rPr>
          <w:rFonts w:ascii="宋体" w:hAnsi="宋体"/>
          <w:szCs w:val="21"/>
        </w:rPr>
      </w:pPr>
      <w:r>
        <w:rPr>
          <w:rFonts w:hint="eastAsia" w:ascii="宋体" w:hAnsi="宋体"/>
          <w:szCs w:val="21"/>
        </w:rPr>
        <w:t>4．承包人应建立相应的应急响应组织，以便能迅速处理突发意外。</w:t>
      </w:r>
    </w:p>
    <w:p>
      <w:pPr>
        <w:spacing w:line="360" w:lineRule="auto"/>
        <w:ind w:firstLine="420" w:firstLineChars="200"/>
        <w:jc w:val="left"/>
        <w:rPr>
          <w:rFonts w:ascii="宋体" w:hAnsi="宋体"/>
          <w:szCs w:val="21"/>
        </w:rPr>
      </w:pPr>
      <w:r>
        <w:rPr>
          <w:rFonts w:hint="eastAsia" w:ascii="宋体" w:hAnsi="宋体"/>
          <w:szCs w:val="21"/>
        </w:rPr>
        <w:t>5．承包人应建立专项应急响应预案，包括重大人身伤亡事故的救护预案、火灾响应预案、“四防”预案（防风、防冻、防雷、防暴雨）、重大疫病防护预案、环境污染防护预案、地质灾害防护预案等。</w:t>
      </w:r>
    </w:p>
    <w:p>
      <w:pPr>
        <w:spacing w:line="360" w:lineRule="auto"/>
        <w:ind w:firstLine="420" w:firstLineChars="200"/>
        <w:jc w:val="left"/>
        <w:rPr>
          <w:rFonts w:ascii="宋体" w:hAnsi="宋体"/>
          <w:szCs w:val="21"/>
        </w:rPr>
      </w:pPr>
      <w:r>
        <w:rPr>
          <w:rFonts w:hint="eastAsia" w:ascii="宋体" w:hAnsi="宋体"/>
          <w:szCs w:val="21"/>
        </w:rPr>
        <w:t>6．承包人应对应急预案进行适当演练，保证应急预案的可操作性。</w:t>
      </w:r>
    </w:p>
    <w:p>
      <w:pPr>
        <w:spacing w:line="360" w:lineRule="auto"/>
        <w:ind w:firstLine="420" w:firstLineChars="200"/>
        <w:jc w:val="left"/>
        <w:rPr>
          <w:rFonts w:ascii="宋体" w:hAnsi="宋体"/>
          <w:szCs w:val="21"/>
        </w:rPr>
      </w:pPr>
      <w:r>
        <w:rPr>
          <w:rFonts w:hint="eastAsia" w:ascii="宋体" w:hAnsi="宋体"/>
          <w:szCs w:val="21"/>
        </w:rPr>
        <w:t>7．在工地的其他施工单位发生重大事故时，承包人应无条件立即配合、支持事故抢险。</w:t>
      </w:r>
    </w:p>
    <w:p>
      <w:pPr>
        <w:spacing w:line="360" w:lineRule="auto"/>
        <w:ind w:firstLine="420" w:firstLineChars="200"/>
        <w:jc w:val="left"/>
        <w:rPr>
          <w:rFonts w:ascii="宋体" w:hAnsi="宋体"/>
          <w:szCs w:val="21"/>
        </w:rPr>
      </w:pPr>
      <w:r>
        <w:rPr>
          <w:rFonts w:hint="eastAsia" w:ascii="宋体" w:hAnsi="宋体"/>
          <w:szCs w:val="21"/>
        </w:rPr>
        <w:t>8．承包人必须为事故处置支付各项费用，包括受伤者的抚恤、补偿等费用，并按合同要求赔偿对发包人造成的损失。</w:t>
      </w:r>
    </w:p>
    <w:p>
      <w:pPr>
        <w:spacing w:line="360" w:lineRule="auto"/>
        <w:ind w:firstLine="420" w:firstLineChars="200"/>
        <w:jc w:val="left"/>
        <w:rPr>
          <w:rFonts w:ascii="宋体" w:hAnsi="宋体"/>
          <w:szCs w:val="21"/>
        </w:rPr>
      </w:pPr>
      <w:r>
        <w:rPr>
          <w:rFonts w:hint="eastAsia" w:ascii="宋体" w:hAnsi="宋体"/>
          <w:szCs w:val="21"/>
        </w:rPr>
        <w:t>9．由于发包人原因而造成的事故，发包人应负责按事故的具体损失情况给予承包人经济赔偿。</w:t>
      </w:r>
    </w:p>
    <w:p>
      <w:pPr>
        <w:spacing w:line="360" w:lineRule="auto"/>
        <w:ind w:firstLine="420" w:firstLineChars="200"/>
        <w:jc w:val="left"/>
        <w:rPr>
          <w:rFonts w:ascii="宋体" w:hAnsi="宋体"/>
          <w:szCs w:val="21"/>
        </w:rPr>
      </w:pPr>
      <w:r>
        <w:rPr>
          <w:rFonts w:hint="eastAsia" w:ascii="宋体" w:hAnsi="宋体"/>
          <w:szCs w:val="21"/>
        </w:rPr>
        <w:t>10．涉及承包人员工的伤害事故，承包人除要报告发包人委托的监理公司外，还应负责按照国家、行业和本单位上级公司的要求，上报事故。</w:t>
      </w:r>
    </w:p>
    <w:p>
      <w:pPr>
        <w:spacing w:line="360" w:lineRule="auto"/>
        <w:ind w:firstLine="420" w:firstLineChars="200"/>
        <w:rPr>
          <w:rFonts w:ascii="宋体" w:hAnsi="宋体"/>
          <w:szCs w:val="21"/>
        </w:rPr>
      </w:pPr>
      <w:bookmarkStart w:id="1984" w:name="_Toc247431441"/>
      <w:bookmarkStart w:id="1985" w:name="_Toc247418281"/>
      <w:bookmarkStart w:id="1986" w:name="_Toc239510307"/>
      <w:bookmarkStart w:id="1987" w:name="_Toc532375716"/>
      <w:r>
        <w:rPr>
          <w:rFonts w:hint="eastAsia" w:ascii="宋体" w:hAnsi="宋体"/>
          <w:szCs w:val="21"/>
        </w:rPr>
        <w:t>十六、安全业绩考核</w:t>
      </w:r>
      <w:bookmarkEnd w:id="1984"/>
      <w:bookmarkEnd w:id="1985"/>
      <w:bookmarkEnd w:id="1986"/>
      <w:bookmarkEnd w:id="1987"/>
    </w:p>
    <w:p>
      <w:pPr>
        <w:spacing w:line="360" w:lineRule="auto"/>
        <w:ind w:firstLine="420" w:firstLineChars="200"/>
        <w:jc w:val="left"/>
        <w:rPr>
          <w:rFonts w:ascii="宋体" w:hAnsi="宋体"/>
          <w:szCs w:val="21"/>
        </w:rPr>
      </w:pPr>
      <w:r>
        <w:rPr>
          <w:rFonts w:hint="eastAsia" w:ascii="宋体" w:hAnsi="宋体"/>
          <w:szCs w:val="21"/>
        </w:rPr>
        <w:t>为了落实安全管理的责任，承包人在施工过程中发生安全事故时，承包人除应按国家有关规定承担责任和处罚外，发包人还将按照以下标准进行考核：</w:t>
      </w:r>
    </w:p>
    <w:tbl>
      <w:tblPr>
        <w:tblStyle w:val="54"/>
        <w:tblW w:w="7005" w:type="dxa"/>
        <w:jc w:val="center"/>
        <w:tblInd w:w="0" w:type="dxa"/>
        <w:tblLayout w:type="fixed"/>
        <w:tblCellMar>
          <w:top w:w="0" w:type="dxa"/>
          <w:left w:w="0" w:type="dxa"/>
          <w:bottom w:w="0" w:type="dxa"/>
          <w:right w:w="0" w:type="dxa"/>
        </w:tblCellMar>
      </w:tblPr>
      <w:tblGrid>
        <w:gridCol w:w="3240"/>
        <w:gridCol w:w="3765"/>
      </w:tblGrid>
      <w:tr>
        <w:tblPrEx>
          <w:tblLayout w:type="fixed"/>
          <w:tblCellMar>
            <w:top w:w="0" w:type="dxa"/>
            <w:left w:w="0" w:type="dxa"/>
            <w:bottom w:w="0" w:type="dxa"/>
            <w:right w:w="0" w:type="dxa"/>
          </w:tblCellMar>
        </w:tblPrEx>
        <w:trPr>
          <w:trHeight w:val="188" w:hRule="atLeast"/>
          <w:jc w:val="center"/>
        </w:trPr>
        <w:tc>
          <w:tcPr>
            <w:tcW w:w="324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spacing w:line="360" w:lineRule="auto"/>
              <w:ind w:firstLine="420" w:firstLineChars="200"/>
              <w:jc w:val="left"/>
              <w:rPr>
                <w:rFonts w:ascii="宋体" w:hAnsi="宋体"/>
                <w:szCs w:val="21"/>
              </w:rPr>
            </w:pPr>
            <w:r>
              <w:rPr>
                <w:rFonts w:hint="eastAsia" w:ascii="宋体" w:hAnsi="宋体"/>
                <w:szCs w:val="21"/>
              </w:rPr>
              <w:t>事件类型</w:t>
            </w:r>
          </w:p>
        </w:tc>
        <w:tc>
          <w:tcPr>
            <w:tcW w:w="376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spacing w:line="360" w:lineRule="auto"/>
              <w:ind w:firstLine="420" w:firstLineChars="200"/>
              <w:jc w:val="left"/>
              <w:rPr>
                <w:rFonts w:ascii="宋体" w:hAnsi="宋体"/>
                <w:szCs w:val="21"/>
              </w:rPr>
            </w:pPr>
            <w:r>
              <w:rPr>
                <w:rFonts w:hint="eastAsia" w:ascii="宋体" w:hAnsi="宋体"/>
                <w:szCs w:val="21"/>
              </w:rPr>
              <w:t>违约金额</w:t>
            </w:r>
          </w:p>
        </w:tc>
      </w:tr>
      <w:tr>
        <w:tblPrEx>
          <w:tblLayout w:type="fixed"/>
          <w:tblCellMar>
            <w:top w:w="0" w:type="dxa"/>
            <w:left w:w="0" w:type="dxa"/>
            <w:bottom w:w="0" w:type="dxa"/>
            <w:right w:w="0" w:type="dxa"/>
          </w:tblCellMar>
        </w:tblPrEx>
        <w:trPr>
          <w:trHeight w:val="281" w:hRule="atLeast"/>
          <w:jc w:val="center"/>
        </w:trPr>
        <w:tc>
          <w:tcPr>
            <w:tcW w:w="324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spacing w:line="360" w:lineRule="auto"/>
              <w:ind w:firstLine="420" w:firstLineChars="200"/>
              <w:jc w:val="left"/>
              <w:rPr>
                <w:rFonts w:ascii="宋体" w:hAnsi="宋体"/>
                <w:szCs w:val="21"/>
              </w:rPr>
            </w:pPr>
            <w:r>
              <w:rPr>
                <w:rFonts w:hint="eastAsia" w:ascii="宋体" w:hAnsi="宋体"/>
                <w:szCs w:val="21"/>
              </w:rPr>
              <w:t>较大事故</w:t>
            </w:r>
          </w:p>
        </w:tc>
        <w:tc>
          <w:tcPr>
            <w:tcW w:w="3765" w:type="dxa"/>
            <w:tcBorders>
              <w:top w:val="single" w:color="auto" w:sz="8" w:space="0"/>
              <w:left w:val="nil"/>
              <w:bottom w:val="single" w:color="auto" w:sz="8" w:space="0"/>
              <w:right w:val="single" w:color="auto" w:sz="8" w:space="0"/>
            </w:tcBorders>
            <w:vAlign w:val="center"/>
          </w:tcPr>
          <w:p>
            <w:pPr>
              <w:spacing w:line="360" w:lineRule="auto"/>
              <w:ind w:firstLine="420" w:firstLineChars="200"/>
              <w:jc w:val="left"/>
              <w:rPr>
                <w:rFonts w:ascii="宋体" w:hAnsi="宋体"/>
                <w:szCs w:val="21"/>
              </w:rPr>
            </w:pPr>
            <w:r>
              <w:rPr>
                <w:rFonts w:hint="eastAsia" w:ascii="宋体" w:hAnsi="宋体"/>
                <w:kern w:val="0"/>
                <w:szCs w:val="21"/>
              </w:rPr>
              <w:t>签约合同价</w:t>
            </w:r>
            <w:r>
              <w:rPr>
                <w:rFonts w:hint="eastAsia" w:ascii="宋体" w:hAnsi="宋体"/>
                <w:szCs w:val="21"/>
              </w:rPr>
              <w:t>的0.5‰</w:t>
            </w:r>
          </w:p>
        </w:tc>
      </w:tr>
      <w:tr>
        <w:tblPrEx>
          <w:tblLayout w:type="fixed"/>
          <w:tblCellMar>
            <w:top w:w="0" w:type="dxa"/>
            <w:left w:w="0" w:type="dxa"/>
            <w:bottom w:w="0" w:type="dxa"/>
            <w:right w:w="0" w:type="dxa"/>
          </w:tblCellMar>
        </w:tblPrEx>
        <w:trPr>
          <w:trHeight w:val="274" w:hRule="atLeast"/>
          <w:jc w:val="center"/>
        </w:trPr>
        <w:tc>
          <w:tcPr>
            <w:tcW w:w="324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spacing w:line="360" w:lineRule="auto"/>
              <w:ind w:firstLine="420" w:firstLineChars="200"/>
              <w:jc w:val="left"/>
              <w:rPr>
                <w:rFonts w:ascii="宋体" w:hAnsi="宋体"/>
                <w:szCs w:val="21"/>
              </w:rPr>
            </w:pPr>
            <w:r>
              <w:rPr>
                <w:rFonts w:hint="eastAsia" w:ascii="宋体" w:hAnsi="宋体"/>
                <w:szCs w:val="21"/>
              </w:rPr>
              <w:t>重大事故</w:t>
            </w:r>
          </w:p>
        </w:tc>
        <w:tc>
          <w:tcPr>
            <w:tcW w:w="3765" w:type="dxa"/>
            <w:tcBorders>
              <w:top w:val="single" w:color="auto" w:sz="8" w:space="0"/>
              <w:left w:val="nil"/>
              <w:bottom w:val="single" w:color="auto" w:sz="8" w:space="0"/>
              <w:right w:val="single" w:color="auto" w:sz="8" w:space="0"/>
            </w:tcBorders>
            <w:vAlign w:val="center"/>
          </w:tcPr>
          <w:p>
            <w:pPr>
              <w:spacing w:line="360" w:lineRule="auto"/>
              <w:ind w:firstLine="420" w:firstLineChars="200"/>
              <w:jc w:val="left"/>
              <w:rPr>
                <w:rFonts w:ascii="宋体" w:hAnsi="宋体"/>
                <w:szCs w:val="21"/>
              </w:rPr>
            </w:pPr>
            <w:r>
              <w:rPr>
                <w:rFonts w:hint="eastAsia" w:ascii="宋体" w:hAnsi="宋体"/>
                <w:szCs w:val="21"/>
              </w:rPr>
              <w:t>签约合同价的2‰</w:t>
            </w:r>
          </w:p>
        </w:tc>
      </w:tr>
      <w:tr>
        <w:tblPrEx>
          <w:tblLayout w:type="fixed"/>
          <w:tblCellMar>
            <w:top w:w="0" w:type="dxa"/>
            <w:left w:w="0" w:type="dxa"/>
            <w:bottom w:w="0" w:type="dxa"/>
            <w:right w:w="0" w:type="dxa"/>
          </w:tblCellMar>
        </w:tblPrEx>
        <w:trPr>
          <w:trHeight w:val="138" w:hRule="atLeast"/>
          <w:jc w:val="center"/>
        </w:trPr>
        <w:tc>
          <w:tcPr>
            <w:tcW w:w="324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spacing w:line="360" w:lineRule="auto"/>
              <w:ind w:firstLine="420" w:firstLineChars="200"/>
              <w:jc w:val="left"/>
              <w:rPr>
                <w:rFonts w:ascii="宋体" w:hAnsi="宋体"/>
                <w:szCs w:val="21"/>
              </w:rPr>
            </w:pPr>
            <w:r>
              <w:rPr>
                <w:rFonts w:hint="eastAsia" w:ascii="宋体" w:hAnsi="宋体"/>
                <w:szCs w:val="21"/>
              </w:rPr>
              <w:t>特别重大事故</w:t>
            </w:r>
          </w:p>
        </w:tc>
        <w:tc>
          <w:tcPr>
            <w:tcW w:w="3765" w:type="dxa"/>
            <w:tcBorders>
              <w:top w:val="single" w:color="auto" w:sz="8" w:space="0"/>
              <w:left w:val="nil"/>
              <w:bottom w:val="single" w:color="auto" w:sz="8" w:space="0"/>
              <w:right w:val="single" w:color="auto" w:sz="8" w:space="0"/>
            </w:tcBorders>
            <w:vAlign w:val="center"/>
          </w:tcPr>
          <w:p>
            <w:pPr>
              <w:spacing w:line="360" w:lineRule="auto"/>
              <w:ind w:firstLine="420" w:firstLineChars="200"/>
              <w:jc w:val="left"/>
              <w:rPr>
                <w:rFonts w:ascii="宋体" w:hAnsi="宋体"/>
                <w:szCs w:val="21"/>
              </w:rPr>
            </w:pPr>
            <w:r>
              <w:rPr>
                <w:rFonts w:hint="eastAsia" w:ascii="宋体" w:hAnsi="宋体"/>
                <w:szCs w:val="21"/>
              </w:rPr>
              <w:t>签约合同价的4‰</w:t>
            </w:r>
          </w:p>
        </w:tc>
      </w:tr>
    </w:tbl>
    <w:p>
      <w:pPr>
        <w:spacing w:line="360" w:lineRule="auto"/>
        <w:ind w:firstLine="420" w:firstLineChars="200"/>
        <w:jc w:val="left"/>
        <w:rPr>
          <w:rFonts w:ascii="宋体" w:hAnsi="宋体"/>
          <w:szCs w:val="21"/>
        </w:rPr>
      </w:pPr>
      <w:r>
        <w:rPr>
          <w:rFonts w:hint="eastAsia" w:ascii="宋体" w:hAnsi="宋体"/>
          <w:szCs w:val="21"/>
        </w:rPr>
        <w:t>（1）较大事故，是指造成3人以上10人以下死亡，或者10人以上50人以下重伤，或者1000万元以上5000万元以下直接经济损失的事故；</w:t>
      </w:r>
    </w:p>
    <w:p>
      <w:pPr>
        <w:spacing w:line="360" w:lineRule="auto"/>
        <w:ind w:firstLine="420" w:firstLineChars="200"/>
        <w:jc w:val="left"/>
        <w:rPr>
          <w:rFonts w:ascii="宋体" w:hAnsi="宋体"/>
          <w:szCs w:val="21"/>
        </w:rPr>
      </w:pPr>
      <w:r>
        <w:rPr>
          <w:rFonts w:hint="eastAsia" w:ascii="宋体" w:hAnsi="宋体"/>
          <w:szCs w:val="21"/>
        </w:rPr>
        <w:t>（2）重大事故，是指造成10人以上30人以下死亡，或者50人以上100人以下重伤，或者5000万元以上1亿元以下直接经济损失的事故；</w:t>
      </w:r>
    </w:p>
    <w:p>
      <w:pPr>
        <w:spacing w:line="360" w:lineRule="auto"/>
        <w:ind w:firstLine="420" w:firstLineChars="200"/>
        <w:jc w:val="left"/>
        <w:rPr>
          <w:rFonts w:ascii="宋体" w:hAnsi="宋体"/>
          <w:szCs w:val="21"/>
        </w:rPr>
      </w:pPr>
      <w:r>
        <w:rPr>
          <w:rFonts w:hint="eastAsia" w:ascii="宋体" w:hAnsi="宋体"/>
          <w:szCs w:val="21"/>
        </w:rPr>
        <w:t>（3）特别重大事故，是指造成30人以上死亡，或者100人以上重伤（包括急性工业中毒，下同），或者1亿元以上直接经济损失的事故；</w:t>
      </w:r>
    </w:p>
    <w:p>
      <w:pPr>
        <w:spacing w:line="276" w:lineRule="auto"/>
        <w:ind w:firstLine="420" w:firstLineChars="200"/>
        <w:jc w:val="left"/>
        <w:rPr>
          <w:rFonts w:ascii="宋体" w:hAnsi="宋体"/>
          <w:szCs w:val="21"/>
        </w:rPr>
      </w:pPr>
      <w:r>
        <w:rPr>
          <w:rFonts w:hint="eastAsia" w:ascii="宋体" w:hAnsi="宋体"/>
          <w:szCs w:val="21"/>
        </w:rPr>
        <w:t>（4）所称的“以上”包括本数，所称的“以下”不包括本数。</w:t>
      </w:r>
    </w:p>
    <w:p>
      <w:pPr>
        <w:spacing w:line="276" w:lineRule="auto"/>
        <w:ind w:firstLine="420" w:firstLineChars="200"/>
        <w:jc w:val="left"/>
        <w:rPr>
          <w:rFonts w:ascii="宋体" w:hAnsi="宋体"/>
          <w:szCs w:val="21"/>
        </w:rPr>
      </w:pPr>
      <w:r>
        <w:rPr>
          <w:rFonts w:hint="eastAsia" w:ascii="宋体" w:hAnsi="宋体"/>
          <w:szCs w:val="21"/>
        </w:rPr>
        <w:t>（5）如整个施工过程未发生以上安全事故，则给予承包人建安费总额的1‰的安全奖励。</w:t>
      </w:r>
    </w:p>
    <w:p>
      <w:pPr>
        <w:spacing w:line="276" w:lineRule="auto"/>
        <w:ind w:firstLine="420" w:firstLineChars="200"/>
        <w:jc w:val="left"/>
        <w:rPr>
          <w:rFonts w:ascii="宋体" w:hAnsi="宋体"/>
          <w:szCs w:val="21"/>
        </w:rPr>
      </w:pPr>
      <w:r>
        <w:rPr>
          <w:rFonts w:hint="eastAsia" w:ascii="宋体" w:hAnsi="宋体"/>
          <w:szCs w:val="21"/>
        </w:rPr>
        <w:t xml:space="preserve">发包人委托的监理公司负责对承包人的安全业绩进行考核。每次合同支付前，承包人提交自我安全业绩评估报告，然后交发包人委托的监理公司评价。发包人委托的监理公司在签署评价意见后，将作为合同支付依据之一，同时也作为是否可接受承包人再次参加发包人项目投标的依据之一。 </w:t>
      </w:r>
    </w:p>
    <w:p>
      <w:pPr>
        <w:spacing w:line="276" w:lineRule="auto"/>
        <w:ind w:firstLine="420" w:firstLineChars="200"/>
        <w:rPr>
          <w:rFonts w:ascii="宋体" w:hAnsi="宋体"/>
          <w:szCs w:val="21"/>
        </w:rPr>
      </w:pPr>
      <w:bookmarkStart w:id="1988" w:name="_Toc247418282"/>
      <w:bookmarkStart w:id="1989" w:name="_Toc239510308"/>
      <w:bookmarkStart w:id="1990" w:name="_Toc532375717"/>
      <w:bookmarkStart w:id="1991" w:name="_Toc247431442"/>
      <w:r>
        <w:rPr>
          <w:rFonts w:hint="eastAsia" w:ascii="宋体" w:hAnsi="宋体"/>
          <w:szCs w:val="21"/>
        </w:rPr>
        <w:t>十七、协议条款的修订</w:t>
      </w:r>
      <w:bookmarkEnd w:id="1988"/>
      <w:bookmarkEnd w:id="1989"/>
      <w:bookmarkEnd w:id="1990"/>
      <w:bookmarkEnd w:id="1991"/>
    </w:p>
    <w:p>
      <w:pPr>
        <w:spacing w:line="276" w:lineRule="auto"/>
        <w:ind w:firstLine="420" w:firstLineChars="200"/>
        <w:jc w:val="left"/>
        <w:rPr>
          <w:rFonts w:ascii="宋体" w:hAnsi="宋体"/>
          <w:szCs w:val="21"/>
        </w:rPr>
      </w:pPr>
      <w:r>
        <w:rPr>
          <w:rFonts w:hint="eastAsia" w:ascii="宋体" w:hAnsi="宋体"/>
          <w:szCs w:val="21"/>
        </w:rPr>
        <w:t>在项目实施过程中，经双方友好协商，本协议的有关条款也可做出相应的修改。</w:t>
      </w:r>
    </w:p>
    <w:p>
      <w:pPr>
        <w:spacing w:line="276" w:lineRule="auto"/>
        <w:ind w:firstLine="420" w:firstLineChars="200"/>
        <w:jc w:val="left"/>
        <w:rPr>
          <w:rFonts w:ascii="宋体" w:hAnsi="宋体"/>
          <w:szCs w:val="21"/>
        </w:rPr>
      </w:pPr>
      <w:r>
        <w:rPr>
          <w:rFonts w:hint="eastAsia" w:ascii="宋体" w:hAnsi="宋体"/>
          <w:szCs w:val="21"/>
        </w:rPr>
        <w:t>本工程安全管理协议，由发包人、承包人双方在施工承包合同签订后7天内共同签署，作为施工合同附件。</w:t>
      </w:r>
    </w:p>
    <w:p>
      <w:pPr>
        <w:spacing w:line="360" w:lineRule="auto"/>
        <w:ind w:firstLine="420" w:firstLineChars="200"/>
        <w:jc w:val="left"/>
        <w:rPr>
          <w:rFonts w:ascii="宋体" w:hAnsi="宋体"/>
          <w:szCs w:val="21"/>
        </w:rPr>
      </w:pPr>
      <w:r>
        <w:rPr>
          <w:rFonts w:hint="eastAsia" w:ascii="宋体" w:hAnsi="宋体"/>
          <w:szCs w:val="21"/>
        </w:rPr>
        <w:t>发  包  人（单位公章）：</w:t>
      </w:r>
      <w:r>
        <w:rPr>
          <w:rFonts w:hint="eastAsia" w:ascii="宋体" w:hAnsi="宋体" w:cs="宋体"/>
          <w:szCs w:val="21"/>
          <w:u w:val="single"/>
        </w:rPr>
        <w:t xml:space="preserve">                   </w:t>
      </w:r>
    </w:p>
    <w:p>
      <w:pPr>
        <w:spacing w:line="360" w:lineRule="auto"/>
        <w:ind w:firstLine="420" w:firstLineChars="200"/>
        <w:jc w:val="left"/>
        <w:rPr>
          <w:rFonts w:ascii="宋体" w:hAnsi="宋体"/>
          <w:szCs w:val="21"/>
        </w:rPr>
      </w:pPr>
      <w:r>
        <w:rPr>
          <w:rFonts w:hint="eastAsia" w:ascii="宋体" w:hAnsi="宋体"/>
          <w:szCs w:val="21"/>
        </w:rPr>
        <w:t>法定代表人（签名）：</w:t>
      </w:r>
      <w:r>
        <w:rPr>
          <w:rFonts w:hint="eastAsia" w:ascii="宋体" w:hAnsi="宋体" w:cs="宋体"/>
          <w:szCs w:val="21"/>
          <w:u w:val="single"/>
        </w:rPr>
        <w:t xml:space="preserve">                       </w:t>
      </w:r>
      <w:r>
        <w:rPr>
          <w:rFonts w:hint="eastAsia" w:ascii="宋体" w:hAnsi="宋体"/>
          <w:szCs w:val="21"/>
        </w:rPr>
        <w:t xml:space="preserve">  </w:t>
      </w:r>
    </w:p>
    <w:p>
      <w:pPr>
        <w:spacing w:line="360" w:lineRule="auto"/>
        <w:ind w:firstLine="420" w:firstLineChars="200"/>
        <w:jc w:val="left"/>
        <w:rPr>
          <w:rFonts w:ascii="宋体" w:hAnsi="宋体"/>
          <w:szCs w:val="21"/>
        </w:rPr>
      </w:pPr>
      <w:r>
        <w:rPr>
          <w:rFonts w:hint="eastAsia" w:ascii="宋体" w:hAnsi="宋体"/>
          <w:szCs w:val="21"/>
        </w:rPr>
        <w:t>或其委托代理人（签名）：</w:t>
      </w:r>
      <w:r>
        <w:rPr>
          <w:rFonts w:hint="eastAsia" w:ascii="宋体" w:hAnsi="宋体" w:cs="宋体"/>
          <w:szCs w:val="21"/>
          <w:u w:val="single"/>
        </w:rPr>
        <w:t xml:space="preserve">                   </w:t>
      </w:r>
      <w:r>
        <w:rPr>
          <w:rFonts w:hint="eastAsia" w:ascii="宋体" w:hAnsi="宋体"/>
          <w:szCs w:val="21"/>
        </w:rPr>
        <w:t xml:space="preserve">  </w:t>
      </w:r>
    </w:p>
    <w:p>
      <w:pPr>
        <w:spacing w:line="360" w:lineRule="auto"/>
        <w:ind w:firstLine="420" w:firstLineChars="200"/>
        <w:jc w:val="left"/>
        <w:rPr>
          <w:rFonts w:ascii="宋体" w:hAnsi="宋体"/>
          <w:szCs w:val="21"/>
        </w:rPr>
      </w:pPr>
    </w:p>
    <w:p>
      <w:pPr>
        <w:spacing w:line="360" w:lineRule="auto"/>
        <w:ind w:firstLine="420" w:firstLineChars="200"/>
        <w:jc w:val="left"/>
        <w:rPr>
          <w:rFonts w:ascii="宋体" w:hAnsi="宋体"/>
          <w:kern w:val="0"/>
          <w:szCs w:val="21"/>
        </w:rPr>
      </w:pPr>
      <w:r>
        <w:rPr>
          <w:rFonts w:hint="eastAsia" w:ascii="宋体" w:hAnsi="宋体"/>
          <w:szCs w:val="21"/>
        </w:rPr>
        <w:t>承  包  人（单位公章）：</w:t>
      </w:r>
      <w:r>
        <w:rPr>
          <w:rFonts w:hint="eastAsia" w:ascii="宋体" w:hAnsi="宋体" w:cs="宋体"/>
          <w:szCs w:val="21"/>
          <w:u w:val="single"/>
        </w:rPr>
        <w:t xml:space="preserve">                   </w:t>
      </w:r>
    </w:p>
    <w:p>
      <w:pPr>
        <w:spacing w:line="360" w:lineRule="auto"/>
        <w:ind w:firstLine="420" w:firstLineChars="200"/>
        <w:jc w:val="left"/>
        <w:rPr>
          <w:rFonts w:ascii="宋体" w:hAnsi="宋体"/>
          <w:szCs w:val="21"/>
        </w:rPr>
      </w:pPr>
      <w:r>
        <w:rPr>
          <w:rFonts w:hint="eastAsia" w:ascii="宋体" w:hAnsi="宋体"/>
          <w:szCs w:val="21"/>
        </w:rPr>
        <w:t>法定代表人（签名）：</w:t>
      </w:r>
      <w:r>
        <w:rPr>
          <w:rFonts w:hint="eastAsia" w:ascii="宋体" w:hAnsi="宋体" w:cs="宋体"/>
          <w:szCs w:val="21"/>
          <w:u w:val="single"/>
        </w:rPr>
        <w:t xml:space="preserve">                       </w:t>
      </w:r>
    </w:p>
    <w:p>
      <w:pPr>
        <w:spacing w:line="360" w:lineRule="auto"/>
        <w:ind w:firstLine="420" w:firstLineChars="200"/>
        <w:jc w:val="left"/>
        <w:rPr>
          <w:rFonts w:ascii="宋体" w:hAnsi="宋体"/>
          <w:kern w:val="0"/>
          <w:szCs w:val="21"/>
        </w:rPr>
      </w:pPr>
      <w:r>
        <w:rPr>
          <w:rFonts w:hint="eastAsia" w:ascii="宋体" w:hAnsi="宋体"/>
          <w:szCs w:val="21"/>
        </w:rPr>
        <w:t>或其委托代理人（签名）：</w:t>
      </w:r>
      <w:r>
        <w:rPr>
          <w:rFonts w:hint="eastAsia" w:ascii="宋体" w:hAnsi="宋体" w:cs="宋体"/>
          <w:szCs w:val="21"/>
          <w:u w:val="single"/>
        </w:rPr>
        <w:t xml:space="preserve">                   </w:t>
      </w:r>
    </w:p>
    <w:p>
      <w:pPr>
        <w:snapToGrid w:val="0"/>
        <w:spacing w:line="360" w:lineRule="auto"/>
        <w:jc w:val="left"/>
        <w:rPr>
          <w:rFonts w:ascii="宋体" w:hAnsi="宋体"/>
          <w:kern w:val="0"/>
          <w:szCs w:val="21"/>
        </w:rPr>
      </w:pPr>
      <w:r>
        <w:rPr>
          <w:rFonts w:hint="eastAsia" w:ascii="宋体" w:hAnsi="宋体"/>
          <w:szCs w:val="21"/>
        </w:rPr>
        <w:br w:type="page"/>
      </w:r>
    </w:p>
    <w:p>
      <w:pPr>
        <w:spacing w:line="480" w:lineRule="auto"/>
        <w:rPr>
          <w:rFonts w:ascii="宋体" w:hAnsi="宋体"/>
          <w:szCs w:val="21"/>
        </w:rPr>
      </w:pPr>
      <w:r>
        <w:rPr>
          <w:rFonts w:hint="eastAsia" w:ascii="宋体" w:hAnsi="宋体"/>
          <w:szCs w:val="21"/>
        </w:rPr>
        <w:t>附件</w:t>
      </w:r>
      <w:r>
        <w:rPr>
          <w:rFonts w:ascii="宋体" w:hAnsi="宋体"/>
          <w:szCs w:val="21"/>
        </w:rPr>
        <w:t>10</w:t>
      </w:r>
      <w:r>
        <w:rPr>
          <w:rFonts w:hint="eastAsia" w:ascii="宋体" w:hAnsi="宋体"/>
          <w:szCs w:val="21"/>
        </w:rPr>
        <w:t>：</w:t>
      </w:r>
    </w:p>
    <w:p>
      <w:pPr>
        <w:spacing w:before="289" w:beforeLines="50" w:after="289" w:afterLines="50" w:line="480" w:lineRule="auto"/>
        <w:jc w:val="center"/>
        <w:rPr>
          <w:rFonts w:ascii="宋体" w:hAnsi="宋体"/>
          <w:szCs w:val="21"/>
        </w:rPr>
      </w:pPr>
      <w:r>
        <w:rPr>
          <w:rFonts w:hint="eastAsia" w:ascii="宋体" w:hAnsi="宋体"/>
          <w:szCs w:val="21"/>
        </w:rPr>
        <w:t>保障农民工工资支付协议</w:t>
      </w:r>
    </w:p>
    <w:p>
      <w:pPr>
        <w:snapToGrid w:val="0"/>
        <w:spacing w:line="480" w:lineRule="auto"/>
        <w:rPr>
          <w:rFonts w:ascii="宋体" w:hAnsi="宋体"/>
          <w:szCs w:val="21"/>
        </w:rPr>
      </w:pPr>
      <w:r>
        <w:rPr>
          <w:rFonts w:hint="eastAsia" w:ascii="宋体" w:hAnsi="宋体"/>
          <w:szCs w:val="21"/>
        </w:rPr>
        <w:t xml:space="preserve"> 发包人：</w:t>
      </w:r>
      <w:r>
        <w:rPr>
          <w:rFonts w:hint="eastAsia" w:ascii="宋体" w:hAnsi="宋体" w:cs="宋体"/>
          <w:szCs w:val="21"/>
          <w:u w:val="single"/>
        </w:rPr>
        <w:t xml:space="preserve">                                 </w:t>
      </w:r>
      <w:r>
        <w:rPr>
          <w:rFonts w:hint="eastAsia" w:ascii="宋体" w:hAnsi="宋体"/>
          <w:szCs w:val="21"/>
        </w:rPr>
        <w:t>（发包人）</w:t>
      </w:r>
    </w:p>
    <w:p>
      <w:pPr>
        <w:snapToGrid w:val="0"/>
        <w:spacing w:line="360" w:lineRule="auto"/>
        <w:rPr>
          <w:rFonts w:ascii="宋体" w:hAnsi="宋体"/>
          <w:szCs w:val="21"/>
        </w:rPr>
      </w:pPr>
      <w:r>
        <w:rPr>
          <w:rFonts w:hint="eastAsia" w:ascii="宋体" w:hAnsi="宋体"/>
          <w:szCs w:val="21"/>
        </w:rPr>
        <w:t xml:space="preserve"> 承包人：</w:t>
      </w:r>
      <w:r>
        <w:rPr>
          <w:rFonts w:hint="eastAsia" w:ascii="宋体" w:hAnsi="宋体" w:cs="宋体"/>
          <w:szCs w:val="21"/>
          <w:u w:val="single"/>
        </w:rPr>
        <w:t xml:space="preserve">                                 </w:t>
      </w:r>
      <w:r>
        <w:rPr>
          <w:rFonts w:hint="eastAsia" w:ascii="宋体" w:hAnsi="宋体"/>
          <w:szCs w:val="21"/>
        </w:rPr>
        <w:t>（承包人）</w:t>
      </w:r>
    </w:p>
    <w:p>
      <w:pPr>
        <w:spacing w:line="360" w:lineRule="auto"/>
        <w:ind w:firstLine="420" w:firstLineChars="200"/>
        <w:rPr>
          <w:rFonts w:ascii="宋体" w:hAnsi="宋体"/>
          <w:szCs w:val="21"/>
        </w:rPr>
      </w:pPr>
      <w:r>
        <w:rPr>
          <w:rFonts w:hint="eastAsia" w:ascii="宋体" w:hAnsi="宋体"/>
          <w:szCs w:val="21"/>
        </w:rPr>
        <w:t>为贯彻落实《国务院办公厅关于全面治理拖欠农民工工资问题的意见》（国办发〔2016〕1号），《重庆市人民政府办公厅关于全面治理拖欠农民工工资问题的实施意见》（渝府办发〔2016〕101号），健全预防和解决拖欠农民工工资问题的长效机制，切实保障农民工劳动报酬权益，维护社会公平正义，促进社会和谐稳定。经甲、乙双方结合实际情况，友好协商，达成如下协议：</w:t>
      </w:r>
    </w:p>
    <w:p>
      <w:pPr>
        <w:spacing w:line="360" w:lineRule="auto"/>
        <w:ind w:firstLine="420" w:firstLineChars="200"/>
        <w:rPr>
          <w:rFonts w:ascii="宋体" w:hAnsi="宋体"/>
          <w:szCs w:val="21"/>
        </w:rPr>
      </w:pPr>
      <w:r>
        <w:rPr>
          <w:rFonts w:hint="eastAsia" w:ascii="宋体" w:hAnsi="宋体"/>
          <w:szCs w:val="21"/>
        </w:rPr>
        <w:t>一、承包人申报工程进度款时，应对上月已支付工程款用于农民工工资发放的情况进行说明，并附农民工代表按时足额收取了工资的签名确认书。监理单位应对相关情况说明和签名确认书（详附件）进行审查签名后，与工程进度款申报资料一并提交给发包人。发包人审核合格后，才进行当期工程进度款的支付。</w:t>
      </w:r>
    </w:p>
    <w:p>
      <w:pPr>
        <w:spacing w:line="360" w:lineRule="auto"/>
        <w:ind w:firstLine="420" w:firstLineChars="200"/>
        <w:rPr>
          <w:rFonts w:ascii="宋体" w:hAnsi="宋体"/>
          <w:szCs w:val="21"/>
        </w:rPr>
      </w:pPr>
      <w:r>
        <w:rPr>
          <w:rFonts w:hint="eastAsia" w:ascii="宋体" w:hAnsi="宋体"/>
          <w:szCs w:val="21"/>
        </w:rPr>
        <w:t>二、由于工程进度款申报和审查需一定时间，其与农民工工资发放时间存在一定时间的延后，承包人应具有垫付不低于3个月农民工工资能力。承包人在本补充协议签订后申请的第一笔工程进度款时应出具垫付不低于3个月农民工工资的书面承诺给发包人。发包人将承包人是否做出承诺作为支付工程进度款的前提条件之一。</w:t>
      </w:r>
    </w:p>
    <w:p>
      <w:pPr>
        <w:spacing w:line="360" w:lineRule="auto"/>
        <w:ind w:firstLine="420" w:firstLineChars="200"/>
        <w:rPr>
          <w:rFonts w:ascii="宋体" w:hAnsi="宋体"/>
          <w:szCs w:val="21"/>
        </w:rPr>
      </w:pPr>
      <w:r>
        <w:rPr>
          <w:rFonts w:hint="eastAsia" w:ascii="宋体" w:hAnsi="宋体"/>
          <w:szCs w:val="21"/>
        </w:rPr>
        <w:t>三、承包人每月10日前将本月作业班组、班组人数、农民工身份信息等报监理单位，10日～15日分别以作业班组为小组，每小组自行选举产生一名农民工代表，监理单位应全程监督，选举结果与当期工程款支付申请一并报送发包人。</w:t>
      </w:r>
    </w:p>
    <w:p>
      <w:pPr>
        <w:spacing w:line="360" w:lineRule="auto"/>
        <w:ind w:firstLine="420" w:firstLineChars="200"/>
        <w:rPr>
          <w:rFonts w:ascii="宋体" w:hAnsi="宋体"/>
          <w:szCs w:val="21"/>
        </w:rPr>
      </w:pPr>
      <w:r>
        <w:rPr>
          <w:rFonts w:hint="eastAsia" w:ascii="宋体" w:hAnsi="宋体"/>
          <w:szCs w:val="21"/>
        </w:rPr>
        <w:t>四、若发现承包人有下列事项的，发包人在支付当期进度款时暂扣当期应支付进度款5%比例的款项。</w:t>
      </w:r>
      <w:r>
        <w:rPr>
          <w:rFonts w:hint="eastAsia" w:ascii="宋体" w:hAnsi="宋体"/>
          <w:szCs w:val="21"/>
        </w:rPr>
        <w:br w:type="textWrapping"/>
      </w:r>
      <w:r>
        <w:rPr>
          <w:rFonts w:hint="eastAsia" w:ascii="宋体" w:hAnsi="宋体"/>
          <w:szCs w:val="21"/>
        </w:rPr>
        <w:t xml:space="preserve">    （一）现场检查发现项目存在拖欠农民工工资情况并经核查属实的；</w:t>
      </w:r>
    </w:p>
    <w:p>
      <w:pPr>
        <w:spacing w:line="360" w:lineRule="auto"/>
        <w:ind w:firstLine="420" w:firstLineChars="200"/>
        <w:rPr>
          <w:rFonts w:ascii="宋体" w:hAnsi="宋体"/>
          <w:szCs w:val="21"/>
        </w:rPr>
      </w:pPr>
      <w:r>
        <w:rPr>
          <w:rFonts w:hint="eastAsia" w:ascii="宋体" w:hAnsi="宋体"/>
          <w:szCs w:val="21"/>
        </w:rPr>
        <w:t>（二）相关行政管理部门检查发现存在拖欠农民工工资情况并经核查属实的；</w:t>
      </w:r>
      <w:r>
        <w:rPr>
          <w:rFonts w:hint="eastAsia" w:ascii="宋体" w:hAnsi="宋体"/>
          <w:szCs w:val="21"/>
        </w:rPr>
        <w:br w:type="textWrapping"/>
      </w:r>
      <w:r>
        <w:rPr>
          <w:rFonts w:hint="eastAsia" w:ascii="宋体" w:hAnsi="宋体"/>
          <w:szCs w:val="21"/>
        </w:rPr>
        <w:t xml:space="preserve">    （三）有拖欠农民工工资投诉事项并经核查属实的。</w:t>
      </w:r>
      <w:r>
        <w:rPr>
          <w:rFonts w:hint="eastAsia" w:ascii="宋体" w:hAnsi="宋体"/>
          <w:szCs w:val="21"/>
        </w:rPr>
        <w:br w:type="textWrapping"/>
      </w:r>
      <w:r>
        <w:rPr>
          <w:rFonts w:hint="eastAsia" w:ascii="宋体" w:hAnsi="宋体"/>
          <w:szCs w:val="21"/>
        </w:rPr>
        <w:t xml:space="preserve">    五、对发现的存在拖欠农民工工资事项，承包人应在3天内限时整改，并将整改措施和结果报发包人审查，经发包人批准同意后，在下一期工程进度款支付中返还暂扣的工程款；如承包人未在3天内限时整改，暂扣工程款将继续扣留，直至整改完毕。暂扣款不计息。</w:t>
      </w:r>
    </w:p>
    <w:p>
      <w:pPr>
        <w:tabs>
          <w:tab w:val="left" w:pos="1080"/>
          <w:tab w:val="left" w:pos="1260"/>
          <w:tab w:val="left" w:pos="1440"/>
        </w:tabs>
        <w:spacing w:line="360" w:lineRule="auto"/>
        <w:ind w:firstLine="420" w:firstLineChars="200"/>
        <w:rPr>
          <w:rFonts w:ascii="宋体" w:hAnsi="宋体"/>
          <w:snapToGrid w:val="0"/>
          <w:spacing w:val="-4"/>
          <w:kern w:val="0"/>
          <w:szCs w:val="21"/>
        </w:rPr>
      </w:pPr>
      <w:r>
        <w:rPr>
          <w:rFonts w:hint="eastAsia" w:ascii="宋体" w:hAnsi="宋体"/>
          <w:szCs w:val="21"/>
        </w:rPr>
        <w:t>六、本协议经双方法定代表人或委托代理人签名并加盖单位公章后生效，履行完毕后自然失效。</w:t>
      </w:r>
    </w:p>
    <w:p>
      <w:pPr>
        <w:spacing w:line="360" w:lineRule="auto"/>
        <w:ind w:firstLine="420" w:firstLineChars="200"/>
        <w:rPr>
          <w:rFonts w:ascii="宋体" w:hAnsi="宋体"/>
          <w:szCs w:val="21"/>
        </w:rPr>
      </w:pPr>
      <w:r>
        <w:rPr>
          <w:rFonts w:hint="eastAsia" w:ascii="宋体" w:hAnsi="宋体"/>
          <w:szCs w:val="21"/>
        </w:rPr>
        <w:t>附件：</w:t>
      </w:r>
    </w:p>
    <w:p>
      <w:pPr>
        <w:spacing w:line="360" w:lineRule="auto"/>
        <w:ind w:firstLine="420" w:firstLineChars="200"/>
        <w:rPr>
          <w:rFonts w:ascii="宋体" w:hAnsi="宋体"/>
          <w:szCs w:val="21"/>
        </w:rPr>
      </w:pPr>
      <w:r>
        <w:rPr>
          <w:rFonts w:hint="eastAsia" w:ascii="宋体" w:hAnsi="宋体"/>
          <w:szCs w:val="21"/>
        </w:rPr>
        <w:t>1、关于农民工工资发放情况的说明表</w:t>
      </w:r>
    </w:p>
    <w:p>
      <w:pPr>
        <w:spacing w:line="360" w:lineRule="auto"/>
        <w:ind w:firstLine="420" w:firstLineChars="200"/>
        <w:rPr>
          <w:rFonts w:ascii="宋体" w:hAnsi="宋体"/>
          <w:szCs w:val="21"/>
        </w:rPr>
      </w:pPr>
      <w:r>
        <w:rPr>
          <w:rFonts w:hint="eastAsia" w:ascii="宋体" w:hAnsi="宋体"/>
          <w:szCs w:val="21"/>
        </w:rPr>
        <w:t>（以下无正文）</w:t>
      </w:r>
    </w:p>
    <w:p>
      <w:pPr>
        <w:spacing w:line="360" w:lineRule="auto"/>
        <w:rPr>
          <w:rFonts w:ascii="宋体" w:hAnsi="宋体"/>
          <w:szCs w:val="21"/>
        </w:rPr>
      </w:pPr>
      <w:r>
        <w:rPr>
          <w:rFonts w:hint="eastAsia" w:ascii="宋体" w:hAnsi="宋体"/>
          <w:szCs w:val="21"/>
        </w:rPr>
        <w:t>发包人：</w:t>
      </w:r>
      <w:r>
        <w:rPr>
          <w:rFonts w:hint="eastAsia" w:ascii="宋体" w:hAnsi="宋体" w:cs="宋体"/>
          <w:szCs w:val="21"/>
          <w:u w:val="single"/>
        </w:rPr>
        <w:t xml:space="preserve">       </w:t>
      </w:r>
      <w:r>
        <w:rPr>
          <w:rFonts w:hint="eastAsia" w:ascii="宋体" w:hAnsi="宋体"/>
          <w:szCs w:val="21"/>
        </w:rPr>
        <w:t>（发包人）</w:t>
      </w:r>
    </w:p>
    <w:p>
      <w:pPr>
        <w:spacing w:line="360" w:lineRule="auto"/>
        <w:rPr>
          <w:rFonts w:ascii="宋体" w:hAnsi="宋体"/>
          <w:szCs w:val="21"/>
        </w:rPr>
      </w:pPr>
      <w:r>
        <w:rPr>
          <w:rFonts w:hint="eastAsia" w:ascii="宋体" w:hAnsi="宋体"/>
          <w:szCs w:val="21"/>
        </w:rPr>
        <w:t>法定代表人：</w:t>
      </w:r>
      <w:r>
        <w:rPr>
          <w:rFonts w:hint="eastAsia" w:ascii="宋体" w:hAnsi="宋体" w:cs="宋体"/>
          <w:szCs w:val="21"/>
          <w:u w:val="single"/>
        </w:rPr>
        <w:t xml:space="preserve">       </w:t>
      </w:r>
    </w:p>
    <w:p>
      <w:pPr>
        <w:spacing w:line="360" w:lineRule="auto"/>
        <w:rPr>
          <w:rFonts w:ascii="宋体" w:hAnsi="宋体"/>
          <w:szCs w:val="21"/>
        </w:rPr>
      </w:pPr>
      <w:r>
        <w:rPr>
          <w:rFonts w:hint="eastAsia" w:ascii="宋体" w:hAnsi="宋体"/>
          <w:szCs w:val="21"/>
        </w:rPr>
        <w:t>或委托代理人：</w:t>
      </w:r>
      <w:r>
        <w:rPr>
          <w:rFonts w:hint="eastAsia" w:ascii="宋体" w:hAnsi="宋体" w:cs="宋体"/>
          <w:szCs w:val="21"/>
          <w:u w:val="single"/>
        </w:rPr>
        <w:t xml:space="preserve">       </w:t>
      </w:r>
    </w:p>
    <w:p>
      <w:pPr>
        <w:spacing w:line="360" w:lineRule="auto"/>
        <w:rPr>
          <w:rFonts w:ascii="宋体" w:hAnsi="宋体"/>
          <w:szCs w:val="21"/>
        </w:rPr>
      </w:pPr>
      <w:r>
        <w:rPr>
          <w:rFonts w:hint="eastAsia" w:ascii="宋体" w:hAnsi="宋体"/>
          <w:szCs w:val="21"/>
        </w:rPr>
        <w:t>联系人：</w:t>
      </w:r>
      <w:r>
        <w:rPr>
          <w:rFonts w:hint="eastAsia" w:ascii="宋体" w:hAnsi="宋体" w:cs="宋体"/>
          <w:szCs w:val="21"/>
          <w:u w:val="single"/>
        </w:rPr>
        <w:t xml:space="preserve">       </w:t>
      </w:r>
    </w:p>
    <w:p>
      <w:pPr>
        <w:spacing w:line="360" w:lineRule="auto"/>
        <w:rPr>
          <w:rFonts w:ascii="宋体" w:hAnsi="宋体"/>
          <w:szCs w:val="21"/>
        </w:rPr>
      </w:pPr>
      <w:r>
        <w:rPr>
          <w:rFonts w:hint="eastAsia" w:ascii="宋体" w:hAnsi="宋体"/>
          <w:szCs w:val="21"/>
        </w:rPr>
        <w:t>承包人：</w:t>
      </w:r>
      <w:r>
        <w:rPr>
          <w:rFonts w:hint="eastAsia" w:ascii="宋体" w:hAnsi="宋体" w:cs="宋体"/>
          <w:szCs w:val="21"/>
          <w:u w:val="single"/>
        </w:rPr>
        <w:t xml:space="preserve">       </w:t>
      </w:r>
      <w:r>
        <w:rPr>
          <w:rFonts w:hint="eastAsia" w:ascii="宋体" w:hAnsi="宋体"/>
          <w:szCs w:val="21"/>
        </w:rPr>
        <w:t>（承包人）</w:t>
      </w:r>
    </w:p>
    <w:p>
      <w:pPr>
        <w:spacing w:line="360" w:lineRule="auto"/>
        <w:rPr>
          <w:rFonts w:ascii="宋体" w:hAnsi="宋体"/>
          <w:szCs w:val="21"/>
        </w:rPr>
      </w:pPr>
      <w:r>
        <w:rPr>
          <w:rFonts w:hint="eastAsia" w:ascii="宋体" w:hAnsi="宋体"/>
          <w:szCs w:val="21"/>
        </w:rPr>
        <w:t>法定代表人：</w:t>
      </w:r>
      <w:r>
        <w:rPr>
          <w:rFonts w:hint="eastAsia" w:ascii="宋体" w:hAnsi="宋体" w:cs="宋体"/>
          <w:szCs w:val="21"/>
          <w:u w:val="single"/>
        </w:rPr>
        <w:t xml:space="preserve">       </w:t>
      </w:r>
    </w:p>
    <w:p>
      <w:pPr>
        <w:spacing w:line="360" w:lineRule="auto"/>
        <w:rPr>
          <w:rFonts w:ascii="宋体" w:hAnsi="宋体"/>
          <w:szCs w:val="21"/>
        </w:rPr>
      </w:pPr>
      <w:r>
        <w:rPr>
          <w:rFonts w:hint="eastAsia" w:ascii="宋体" w:hAnsi="宋体"/>
          <w:szCs w:val="21"/>
        </w:rPr>
        <w:t>或委托代理人：</w:t>
      </w:r>
      <w:r>
        <w:rPr>
          <w:rFonts w:hint="eastAsia" w:ascii="宋体" w:hAnsi="宋体" w:cs="宋体"/>
          <w:szCs w:val="21"/>
          <w:u w:val="single"/>
        </w:rPr>
        <w:t xml:space="preserve">       </w:t>
      </w:r>
    </w:p>
    <w:p>
      <w:pPr>
        <w:spacing w:line="360" w:lineRule="auto"/>
        <w:rPr>
          <w:rFonts w:ascii="宋体" w:hAnsi="宋体"/>
          <w:szCs w:val="21"/>
        </w:rPr>
      </w:pPr>
      <w:r>
        <w:rPr>
          <w:rFonts w:hint="eastAsia" w:ascii="宋体" w:hAnsi="宋体"/>
          <w:szCs w:val="21"/>
        </w:rPr>
        <w:t>联系人：</w:t>
      </w:r>
      <w:r>
        <w:rPr>
          <w:rFonts w:hint="eastAsia" w:ascii="宋体" w:hAnsi="宋体" w:cs="宋体"/>
          <w:szCs w:val="21"/>
          <w:u w:val="single"/>
        </w:rPr>
        <w:t xml:space="preserve">       </w:t>
      </w:r>
    </w:p>
    <w:p>
      <w:pPr>
        <w:snapToGrid w:val="0"/>
        <w:spacing w:line="360" w:lineRule="auto"/>
        <w:ind w:firstLine="560"/>
        <w:rPr>
          <w:rFonts w:ascii="宋体" w:hAnsi="宋体"/>
          <w:szCs w:val="21"/>
        </w:rPr>
      </w:pPr>
    </w:p>
    <w:p>
      <w:pPr>
        <w:spacing w:line="480" w:lineRule="auto"/>
        <w:rPr>
          <w:rFonts w:ascii="宋体" w:hAnsi="宋体"/>
          <w:szCs w:val="21"/>
        </w:rPr>
      </w:pPr>
      <w:r>
        <w:rPr>
          <w:rFonts w:hint="eastAsia" w:ascii="宋体" w:hAnsi="宋体"/>
          <w:szCs w:val="21"/>
        </w:rPr>
        <w:br w:type="page"/>
      </w:r>
      <w:r>
        <w:rPr>
          <w:rFonts w:hint="eastAsia" w:ascii="宋体" w:hAnsi="宋体"/>
          <w:szCs w:val="21"/>
        </w:rPr>
        <w:t>保障农民工工资支付协议附件1：</w:t>
      </w:r>
    </w:p>
    <w:p>
      <w:pPr>
        <w:widowControl/>
        <w:snapToGrid w:val="0"/>
        <w:spacing w:after="100" w:afterAutospacing="1" w:line="480" w:lineRule="auto"/>
        <w:jc w:val="center"/>
        <w:rPr>
          <w:rFonts w:ascii="宋体" w:hAnsi="宋体"/>
          <w:szCs w:val="21"/>
        </w:rPr>
      </w:pPr>
      <w:r>
        <w:rPr>
          <w:rFonts w:hint="eastAsia" w:ascii="宋体" w:hAnsi="宋体"/>
          <w:szCs w:val="21"/>
        </w:rPr>
        <w:t>关于农民工工资发放情况的说明表</w:t>
      </w:r>
    </w:p>
    <w:tbl>
      <w:tblPr>
        <w:tblStyle w:val="54"/>
        <w:tblW w:w="84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6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37" w:type="dxa"/>
            <w:gridSpan w:val="2"/>
          </w:tcPr>
          <w:p>
            <w:pPr>
              <w:widowControl/>
              <w:snapToGrid w:val="0"/>
              <w:spacing w:after="100" w:afterAutospacing="1" w:line="400" w:lineRule="exact"/>
              <w:jc w:val="left"/>
              <w:rPr>
                <w:rFonts w:ascii="宋体" w:hAnsi="宋体"/>
                <w:kern w:val="0"/>
                <w:szCs w:val="21"/>
              </w:rPr>
            </w:pPr>
            <w:r>
              <w:rPr>
                <w:rFonts w:hint="eastAsia" w:ascii="宋体" w:hAnsi="宋体"/>
                <w:kern w:val="0"/>
                <w:szCs w:val="21"/>
              </w:rPr>
              <w:t>工程名称：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2236" w:type="dxa"/>
          </w:tcPr>
          <w:p>
            <w:pPr>
              <w:widowControl/>
              <w:snapToGrid w:val="0"/>
              <w:spacing w:after="100" w:afterAutospacing="1" w:line="400" w:lineRule="exact"/>
              <w:rPr>
                <w:rFonts w:ascii="宋体" w:hAnsi="宋体"/>
                <w:kern w:val="0"/>
                <w:szCs w:val="21"/>
              </w:rPr>
            </w:pPr>
            <w:r>
              <w:rPr>
                <w:rFonts w:hint="eastAsia" w:ascii="宋体" w:hAnsi="宋体"/>
                <w:kern w:val="0"/>
                <w:szCs w:val="21"/>
              </w:rPr>
              <w:t>施工单位：</w:t>
            </w:r>
          </w:p>
        </w:tc>
        <w:tc>
          <w:tcPr>
            <w:tcW w:w="6201" w:type="dxa"/>
          </w:tcPr>
          <w:p>
            <w:pPr>
              <w:widowControl/>
              <w:snapToGrid w:val="0"/>
              <w:spacing w:after="100" w:afterAutospacing="1" w:line="400" w:lineRule="exact"/>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6" w:type="dxa"/>
          </w:tcPr>
          <w:p>
            <w:pPr>
              <w:widowControl/>
              <w:snapToGrid w:val="0"/>
              <w:spacing w:after="100" w:afterAutospacing="1" w:line="400" w:lineRule="exact"/>
              <w:rPr>
                <w:rFonts w:ascii="宋体" w:hAnsi="宋体"/>
                <w:kern w:val="0"/>
                <w:szCs w:val="21"/>
              </w:rPr>
            </w:pPr>
            <w:r>
              <w:rPr>
                <w:rFonts w:hint="eastAsia" w:ascii="宋体" w:hAnsi="宋体"/>
                <w:kern w:val="0"/>
                <w:szCs w:val="21"/>
              </w:rPr>
              <w:t>监理单位：</w:t>
            </w:r>
          </w:p>
        </w:tc>
        <w:tc>
          <w:tcPr>
            <w:tcW w:w="6201" w:type="dxa"/>
          </w:tcPr>
          <w:p>
            <w:pPr>
              <w:widowControl/>
              <w:snapToGrid w:val="0"/>
              <w:spacing w:after="100" w:afterAutospacing="1" w:line="400" w:lineRule="exact"/>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5" w:hRule="atLeast"/>
          <w:jc w:val="center"/>
        </w:trPr>
        <w:tc>
          <w:tcPr>
            <w:tcW w:w="8437" w:type="dxa"/>
            <w:gridSpan w:val="2"/>
          </w:tcPr>
          <w:p>
            <w:pPr>
              <w:widowControl/>
              <w:snapToGrid w:val="0"/>
              <w:spacing w:after="100" w:afterAutospacing="1" w:line="400" w:lineRule="exact"/>
              <w:rPr>
                <w:rFonts w:ascii="宋体" w:hAnsi="宋体"/>
                <w:kern w:val="0"/>
                <w:szCs w:val="21"/>
                <w:u w:val="single"/>
              </w:rPr>
            </w:pPr>
          </w:p>
          <w:p>
            <w:pPr>
              <w:widowControl/>
              <w:snapToGrid w:val="0"/>
              <w:spacing w:after="100" w:afterAutospacing="1" w:line="400" w:lineRule="exact"/>
              <w:rPr>
                <w:rFonts w:ascii="宋体" w:hAnsi="宋体"/>
                <w:kern w:val="0"/>
                <w:szCs w:val="21"/>
              </w:rPr>
            </w:pPr>
            <w:r>
              <w:rPr>
                <w:rFonts w:hint="eastAsia" w:ascii="宋体" w:hAnsi="宋体"/>
                <w:kern w:val="0"/>
                <w:szCs w:val="21"/>
              </w:rPr>
              <w:t>（项目业主单位名称）：</w:t>
            </w:r>
            <w:r>
              <w:rPr>
                <w:rFonts w:hint="eastAsia" w:ascii="宋体" w:hAnsi="宋体"/>
                <w:kern w:val="0"/>
                <w:szCs w:val="21"/>
                <w:u w:val="single"/>
              </w:rPr>
              <w:br w:type="textWrapping"/>
            </w:r>
            <w:r>
              <w:rPr>
                <w:rFonts w:hint="eastAsia" w:ascii="宋体" w:hAnsi="宋体"/>
                <w:kern w:val="0"/>
                <w:szCs w:val="21"/>
              </w:rPr>
              <w:t xml:space="preserve">    我单位负责承建的（工程名称）无拖欠农民工资的情况，贵单位先期支付我单位的工程款已优先用于支付了农民工工资，农民工工资全部按时足额进行了发放，请贵单位予以审核。</w:t>
            </w:r>
            <w:r>
              <w:rPr>
                <w:rFonts w:hint="eastAsia" w:ascii="宋体" w:hAnsi="宋体"/>
                <w:kern w:val="0"/>
                <w:szCs w:val="21"/>
              </w:rPr>
              <w:br w:type="textWrapping"/>
            </w:r>
          </w:p>
          <w:p>
            <w:pPr>
              <w:widowControl/>
              <w:snapToGrid w:val="0"/>
              <w:spacing w:after="100" w:afterAutospacing="1" w:line="400" w:lineRule="exact"/>
              <w:ind w:firstLine="1260" w:firstLineChars="600"/>
              <w:rPr>
                <w:rFonts w:ascii="宋体" w:hAnsi="宋体"/>
                <w:kern w:val="0"/>
                <w:szCs w:val="21"/>
                <w:u w:val="single"/>
              </w:rPr>
            </w:pPr>
            <w:r>
              <w:rPr>
                <w:rFonts w:hint="eastAsia" w:ascii="宋体" w:hAnsi="宋体"/>
                <w:kern w:val="0"/>
                <w:szCs w:val="21"/>
              </w:rPr>
              <w:t>施工单位项目负责人签名（加盖项目章）：</w:t>
            </w:r>
            <w:r>
              <w:rPr>
                <w:rFonts w:hint="eastAsia" w:ascii="宋体" w:hAnsi="宋体"/>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2236" w:type="dxa"/>
            <w:vAlign w:val="center"/>
          </w:tcPr>
          <w:p>
            <w:pPr>
              <w:widowControl/>
              <w:snapToGrid w:val="0"/>
              <w:spacing w:after="100" w:afterAutospacing="1" w:line="400" w:lineRule="exact"/>
              <w:jc w:val="center"/>
              <w:rPr>
                <w:rFonts w:ascii="宋体" w:hAnsi="宋体" w:cs="宋体"/>
                <w:kern w:val="0"/>
                <w:szCs w:val="21"/>
              </w:rPr>
            </w:pPr>
            <w:r>
              <w:rPr>
                <w:rFonts w:hint="eastAsia" w:ascii="宋体" w:hAnsi="宋体" w:cs="宋体"/>
                <w:kern w:val="0"/>
                <w:szCs w:val="21"/>
              </w:rPr>
              <w:t>监理单位意见：</w:t>
            </w:r>
          </w:p>
        </w:tc>
        <w:tc>
          <w:tcPr>
            <w:tcW w:w="6201" w:type="dxa"/>
          </w:tcPr>
          <w:p>
            <w:pPr>
              <w:widowControl/>
              <w:snapToGrid w:val="0"/>
              <w:spacing w:after="100" w:afterAutospacing="1" w:line="400" w:lineRule="exact"/>
              <w:rPr>
                <w:rFonts w:ascii="宋体" w:hAnsi="宋体"/>
                <w:kern w:val="0"/>
                <w:szCs w:val="21"/>
                <w:u w:val="single"/>
              </w:rPr>
            </w:pPr>
          </w:p>
          <w:p>
            <w:pPr>
              <w:widowControl/>
              <w:snapToGrid w:val="0"/>
              <w:spacing w:after="100" w:afterAutospacing="1" w:line="400" w:lineRule="exact"/>
              <w:rPr>
                <w:rFonts w:ascii="宋体" w:hAnsi="宋体"/>
                <w:kern w:val="0"/>
                <w:szCs w:val="21"/>
                <w:u w:val="single"/>
              </w:rPr>
            </w:pPr>
            <w:r>
              <w:rPr>
                <w:rFonts w:hint="eastAsia" w:ascii="宋体" w:hAnsi="宋体"/>
                <w:kern w:val="0"/>
                <w:szCs w:val="21"/>
              </w:rPr>
              <w:t xml:space="preserve">             总监签名并加盖项目章：</w:t>
            </w:r>
            <w:r>
              <w:rPr>
                <w:rFonts w:hint="eastAsia" w:ascii="宋体" w:hAnsi="宋体"/>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0" w:hRule="atLeast"/>
          <w:jc w:val="center"/>
        </w:trPr>
        <w:tc>
          <w:tcPr>
            <w:tcW w:w="2236" w:type="dxa"/>
            <w:vAlign w:val="center"/>
          </w:tcPr>
          <w:p>
            <w:pPr>
              <w:widowControl/>
              <w:snapToGrid w:val="0"/>
              <w:spacing w:after="100" w:afterAutospacing="1" w:line="400" w:lineRule="exact"/>
              <w:jc w:val="center"/>
              <w:rPr>
                <w:rFonts w:ascii="宋体" w:hAnsi="宋体"/>
                <w:kern w:val="0"/>
                <w:szCs w:val="21"/>
              </w:rPr>
            </w:pPr>
            <w:r>
              <w:rPr>
                <w:rFonts w:hint="eastAsia" w:ascii="宋体" w:hAnsi="宋体"/>
                <w:kern w:val="0"/>
                <w:szCs w:val="21"/>
              </w:rPr>
              <w:t>工程部项目负责人意见：</w:t>
            </w:r>
          </w:p>
        </w:tc>
        <w:tc>
          <w:tcPr>
            <w:tcW w:w="6201" w:type="dxa"/>
          </w:tcPr>
          <w:p>
            <w:pPr>
              <w:widowControl/>
              <w:snapToGrid w:val="0"/>
              <w:spacing w:after="100" w:afterAutospacing="1" w:line="400" w:lineRule="exact"/>
              <w:rPr>
                <w:rFonts w:ascii="宋体" w:hAnsi="宋体"/>
                <w:kern w:val="0"/>
                <w:szCs w:val="21"/>
                <w:u w:val="single"/>
              </w:rPr>
            </w:pPr>
          </w:p>
          <w:p>
            <w:pPr>
              <w:widowControl/>
              <w:snapToGrid w:val="0"/>
              <w:spacing w:after="100" w:afterAutospacing="1" w:line="400" w:lineRule="exact"/>
              <w:rPr>
                <w:rFonts w:ascii="宋体" w:hAnsi="宋体"/>
                <w:kern w:val="0"/>
                <w:szCs w:val="21"/>
                <w:u w:val="single"/>
              </w:rPr>
            </w:pPr>
            <w:r>
              <w:rPr>
                <w:rFonts w:hint="eastAsia" w:ascii="宋体" w:hAnsi="宋体"/>
                <w:kern w:val="0"/>
                <w:szCs w:val="21"/>
              </w:rPr>
              <w:t xml:space="preserve">                   项目负责人签名：</w:t>
            </w:r>
            <w:r>
              <w:rPr>
                <w:rFonts w:hint="eastAsia" w:ascii="宋体" w:hAnsi="宋体"/>
                <w:kern w:val="0"/>
                <w:szCs w:val="21"/>
                <w:u w:val="single"/>
              </w:rPr>
              <w:t xml:space="preserve">        </w:t>
            </w:r>
          </w:p>
        </w:tc>
      </w:tr>
    </w:tbl>
    <w:p>
      <w:pPr>
        <w:rPr>
          <w:rFonts w:ascii="宋体" w:hAnsi="宋体"/>
          <w:sz w:val="24"/>
        </w:rPr>
      </w:pPr>
      <w:r>
        <w:rPr>
          <w:rFonts w:ascii="宋体" w:hAnsi="宋体"/>
          <w:sz w:val="24"/>
        </w:rPr>
        <w:br w:type="page"/>
      </w:r>
    </w:p>
    <w:p>
      <w:pPr>
        <w:spacing w:line="360" w:lineRule="auto"/>
        <w:rPr>
          <w:rFonts w:asciiTheme="minorEastAsia" w:hAnsiTheme="minorEastAsia" w:eastAsiaTheme="minorEastAsia" w:cstheme="minorEastAsia"/>
          <w:b/>
          <w:bCs/>
          <w:szCs w:val="21"/>
        </w:rPr>
      </w:pPr>
      <w:r>
        <w:rPr>
          <w:rFonts w:hint="eastAsia" w:ascii="宋体" w:hAnsi="宋体"/>
          <w:szCs w:val="21"/>
        </w:rPr>
        <w:t>附件11：低价风险担保保函示范文本（独立保函）（如有）</w:t>
      </w:r>
    </w:p>
    <w:p>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低价风险担保保函示范文本</w:t>
      </w:r>
    </w:p>
    <w:p>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（独立保函）</w:t>
      </w:r>
    </w:p>
    <w:p>
      <w:pPr>
        <w:wordWrap w:val="0"/>
        <w:spacing w:line="360" w:lineRule="auto"/>
        <w:ind w:firstLine="420" w:firstLineChars="200"/>
        <w:jc w:val="righ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编号：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申请人：</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地  址：</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受益人：</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地  址：</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开立人：</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地  址：</w:t>
      </w:r>
    </w:p>
    <w:p>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（受益人名称）： </w:t>
      </w:r>
    </w:p>
    <w:p>
      <w:pPr>
        <w:pStyle w:val="2"/>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鉴于</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（以下简称“申请人”）于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日参加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（以下简称“受益人”）的</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（项目名称）的投标，收到受益人于</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签发的中标通知书，成为该项目的中标人。基于申请人的请求，我方同意就申请人履行该项目中标通知书、招标文件和投标文件约定的义务，向贵方提供不可撤销、不可转让的见索即付独立保函（以下简称“本保函”）。</w:t>
      </w:r>
    </w:p>
    <w:p>
      <w:pPr>
        <w:pStyle w:val="2"/>
        <w:numPr>
          <w:ilvl w:val="0"/>
          <w:numId w:val="9"/>
        </w:num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保函担保范围：申请人未按照中标通知书、招标文件和投标文件约定签订合同或未按签订的合同约定履行相关义务，应当向贵方承担的违约责任和赔偿因此造成的损失、利息、律师费、诉讼费用等实现债权的费用。</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二、本保函担保金额最高不超过人民币（大写）</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三、本保函有效期自开立之日起至合同约定的</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日止，最迟不超过</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日。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四、我方承诺，在收到受益人发来的书面付款通知后的</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工作日内无条件支付，前述书面付款通知即为付款要求之单据，且应满足以下要求：</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（1）付款通知到达的日期在本保函的有效期内；</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（2）载明要求支付的金额；</w:t>
      </w:r>
    </w:p>
    <w:p>
      <w:pPr>
        <w:spacing w:line="360" w:lineRule="auto"/>
        <w:ind w:firstLine="420" w:firstLineChars="20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（3）载明申请人未按照中标通知书、招标文件和投标文件约定签订合同或违反合同义务的条款和内容；</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（4）付款通知中应声明不存在招标文件约定、合同文件约定或我国法律规定免除申请人或开立人支付责任的情形；</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（5）付款通知应在本保函有效期内到达的地址是：</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受益人发出的书面付款通知应由其为鉴明受益人法定代表人（负责人）或授权代理人签名加盖公章。</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五、本保函项下的权利不得转让，不得设定担保。贵方未经我方书面同意转让本保函或其项下任何权利，对我方不发生法律效力。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六、与本保函有关的合同不成立、不生效、无效、被撤销、被解除，不影响本保函的独立有效。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七、贵方应在本保函到期后的七个工作日内将本保函正本退回我方注销，但是不论贵方是否按此要求将本保函正本退回我方，我方在本保函项下的义务和责任均在保函有效期到期后自动消灭。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八、本保函适用的法律为中华人民共和国法律，争议裁判管辖地为中华人民共和国</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九、本保函自我方法定代表人或授权代表签名并加盖公章之日起生效。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开 立 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（公章）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法定代表人（或授权代表）：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（签名）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地    址：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ind w:firstLine="420" w:firstLineChars="20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邮政编码：</w:t>
      </w:r>
      <w:r>
        <w:rPr>
          <w:rFonts w:hint="eastAsia" w:asciiTheme="minorEastAsia" w:hAnsiTheme="minorEastAsia" w:eastAsiaTheme="minorEastAsia" w:cstheme="minorEastAsia"/>
          <w:szCs w:val="21"/>
          <w:u w:val="single"/>
        </w:rPr>
        <w:t xml:space="preserve">                         </w:t>
      </w:r>
    </w:p>
    <w:p>
      <w:pPr>
        <w:spacing w:line="360" w:lineRule="auto"/>
        <w:ind w:firstLine="420" w:firstLineChars="20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 xml:space="preserve">电    话： </w:t>
      </w:r>
      <w:r>
        <w:rPr>
          <w:rFonts w:hint="eastAsia" w:asciiTheme="minorEastAsia" w:hAnsiTheme="minorEastAsia" w:eastAsiaTheme="minorEastAsia" w:cstheme="minorEastAsia"/>
          <w:szCs w:val="21"/>
          <w:u w:val="single"/>
        </w:rPr>
        <w:t xml:space="preserve">                         </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传    真： </w:t>
      </w:r>
      <w:r>
        <w:rPr>
          <w:rFonts w:hint="eastAsia" w:asciiTheme="minorEastAsia" w:hAnsiTheme="minorEastAsia" w:eastAsiaTheme="minorEastAsia" w:cstheme="minorEastAsia"/>
          <w:szCs w:val="21"/>
          <w:u w:val="single"/>
        </w:rPr>
        <w:t xml:space="preserve">                        </w:t>
      </w:r>
    </w:p>
    <w:p>
      <w:pPr>
        <w:spacing w:line="360" w:lineRule="auto"/>
        <w:ind w:firstLine="420" w:firstLineChars="200"/>
        <w:jc w:val="right"/>
      </w:pPr>
      <w:r>
        <w:rPr>
          <w:rFonts w:hint="eastAsia" w:asciiTheme="minorEastAsia" w:hAnsiTheme="minorEastAsia" w:eastAsiaTheme="minorEastAsia" w:cstheme="minorEastAsia"/>
          <w:szCs w:val="21"/>
        </w:rPr>
        <w:t>开立时间：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pStyle w:val="2"/>
        <w:jc w:val="right"/>
        <w:rPr>
          <w:rFonts w:ascii="宋体" w:hAnsi="宋体"/>
          <w:sz w:val="24"/>
        </w:rPr>
      </w:pPr>
    </w:p>
    <w:p>
      <w:pPr>
        <w:pStyle w:val="2"/>
        <w:rPr>
          <w:rFonts w:ascii="宋体" w:hAnsi="宋体"/>
          <w:sz w:val="24"/>
        </w:rPr>
      </w:pPr>
    </w:p>
    <w:p>
      <w:pPr>
        <w:pStyle w:val="2"/>
        <w:rPr>
          <w:rFonts w:ascii="宋体" w:hAnsi="宋体"/>
          <w:sz w:val="24"/>
        </w:rPr>
      </w:pPr>
    </w:p>
    <w:p>
      <w:pPr>
        <w:pStyle w:val="2"/>
        <w:rPr>
          <w:rFonts w:ascii="宋体" w:hAnsi="宋体"/>
          <w:sz w:val="24"/>
        </w:rPr>
      </w:pPr>
    </w:p>
    <w:p>
      <w:pPr>
        <w:pStyle w:val="2"/>
        <w:rPr>
          <w:rFonts w:ascii="宋体" w:hAnsi="宋体"/>
          <w:sz w:val="24"/>
        </w:rPr>
      </w:pPr>
    </w:p>
    <w:p>
      <w:pPr>
        <w:pStyle w:val="2"/>
        <w:rPr>
          <w:rFonts w:ascii="宋体" w:hAnsi="宋体"/>
          <w:sz w:val="24"/>
        </w:rPr>
      </w:pPr>
    </w:p>
    <w:p>
      <w:pPr>
        <w:rPr>
          <w:rFonts w:ascii="宋体" w:hAnsi="宋体"/>
          <w:sz w:val="24"/>
        </w:rPr>
      </w:pPr>
    </w:p>
    <w:p>
      <w:pPr>
        <w:pStyle w:val="2"/>
        <w:rPr>
          <w:rFonts w:ascii="宋体" w:hAnsi="宋体"/>
          <w:sz w:val="24"/>
        </w:rPr>
      </w:pPr>
    </w:p>
    <w:p>
      <w:pPr>
        <w:rPr>
          <w:rFonts w:ascii="宋体" w:hAnsi="宋体"/>
          <w:sz w:val="24"/>
        </w:rPr>
      </w:pPr>
    </w:p>
    <w:p>
      <w:pPr>
        <w:pStyle w:val="2"/>
        <w:rPr>
          <w:rFonts w:ascii="宋体" w:hAnsi="宋体"/>
          <w:sz w:val="24"/>
        </w:rPr>
      </w:pPr>
    </w:p>
    <w:p>
      <w:pPr>
        <w:rPr>
          <w:rFonts w:ascii="宋体" w:hAnsi="宋体"/>
          <w:sz w:val="24"/>
        </w:rPr>
      </w:pPr>
    </w:p>
    <w:p>
      <w:pPr>
        <w:pStyle w:val="2"/>
        <w:rPr>
          <w:rFonts w:ascii="宋体" w:hAnsi="宋体"/>
          <w:sz w:val="24"/>
        </w:rPr>
      </w:pPr>
    </w:p>
    <w:p>
      <w:pPr>
        <w:rPr>
          <w:rFonts w:ascii="宋体" w:hAnsi="宋体"/>
          <w:sz w:val="24"/>
        </w:rPr>
      </w:pPr>
    </w:p>
    <w:p>
      <w:pPr>
        <w:pStyle w:val="2"/>
        <w:rPr>
          <w:rFonts w:ascii="宋体" w:hAnsi="宋体"/>
          <w:sz w:val="24"/>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ascii="宋体" w:hAnsi="宋体"/>
          <w:szCs w:val="21"/>
        </w:rPr>
      </w:pPr>
      <w:r>
        <w:rPr>
          <w:rFonts w:hint="eastAsia" w:ascii="宋体" w:hAnsi="宋体"/>
          <w:szCs w:val="21"/>
        </w:rPr>
        <w:t>附件12：质量保证金保函（如有）</w:t>
      </w:r>
    </w:p>
    <w:p>
      <w:pPr>
        <w:spacing w:line="580" w:lineRule="exact"/>
        <w:jc w:val="center"/>
        <w:rPr>
          <w:rFonts w:hint="eastAsia" w:ascii="宋体" w:hAnsi="宋体" w:cs="宋体"/>
          <w:i/>
          <w:iCs/>
          <w:szCs w:val="21"/>
        </w:rPr>
      </w:pPr>
      <w:r>
        <w:rPr>
          <w:rFonts w:hint="eastAsia" w:ascii="宋体" w:hAnsi="宋体" w:cs="宋体"/>
          <w:szCs w:val="21"/>
        </w:rPr>
        <w:t>工程质量保函示范文本</w:t>
      </w:r>
    </w:p>
    <w:p>
      <w:pPr>
        <w:pStyle w:val="2"/>
      </w:pPr>
      <w:r>
        <w:rPr>
          <w:rFonts w:hint="eastAsia" w:ascii="宋体" w:hAnsi="宋体" w:cs="宋体"/>
          <w:i/>
          <w:iCs/>
          <w:szCs w:val="21"/>
        </w:rPr>
        <w:t>[提示：参照《关于进一步规范工程建设领域工程保函示范文本的通知》（渝公管发〔2022〕26号）进行编制。]</w:t>
      </w:r>
    </w:p>
    <w:p>
      <w:pPr>
        <w:pStyle w:val="2"/>
        <w:rPr>
          <w:rFonts w:ascii="宋体" w:hAnsi="宋体"/>
          <w:sz w:val="24"/>
        </w:rPr>
      </w:pPr>
    </w:p>
    <w:p>
      <w:pPr>
        <w:spacing w:line="360" w:lineRule="auto"/>
        <w:jc w:val="left"/>
        <w:rPr>
          <w:rFonts w:ascii="宋体" w:hAnsi="宋体"/>
          <w:sz w:val="24"/>
        </w:rPr>
      </w:pPr>
    </w:p>
    <w:bookmarkEnd w:id="754"/>
    <w:p>
      <w:pPr>
        <w:spacing w:line="360" w:lineRule="auto"/>
        <w:rPr>
          <w:rFonts w:ascii="宋体" w:hAnsi="宋体"/>
          <w:szCs w:val="20"/>
        </w:rPr>
      </w:pPr>
    </w:p>
    <w:p>
      <w:pPr>
        <w:spacing w:line="240" w:lineRule="exact"/>
        <w:rPr>
          <w:rFonts w:ascii="宋体" w:hAnsi="宋体"/>
          <w:szCs w:val="20"/>
        </w:rPr>
      </w:pPr>
      <w:bookmarkStart w:id="1992" w:name="招标文件05章工程量清单"/>
      <w:bookmarkEnd w:id="1992"/>
    </w:p>
    <w:p>
      <w:pPr>
        <w:pStyle w:val="3"/>
        <w:spacing w:before="0" w:after="0" w:line="360" w:lineRule="auto"/>
        <w:jc w:val="center"/>
        <w:rPr>
          <w:rFonts w:hint="eastAsia" w:ascii="宋体" w:hAnsi="宋体"/>
        </w:rPr>
      </w:pPr>
      <w:bookmarkStart w:id="1993" w:name="_Toc287620797"/>
      <w:bookmarkStart w:id="1994" w:name="_Toc534185822"/>
      <w:bookmarkStart w:id="1995" w:name="_Toc28425"/>
      <w:bookmarkStart w:id="1996" w:name="_Toc287607855"/>
      <w:bookmarkStart w:id="1997" w:name="_Toc509218843"/>
      <w:bookmarkStart w:id="1998" w:name="_Toc430530513"/>
    </w:p>
    <w:p>
      <w:pPr>
        <w:rPr>
          <w:rFonts w:hint="eastAsia"/>
        </w:rPr>
      </w:pPr>
    </w:p>
    <w:p>
      <w:pPr>
        <w:pStyle w:val="3"/>
        <w:spacing w:before="0" w:after="0" w:line="360" w:lineRule="auto"/>
        <w:jc w:val="center"/>
        <w:rPr>
          <w:rFonts w:hint="eastAsia" w:ascii="宋体" w:hAnsi="宋体"/>
        </w:rPr>
      </w:pPr>
    </w:p>
    <w:p>
      <w:pPr>
        <w:snapToGrid w:val="0"/>
        <w:spacing w:line="360" w:lineRule="auto"/>
        <w:jc w:val="center"/>
        <w:rPr>
          <w:rFonts w:ascii="宋体" w:hAnsi="宋体"/>
          <w:sz w:val="24"/>
        </w:rPr>
      </w:pPr>
    </w:p>
    <w:p>
      <w:pPr>
        <w:pStyle w:val="3"/>
        <w:spacing w:before="0" w:after="0" w:line="360" w:lineRule="auto"/>
        <w:jc w:val="center"/>
        <w:rPr>
          <w:rFonts w:hint="eastAsia" w:ascii="宋体" w:hAnsi="宋体"/>
          <w:szCs w:val="20"/>
        </w:rPr>
      </w:pPr>
    </w:p>
    <w:p>
      <w:pPr>
        <w:pStyle w:val="3"/>
        <w:spacing w:line="360" w:lineRule="auto"/>
        <w:jc w:val="center"/>
        <w:rPr>
          <w:rFonts w:hint="eastAsia" w:ascii="宋体" w:hAnsi="宋体"/>
        </w:rPr>
      </w:pPr>
      <w:r>
        <w:rPr>
          <w:rFonts w:hint="eastAsia" w:ascii="宋体" w:hAnsi="宋体"/>
        </w:rPr>
        <w:t>第五章  工程量清单</w:t>
      </w:r>
      <w:bookmarkStart w:id="1999" w:name="招标文件05章工程量清单01"/>
      <w:bookmarkEnd w:id="1999"/>
      <w:bookmarkStart w:id="2000" w:name="_Toc277082638"/>
      <w:bookmarkStart w:id="2001" w:name="_Toc287620798"/>
      <w:bookmarkStart w:id="2002" w:name="_Toc430530514"/>
      <w:bookmarkStart w:id="2003" w:name="_Toc287607856"/>
      <w:bookmarkStart w:id="2004" w:name="_Toc224103477"/>
    </w:p>
    <w:bookmarkEnd w:id="2000"/>
    <w:bookmarkEnd w:id="2001"/>
    <w:bookmarkEnd w:id="2002"/>
    <w:bookmarkEnd w:id="2003"/>
    <w:bookmarkEnd w:id="2004"/>
    <w:p>
      <w:pPr>
        <w:pStyle w:val="3"/>
        <w:spacing w:line="360" w:lineRule="auto"/>
        <w:jc w:val="center"/>
        <w:rPr>
          <w:rFonts w:hint="eastAsia" w:ascii="宋体" w:hAnsi="宋体"/>
          <w:b w:val="0"/>
          <w:bCs w:val="0"/>
          <w:sz w:val="21"/>
          <w:szCs w:val="21"/>
          <w:u w:val="single"/>
        </w:rPr>
      </w:pPr>
      <w:r>
        <w:rPr>
          <w:rFonts w:hint="eastAsia" w:ascii="宋体" w:hAnsi="宋体"/>
          <w:b w:val="0"/>
          <w:bCs w:val="0"/>
          <w:sz w:val="21"/>
          <w:szCs w:val="21"/>
          <w:u w:val="single"/>
        </w:rPr>
        <w:t>在重庆市公共资源交易网（www.cqggzy.com）下载</w:t>
      </w: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pStyle w:val="3"/>
        <w:spacing w:before="0" w:after="0" w:line="360" w:lineRule="auto"/>
        <w:jc w:val="center"/>
        <w:rPr>
          <w:rFonts w:hint="eastAsia" w:ascii="宋体" w:hAnsi="宋体"/>
        </w:rPr>
      </w:pPr>
    </w:p>
    <w:p>
      <w:pPr>
        <w:snapToGrid w:val="0"/>
        <w:spacing w:line="360" w:lineRule="auto"/>
        <w:jc w:val="center"/>
        <w:rPr>
          <w:rFonts w:ascii="宋体" w:hAnsi="宋体"/>
          <w:szCs w:val="21"/>
        </w:rPr>
      </w:pPr>
      <w:r>
        <w:rPr>
          <w:rFonts w:hint="eastAsia" w:ascii="宋体" w:hAnsi="宋体"/>
          <w:szCs w:val="20"/>
        </w:rPr>
        <w:t>。</w:t>
      </w:r>
    </w:p>
    <w:p>
      <w:pPr>
        <w:ind w:right="561"/>
        <w:rPr>
          <w:rFonts w:ascii="宋体" w:hAnsi="宋体"/>
          <w:szCs w:val="21"/>
        </w:rPr>
      </w:pPr>
      <w:r>
        <w:rPr>
          <w:rFonts w:ascii="宋体" w:hAnsi="宋体"/>
          <w:sz w:val="24"/>
        </w:rPr>
        <w:br w:type="page"/>
      </w:r>
    </w:p>
    <w:p>
      <w:pPr>
        <w:pStyle w:val="3"/>
        <w:spacing w:before="0" w:after="0" w:line="360" w:lineRule="auto"/>
        <w:jc w:val="center"/>
        <w:outlineLvl w:val="9"/>
        <w:rPr>
          <w:rFonts w:hint="eastAsia" w:ascii="宋体" w:hAnsi="宋体"/>
        </w:rPr>
      </w:pPr>
    </w:p>
    <w:bookmarkEnd w:id="1993"/>
    <w:bookmarkEnd w:id="1994"/>
    <w:bookmarkEnd w:id="1995"/>
    <w:bookmarkEnd w:id="1996"/>
    <w:bookmarkEnd w:id="1997"/>
    <w:bookmarkEnd w:id="1998"/>
    <w:p>
      <w:pPr>
        <w:pStyle w:val="3"/>
        <w:spacing w:before="0" w:after="0" w:line="360" w:lineRule="auto"/>
        <w:jc w:val="center"/>
        <w:rPr>
          <w:rFonts w:ascii="宋体" w:hAnsi="宋体"/>
          <w:sz w:val="52"/>
          <w:szCs w:val="52"/>
        </w:rPr>
      </w:pPr>
      <w:bookmarkStart w:id="2005" w:name="_Toc5678"/>
      <w:bookmarkStart w:id="2006" w:name="_Toc534185823"/>
      <w:bookmarkStart w:id="2007" w:name="_Toc13893"/>
      <w:bookmarkStart w:id="2008" w:name="_Toc26440"/>
      <w:bookmarkStart w:id="2009" w:name="_Toc509218844"/>
    </w:p>
    <w:p>
      <w:pPr>
        <w:pStyle w:val="3"/>
        <w:spacing w:before="0" w:after="0" w:line="360" w:lineRule="auto"/>
        <w:jc w:val="center"/>
        <w:rPr>
          <w:rFonts w:ascii="宋体" w:hAnsi="宋体"/>
          <w:sz w:val="52"/>
          <w:szCs w:val="52"/>
        </w:rPr>
      </w:pPr>
      <w:r>
        <w:rPr>
          <w:rFonts w:ascii="宋体" w:hAnsi="宋体"/>
          <w:sz w:val="52"/>
          <w:szCs w:val="52"/>
        </w:rPr>
        <w:t>第 二 卷</w:t>
      </w:r>
      <w:bookmarkEnd w:id="2005"/>
      <w:bookmarkEnd w:id="2006"/>
      <w:bookmarkEnd w:id="2007"/>
      <w:bookmarkEnd w:id="2008"/>
      <w:bookmarkEnd w:id="2009"/>
    </w:p>
    <w:p>
      <w:pPr>
        <w:spacing w:line="360" w:lineRule="auto"/>
        <w:rPr>
          <w:rFonts w:ascii="宋体" w:hAnsi="宋体"/>
          <w:szCs w:val="20"/>
        </w:rPr>
      </w:pPr>
      <w:r>
        <w:rPr>
          <w:rFonts w:ascii="宋体" w:hAnsi="宋体"/>
          <w:szCs w:val="20"/>
        </w:rPr>
        <w:br w:type="page"/>
      </w:r>
    </w:p>
    <w:p>
      <w:pPr>
        <w:pStyle w:val="3"/>
        <w:spacing w:line="360" w:lineRule="auto"/>
        <w:jc w:val="center"/>
        <w:rPr>
          <w:rFonts w:ascii="宋体" w:hAnsi="宋体"/>
        </w:rPr>
      </w:pPr>
      <w:bookmarkStart w:id="2010" w:name="招标文件06章图纸"/>
      <w:bookmarkEnd w:id="2010"/>
      <w:bookmarkStart w:id="2011" w:name="_Toc287607861"/>
      <w:bookmarkStart w:id="2012" w:name="_Toc18732"/>
      <w:bookmarkStart w:id="2013" w:name="_Toc15255"/>
      <w:bookmarkStart w:id="2014" w:name="_Toc534185825"/>
      <w:bookmarkStart w:id="2015" w:name="_Toc287620803"/>
      <w:bookmarkStart w:id="2016" w:name="_Toc28084"/>
      <w:bookmarkStart w:id="2017" w:name="_Toc509218846"/>
      <w:bookmarkStart w:id="2018" w:name="_Toc430530519"/>
      <w:r>
        <w:rPr>
          <w:rFonts w:hint="eastAsia" w:ascii="宋体" w:hAnsi="宋体"/>
        </w:rPr>
        <w:t>第六章  图纸</w:t>
      </w:r>
      <w:bookmarkEnd w:id="2011"/>
      <w:bookmarkEnd w:id="2012"/>
      <w:bookmarkEnd w:id="2013"/>
      <w:bookmarkEnd w:id="2014"/>
      <w:bookmarkEnd w:id="2015"/>
      <w:bookmarkEnd w:id="2016"/>
      <w:bookmarkEnd w:id="2017"/>
      <w:bookmarkEnd w:id="2018"/>
    </w:p>
    <w:p>
      <w:pPr>
        <w:spacing w:line="360" w:lineRule="auto"/>
        <w:jc w:val="center"/>
        <w:rPr>
          <w:rFonts w:ascii="宋体" w:hAnsi="宋体"/>
          <w:szCs w:val="20"/>
        </w:rPr>
      </w:pPr>
      <w:r>
        <w:rPr>
          <w:rFonts w:hint="eastAsia" w:ascii="宋体" w:hAnsi="宋体"/>
          <w:szCs w:val="20"/>
        </w:rPr>
        <w:t>在</w:t>
      </w:r>
      <w:r>
        <w:rPr>
          <w:rFonts w:hint="eastAsia" w:ascii="宋体" w:hAnsi="宋体"/>
          <w:szCs w:val="20"/>
          <w:u w:val="single"/>
        </w:rPr>
        <w:t>重庆市公共资源交易网（www.cqggzy.com）</w:t>
      </w:r>
      <w:r>
        <w:rPr>
          <w:rFonts w:hint="eastAsia" w:ascii="宋体" w:hAnsi="宋体"/>
          <w:szCs w:val="20"/>
        </w:rPr>
        <w:t>下载。</w:t>
      </w:r>
    </w:p>
    <w:p>
      <w:pPr>
        <w:spacing w:line="360" w:lineRule="auto"/>
        <w:rPr>
          <w:rFonts w:ascii="宋体" w:hAnsi="宋体"/>
          <w:szCs w:val="20"/>
        </w:rPr>
      </w:pPr>
      <w:bookmarkStart w:id="2019" w:name="招标文件06章图纸01"/>
      <w:bookmarkEnd w:id="2019"/>
      <w:bookmarkStart w:id="2020" w:name="_Toc430530520"/>
      <w:bookmarkStart w:id="2021" w:name="_Toc287620804"/>
    </w:p>
    <w:bookmarkEnd w:id="2020"/>
    <w:bookmarkEnd w:id="2021"/>
    <w:p>
      <w:pPr>
        <w:spacing w:line="360" w:lineRule="auto"/>
        <w:rPr>
          <w:rFonts w:ascii="宋体" w:hAnsi="宋体"/>
        </w:rPr>
      </w:pPr>
      <w:r>
        <w:rPr>
          <w:rFonts w:ascii="宋体" w:hAnsi="宋体"/>
          <w:szCs w:val="20"/>
        </w:rPr>
        <w:br w:type="page"/>
      </w:r>
    </w:p>
    <w:p>
      <w:pPr>
        <w:pStyle w:val="3"/>
        <w:spacing w:before="0" w:after="0" w:line="360" w:lineRule="auto"/>
        <w:jc w:val="center"/>
        <w:rPr>
          <w:rFonts w:ascii="宋体" w:hAnsi="宋体"/>
          <w:sz w:val="52"/>
          <w:szCs w:val="52"/>
        </w:rPr>
      </w:pPr>
      <w:bookmarkStart w:id="2022" w:name="_Toc24257"/>
      <w:bookmarkStart w:id="2023" w:name="_Toc4720"/>
      <w:bookmarkStart w:id="2024" w:name="_Toc14665"/>
      <w:r>
        <w:rPr>
          <w:rFonts w:hint="eastAsia" w:ascii="宋体" w:hAnsi="宋体"/>
          <w:sz w:val="52"/>
          <w:szCs w:val="52"/>
        </w:rPr>
        <w:t>第 三 卷</w:t>
      </w:r>
      <w:bookmarkEnd w:id="2022"/>
      <w:bookmarkEnd w:id="2023"/>
      <w:bookmarkEnd w:id="2024"/>
      <w:bookmarkStart w:id="2025" w:name="_Toc509218847"/>
      <w:bookmarkStart w:id="2026" w:name="_Toc536621880"/>
      <w:bookmarkStart w:id="2027" w:name="_Toc536797390"/>
      <w:bookmarkStart w:id="2028" w:name="_Toc536797121"/>
      <w:bookmarkStart w:id="2029" w:name="_Toc536796850"/>
      <w:bookmarkStart w:id="2030" w:name="_Toc536796986"/>
      <w:bookmarkStart w:id="2031" w:name="_Toc536797255"/>
      <w:bookmarkStart w:id="2032" w:name="_Toc13211206"/>
      <w:bookmarkStart w:id="2033" w:name="_Toc536628344"/>
      <w:bookmarkStart w:id="2034" w:name="_Toc536619968"/>
      <w:bookmarkStart w:id="2035" w:name="_Toc13211764"/>
      <w:bookmarkStart w:id="2036" w:name="_Toc534185826"/>
      <w:bookmarkStart w:id="2037" w:name="_Toc536620100"/>
      <w:bookmarkStart w:id="2038" w:name="_Toc13210772"/>
    </w:p>
    <w:bookmarkEnd w:id="2025"/>
    <w:p>
      <w:r>
        <w:br w:type="page"/>
      </w:r>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3"/>
        <w:spacing w:line="360" w:lineRule="auto"/>
        <w:jc w:val="center"/>
        <w:rPr>
          <w:rFonts w:ascii="宋体" w:hAnsi="宋体"/>
        </w:rPr>
      </w:pPr>
      <w:bookmarkStart w:id="2039" w:name="招标文件07章技术标准和要求"/>
      <w:bookmarkEnd w:id="2039"/>
      <w:bookmarkStart w:id="2040" w:name="_Toc1665"/>
      <w:bookmarkStart w:id="2041" w:name="_Toc15905"/>
      <w:bookmarkStart w:id="2042" w:name="_Toc26795"/>
      <w:r>
        <w:rPr>
          <w:rFonts w:ascii="宋体" w:hAnsi="宋体"/>
        </w:rPr>
        <w:t>第七章</w:t>
      </w:r>
      <w:r>
        <w:rPr>
          <w:rFonts w:hint="eastAsia" w:ascii="宋体" w:hAnsi="宋体"/>
        </w:rPr>
        <w:t xml:space="preserve">  </w:t>
      </w:r>
      <w:r>
        <w:rPr>
          <w:rFonts w:ascii="宋体" w:hAnsi="宋体"/>
        </w:rPr>
        <w:t>技术标准和要求</w:t>
      </w:r>
      <w:bookmarkEnd w:id="2040"/>
      <w:bookmarkEnd w:id="2041"/>
      <w:bookmarkEnd w:id="2042"/>
      <w:bookmarkStart w:id="2043" w:name="招标文件07章技术标准和要求01"/>
      <w:bookmarkEnd w:id="2043"/>
      <w:bookmarkStart w:id="2044" w:name="_Toc287620808"/>
      <w:bookmarkStart w:id="2045" w:name="_Toc430530524"/>
    </w:p>
    <w:bookmarkEnd w:id="2044"/>
    <w:bookmarkEnd w:id="2045"/>
    <w:p>
      <w:pPr>
        <w:spacing w:line="360" w:lineRule="auto"/>
        <w:jc w:val="center"/>
        <w:rPr>
          <w:rStyle w:val="52"/>
        </w:rPr>
      </w:pPr>
      <w:r>
        <w:rPr>
          <w:rFonts w:ascii="宋体" w:hAnsi="宋体"/>
          <w:szCs w:val="21"/>
        </w:rPr>
        <w:t>由招标人根据招标项目的实际情况编写</w:t>
      </w:r>
      <w:r>
        <w:rPr>
          <w:rFonts w:hint="eastAsia" w:ascii="宋体" w:hAnsi="宋体"/>
          <w:szCs w:val="21"/>
        </w:rPr>
        <w:t>（如有）。</w:t>
      </w:r>
    </w:p>
    <w:p>
      <w:pPr>
        <w:spacing w:line="360" w:lineRule="auto"/>
        <w:rPr>
          <w:rFonts w:ascii="宋体" w:hAnsi="宋体"/>
        </w:rPr>
      </w:pPr>
      <w:r>
        <w:rPr>
          <w:rFonts w:ascii="宋体" w:hAnsi="宋体"/>
        </w:rPr>
        <w:br w:type="page"/>
      </w:r>
    </w:p>
    <w:p>
      <w:pPr>
        <w:pStyle w:val="3"/>
        <w:spacing w:before="0" w:after="0" w:line="360" w:lineRule="auto"/>
        <w:jc w:val="center"/>
        <w:rPr>
          <w:rFonts w:ascii="宋体" w:hAnsi="宋体"/>
          <w:sz w:val="52"/>
          <w:szCs w:val="52"/>
        </w:rPr>
      </w:pPr>
      <w:bookmarkStart w:id="2046" w:name="_Toc10223"/>
      <w:bookmarkStart w:id="2047" w:name="_Toc509218849"/>
      <w:bookmarkStart w:id="2048" w:name="_Toc15436"/>
      <w:bookmarkStart w:id="2049" w:name="_Toc534185827"/>
      <w:bookmarkStart w:id="2050" w:name="_Toc26973"/>
      <w:r>
        <w:rPr>
          <w:rFonts w:ascii="宋体" w:hAnsi="宋体"/>
          <w:sz w:val="52"/>
          <w:szCs w:val="52"/>
        </w:rPr>
        <w:t>第 四 卷</w:t>
      </w:r>
      <w:bookmarkEnd w:id="2046"/>
      <w:bookmarkEnd w:id="2047"/>
      <w:bookmarkEnd w:id="2048"/>
      <w:bookmarkEnd w:id="2049"/>
      <w:bookmarkEnd w:id="2050"/>
      <w:bookmarkStart w:id="2051" w:name="_Toc13210775"/>
      <w:bookmarkStart w:id="2052" w:name="_Toc536621883"/>
      <w:bookmarkStart w:id="2053" w:name="_Toc536797124"/>
      <w:bookmarkStart w:id="2054" w:name="_Toc536628347"/>
      <w:bookmarkStart w:id="2055" w:name="_Toc534185828"/>
      <w:bookmarkStart w:id="2056" w:name="_Toc536619970"/>
      <w:bookmarkStart w:id="2057" w:name="_Toc13211767"/>
      <w:bookmarkStart w:id="2058" w:name="_Toc536796853"/>
      <w:bookmarkStart w:id="2059" w:name="_Toc536797393"/>
      <w:bookmarkStart w:id="2060" w:name="_Toc536797258"/>
      <w:bookmarkStart w:id="2061" w:name="_Toc536796989"/>
      <w:bookmarkStart w:id="2062" w:name="_Toc536620102"/>
      <w:bookmarkStart w:id="2063" w:name="_Toc13211209"/>
      <w:bookmarkStart w:id="2064" w:name="_Toc509218850"/>
    </w:p>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r>
        <w:br w:type="page"/>
      </w:r>
      <w:bookmarkStart w:id="2065" w:name="招标文件08章投标文件格式"/>
      <w:bookmarkEnd w:id="2065"/>
      <w:bookmarkStart w:id="2066" w:name="_Toc287620812"/>
      <w:bookmarkStart w:id="2067" w:name="_Toc287607865"/>
    </w:p>
    <w:p>
      <w:pPr>
        <w:pStyle w:val="3"/>
        <w:spacing w:line="360" w:lineRule="auto"/>
        <w:jc w:val="center"/>
        <w:rPr>
          <w:rFonts w:ascii="宋体" w:hAnsi="宋体"/>
        </w:rPr>
      </w:pPr>
      <w:bookmarkStart w:id="2068" w:name="_Toc13963"/>
      <w:bookmarkStart w:id="2069" w:name="_Toc18501"/>
      <w:bookmarkStart w:id="2070" w:name="_Toc534185829"/>
      <w:bookmarkStart w:id="2071" w:name="_Toc430530528"/>
      <w:bookmarkStart w:id="2072" w:name="_Toc509218852"/>
      <w:bookmarkStart w:id="2073" w:name="_Toc14257"/>
      <w:r>
        <w:rPr>
          <w:rFonts w:hint="eastAsia" w:ascii="宋体" w:hAnsi="宋体"/>
        </w:rPr>
        <w:t>第八章  投标文件格式</w:t>
      </w:r>
      <w:bookmarkEnd w:id="2066"/>
      <w:bookmarkEnd w:id="2067"/>
      <w:bookmarkEnd w:id="2068"/>
      <w:bookmarkEnd w:id="2069"/>
      <w:bookmarkEnd w:id="2070"/>
      <w:bookmarkEnd w:id="2071"/>
      <w:bookmarkEnd w:id="2072"/>
      <w:bookmarkEnd w:id="2073"/>
    </w:p>
    <w:p>
      <w:pPr>
        <w:spacing w:line="360" w:lineRule="auto"/>
        <w:rPr>
          <w:rFonts w:ascii="宋体" w:hAnsi="宋体"/>
          <w:sz w:val="32"/>
          <w:szCs w:val="32"/>
        </w:rPr>
      </w:pPr>
    </w:p>
    <w:p>
      <w:pPr>
        <w:spacing w:line="360" w:lineRule="auto"/>
        <w:jc w:val="center"/>
        <w:outlineLvl w:val="0"/>
        <w:rPr>
          <w:rFonts w:ascii="宋体" w:hAnsi="宋体"/>
          <w:sz w:val="36"/>
          <w:szCs w:val="36"/>
        </w:rPr>
      </w:pPr>
      <w:r>
        <w:rPr>
          <w:rFonts w:ascii="宋体" w:hAnsi="宋体"/>
          <w:szCs w:val="20"/>
        </w:rPr>
        <w:br w:type="page"/>
      </w:r>
      <w:bookmarkStart w:id="2074" w:name="_Toc12892"/>
      <w:bookmarkStart w:id="2075" w:name="_Toc15148"/>
      <w:bookmarkStart w:id="2076" w:name="_Toc224103493"/>
      <w:r>
        <w:rPr>
          <w:rFonts w:hint="eastAsia" w:ascii="宋体" w:hAnsi="宋体"/>
          <w:sz w:val="36"/>
          <w:szCs w:val="36"/>
        </w:rPr>
        <w:t>目  录</w:t>
      </w:r>
      <w:bookmarkEnd w:id="2074"/>
      <w:bookmarkEnd w:id="2075"/>
      <w:bookmarkEnd w:id="2076"/>
    </w:p>
    <w:p>
      <w:pPr>
        <w:spacing w:line="360" w:lineRule="auto"/>
        <w:jc w:val="center"/>
        <w:rPr>
          <w:rFonts w:ascii="宋体" w:hAnsi="宋体"/>
          <w:szCs w:val="20"/>
        </w:rPr>
      </w:pPr>
    </w:p>
    <w:p>
      <w:pPr>
        <w:spacing w:line="360" w:lineRule="auto"/>
        <w:outlineLvl w:val="0"/>
        <w:rPr>
          <w:rFonts w:ascii="宋体" w:hAnsi="宋体"/>
          <w:b/>
        </w:rPr>
      </w:pPr>
      <w:bookmarkStart w:id="2077" w:name="_Toc6879"/>
      <w:bookmarkStart w:id="2078" w:name="_Toc9662"/>
      <w:r>
        <w:rPr>
          <w:rFonts w:hint="eastAsia" w:ascii="宋体" w:hAnsi="宋体"/>
          <w:b/>
        </w:rPr>
        <w:t>一</w:t>
      </w:r>
      <w:r>
        <w:rPr>
          <w:rFonts w:ascii="宋体" w:hAnsi="宋体"/>
          <w:b/>
        </w:rPr>
        <w:t>、投标函部分</w:t>
      </w:r>
      <w:bookmarkEnd w:id="2077"/>
      <w:bookmarkEnd w:id="2078"/>
    </w:p>
    <w:p>
      <w:pPr>
        <w:spacing w:line="360" w:lineRule="auto"/>
        <w:ind w:firstLine="420" w:firstLineChars="200"/>
        <w:rPr>
          <w:rFonts w:ascii="宋体" w:hAnsi="宋体"/>
        </w:rPr>
      </w:pPr>
      <w:r>
        <w:rPr>
          <w:rFonts w:ascii="宋体" w:hAnsi="宋体"/>
        </w:rPr>
        <w:t>（一）投标函</w:t>
      </w:r>
    </w:p>
    <w:p>
      <w:pPr>
        <w:spacing w:line="360" w:lineRule="auto"/>
        <w:ind w:firstLine="420" w:firstLineChars="200"/>
        <w:rPr>
          <w:rFonts w:ascii="宋体" w:hAnsi="宋体"/>
        </w:rPr>
      </w:pPr>
      <w:r>
        <w:rPr>
          <w:rFonts w:ascii="宋体" w:hAnsi="宋体"/>
        </w:rPr>
        <w:t>（二）投标函附录</w:t>
      </w:r>
    </w:p>
    <w:p>
      <w:pPr>
        <w:spacing w:line="360" w:lineRule="auto"/>
        <w:ind w:firstLine="420" w:firstLineChars="200"/>
        <w:rPr>
          <w:rFonts w:ascii="宋体" w:hAnsi="宋体"/>
        </w:rPr>
      </w:pPr>
      <w:r>
        <w:rPr>
          <w:rFonts w:ascii="宋体" w:hAnsi="宋体"/>
        </w:rPr>
        <w:t>（三）</w:t>
      </w:r>
      <w:r>
        <w:rPr>
          <w:rFonts w:hint="eastAsia" w:ascii="宋体" w:hAnsi="宋体"/>
        </w:rPr>
        <w:t>法定代表人身份证明或附有法定代表人身份证明的授权委托书</w:t>
      </w:r>
    </w:p>
    <w:p>
      <w:pPr>
        <w:spacing w:line="360" w:lineRule="auto"/>
        <w:ind w:firstLine="420" w:firstLineChars="200"/>
        <w:rPr>
          <w:rFonts w:ascii="宋体" w:hAnsi="宋体"/>
        </w:rPr>
      </w:pPr>
      <w:r>
        <w:rPr>
          <w:rFonts w:ascii="宋体" w:hAnsi="宋体"/>
        </w:rPr>
        <w:t>（四）</w:t>
      </w:r>
      <w:r>
        <w:rPr>
          <w:rFonts w:hint="eastAsia" w:ascii="宋体" w:hAnsi="宋体"/>
        </w:rPr>
        <w:t>低价风险担保提交承诺书（如有）</w:t>
      </w:r>
    </w:p>
    <w:p>
      <w:pPr>
        <w:spacing w:line="360" w:lineRule="auto"/>
        <w:outlineLvl w:val="0"/>
        <w:rPr>
          <w:rFonts w:ascii="宋体" w:hAnsi="宋体"/>
          <w:b/>
        </w:rPr>
      </w:pPr>
      <w:bookmarkStart w:id="2079" w:name="_Toc30258"/>
      <w:bookmarkStart w:id="2080" w:name="_Toc25493"/>
      <w:r>
        <w:rPr>
          <w:rFonts w:hint="eastAsia" w:ascii="宋体" w:hAnsi="宋体"/>
          <w:b/>
        </w:rPr>
        <w:t>二</w:t>
      </w:r>
      <w:r>
        <w:rPr>
          <w:rFonts w:ascii="宋体" w:hAnsi="宋体"/>
          <w:b/>
        </w:rPr>
        <w:t>、</w:t>
      </w:r>
      <w:r>
        <w:rPr>
          <w:rFonts w:hint="eastAsia" w:ascii="宋体" w:hAnsi="宋体"/>
          <w:b/>
        </w:rPr>
        <w:t>经济</w:t>
      </w:r>
      <w:r>
        <w:rPr>
          <w:rFonts w:ascii="宋体" w:hAnsi="宋体"/>
          <w:b/>
        </w:rPr>
        <w:t>部分</w:t>
      </w:r>
      <w:bookmarkEnd w:id="2079"/>
      <w:bookmarkEnd w:id="2080"/>
    </w:p>
    <w:p>
      <w:pPr>
        <w:spacing w:line="360" w:lineRule="auto"/>
        <w:ind w:firstLine="420" w:firstLineChars="200"/>
        <w:rPr>
          <w:rFonts w:ascii="宋体" w:hAnsi="宋体"/>
        </w:rPr>
      </w:pPr>
      <w:r>
        <w:rPr>
          <w:rFonts w:ascii="宋体" w:hAnsi="宋体"/>
        </w:rPr>
        <w:t>已标价工程量清单</w:t>
      </w:r>
    </w:p>
    <w:p>
      <w:pPr>
        <w:spacing w:line="360" w:lineRule="auto"/>
        <w:outlineLvl w:val="0"/>
      </w:pPr>
      <w:bookmarkStart w:id="2081" w:name="_Toc6987"/>
      <w:r>
        <w:rPr>
          <w:rFonts w:hint="eastAsia" w:ascii="宋体" w:hAnsi="宋体"/>
          <w:b/>
          <w:color w:val="auto"/>
          <w:highlight w:val="none"/>
        </w:rPr>
        <w:t>三</w:t>
      </w:r>
      <w:r>
        <w:rPr>
          <w:rFonts w:ascii="宋体" w:hAnsi="宋体"/>
          <w:b/>
          <w:color w:val="auto"/>
          <w:highlight w:val="none"/>
        </w:rPr>
        <w:t>、</w:t>
      </w:r>
      <w:r>
        <w:rPr>
          <w:rFonts w:hint="eastAsia" w:ascii="宋体" w:hAnsi="宋体"/>
          <w:b/>
          <w:color w:val="auto"/>
          <w:highlight w:val="none"/>
        </w:rPr>
        <w:t>商务</w:t>
      </w:r>
      <w:r>
        <w:rPr>
          <w:rFonts w:ascii="宋体" w:hAnsi="宋体"/>
          <w:b/>
          <w:color w:val="auto"/>
          <w:highlight w:val="none"/>
        </w:rPr>
        <w:t>部分（不设置</w:t>
      </w:r>
      <w:r>
        <w:rPr>
          <w:rFonts w:hint="eastAsia" w:ascii="宋体" w:hAnsi="宋体"/>
          <w:b/>
          <w:color w:val="auto"/>
          <w:highlight w:val="none"/>
        </w:rPr>
        <w:t>商务部分</w:t>
      </w:r>
      <w:r>
        <w:rPr>
          <w:rFonts w:ascii="宋体" w:hAnsi="宋体"/>
          <w:b/>
          <w:color w:val="auto"/>
          <w:highlight w:val="none"/>
        </w:rPr>
        <w:t>评审的不设此部分）</w:t>
      </w:r>
      <w:bookmarkEnd w:id="2081"/>
    </w:p>
    <w:p>
      <w:pPr>
        <w:spacing w:line="360" w:lineRule="auto"/>
        <w:outlineLvl w:val="0"/>
        <w:rPr>
          <w:rFonts w:ascii="宋体" w:hAnsi="宋体"/>
          <w:b/>
        </w:rPr>
      </w:pPr>
      <w:bookmarkStart w:id="2082" w:name="_Toc27495"/>
      <w:bookmarkStart w:id="2083" w:name="_Toc13547"/>
      <w:r>
        <w:rPr>
          <w:rFonts w:hint="eastAsia" w:ascii="宋体" w:hAnsi="宋体"/>
          <w:b/>
          <w:lang w:val="en-US" w:eastAsia="zh-CN"/>
        </w:rPr>
        <w:t>四</w:t>
      </w:r>
      <w:r>
        <w:rPr>
          <w:rFonts w:ascii="宋体" w:hAnsi="宋体"/>
          <w:b/>
        </w:rPr>
        <w:t>、技术部分（不设置</w:t>
      </w:r>
      <w:r>
        <w:rPr>
          <w:rFonts w:hint="eastAsia" w:ascii="宋体" w:hAnsi="宋体"/>
          <w:b/>
        </w:rPr>
        <w:t>技术方案</w:t>
      </w:r>
      <w:r>
        <w:rPr>
          <w:rFonts w:ascii="宋体" w:hAnsi="宋体"/>
          <w:b/>
        </w:rPr>
        <w:t>评审的不设此部分）</w:t>
      </w:r>
      <w:bookmarkEnd w:id="2082"/>
      <w:bookmarkEnd w:id="2083"/>
    </w:p>
    <w:p>
      <w:pPr>
        <w:spacing w:line="360" w:lineRule="auto"/>
        <w:ind w:firstLine="420" w:firstLineChars="200"/>
        <w:rPr>
          <w:rFonts w:ascii="宋体" w:hAnsi="宋体"/>
        </w:rPr>
      </w:pPr>
      <w:r>
        <w:rPr>
          <w:rFonts w:hint="eastAsia" w:ascii="宋体" w:hAnsi="宋体"/>
        </w:rPr>
        <w:t>技术方案</w:t>
      </w:r>
    </w:p>
    <w:p>
      <w:pPr>
        <w:spacing w:line="360" w:lineRule="auto"/>
        <w:ind w:firstLine="420" w:firstLineChars="200"/>
        <w:rPr>
          <w:rFonts w:ascii="宋体" w:hAnsi="宋体"/>
        </w:rPr>
      </w:pPr>
      <w:r>
        <w:rPr>
          <w:rFonts w:ascii="宋体" w:hAnsi="宋体"/>
        </w:rPr>
        <w:t>附表一</w:t>
      </w:r>
      <w:r>
        <w:rPr>
          <w:rFonts w:hint="eastAsia" w:ascii="宋体" w:hAnsi="宋体"/>
        </w:rPr>
        <w:t xml:space="preserve"> </w:t>
      </w:r>
      <w:r>
        <w:rPr>
          <w:rFonts w:ascii="宋体" w:hAnsi="宋体"/>
        </w:rPr>
        <w:t>拟投入本标段的主要施工设备表</w:t>
      </w:r>
    </w:p>
    <w:p>
      <w:pPr>
        <w:spacing w:line="360" w:lineRule="auto"/>
        <w:ind w:firstLine="420" w:firstLineChars="200"/>
        <w:rPr>
          <w:rFonts w:ascii="宋体" w:hAnsi="宋体"/>
        </w:rPr>
      </w:pPr>
      <w:r>
        <w:rPr>
          <w:rFonts w:ascii="宋体" w:hAnsi="宋体"/>
        </w:rPr>
        <w:t>附表二</w:t>
      </w:r>
      <w:r>
        <w:rPr>
          <w:rFonts w:hint="eastAsia" w:ascii="宋体" w:hAnsi="宋体"/>
        </w:rPr>
        <w:t xml:space="preserve"> </w:t>
      </w:r>
      <w:r>
        <w:rPr>
          <w:rFonts w:ascii="宋体" w:hAnsi="宋体"/>
        </w:rPr>
        <w:t>拟配备本标段的试验和检测仪器设备表</w:t>
      </w:r>
    </w:p>
    <w:p>
      <w:pPr>
        <w:spacing w:line="360" w:lineRule="auto"/>
        <w:ind w:firstLine="420" w:firstLineChars="200"/>
        <w:rPr>
          <w:rFonts w:ascii="宋体" w:hAnsi="宋体"/>
        </w:rPr>
      </w:pPr>
      <w:r>
        <w:rPr>
          <w:rFonts w:ascii="宋体" w:hAnsi="宋体"/>
        </w:rPr>
        <w:t>附表三</w:t>
      </w:r>
      <w:r>
        <w:rPr>
          <w:rFonts w:hint="eastAsia" w:ascii="宋体" w:hAnsi="宋体"/>
        </w:rPr>
        <w:t xml:space="preserve"> </w:t>
      </w:r>
      <w:r>
        <w:rPr>
          <w:rFonts w:ascii="宋体" w:hAnsi="宋体"/>
        </w:rPr>
        <w:t>劳动力计划表</w:t>
      </w:r>
    </w:p>
    <w:p>
      <w:pPr>
        <w:spacing w:line="360" w:lineRule="auto"/>
        <w:ind w:firstLine="420" w:firstLineChars="200"/>
        <w:rPr>
          <w:rFonts w:ascii="宋体" w:hAnsi="宋体"/>
        </w:rPr>
      </w:pPr>
      <w:r>
        <w:rPr>
          <w:rFonts w:ascii="宋体" w:hAnsi="宋体"/>
        </w:rPr>
        <w:t>附表四</w:t>
      </w:r>
      <w:r>
        <w:rPr>
          <w:rFonts w:hint="eastAsia" w:ascii="宋体" w:hAnsi="宋体"/>
        </w:rPr>
        <w:t xml:space="preserve"> </w:t>
      </w:r>
      <w:r>
        <w:rPr>
          <w:rFonts w:ascii="宋体" w:hAnsi="宋体"/>
        </w:rPr>
        <w:t>计划开、竣工日期和施工进度网络图</w:t>
      </w:r>
    </w:p>
    <w:p>
      <w:pPr>
        <w:spacing w:line="360" w:lineRule="auto"/>
        <w:ind w:firstLine="420" w:firstLineChars="200"/>
        <w:rPr>
          <w:rFonts w:ascii="宋体" w:hAnsi="宋体"/>
        </w:rPr>
      </w:pPr>
      <w:r>
        <w:rPr>
          <w:rFonts w:ascii="宋体" w:hAnsi="宋体"/>
        </w:rPr>
        <w:t>附表五</w:t>
      </w:r>
      <w:r>
        <w:rPr>
          <w:rFonts w:hint="eastAsia" w:ascii="宋体" w:hAnsi="宋体"/>
        </w:rPr>
        <w:t xml:space="preserve"> </w:t>
      </w:r>
      <w:r>
        <w:rPr>
          <w:rFonts w:ascii="宋体" w:hAnsi="宋体"/>
        </w:rPr>
        <w:t>施工总平面图</w:t>
      </w:r>
    </w:p>
    <w:p>
      <w:pPr>
        <w:spacing w:line="360" w:lineRule="auto"/>
        <w:ind w:firstLine="420" w:firstLineChars="200"/>
        <w:rPr>
          <w:rFonts w:ascii="宋体" w:hAnsi="宋体"/>
        </w:rPr>
      </w:pPr>
      <w:r>
        <w:rPr>
          <w:rFonts w:ascii="宋体" w:hAnsi="宋体"/>
        </w:rPr>
        <w:t>附表六</w:t>
      </w:r>
      <w:r>
        <w:rPr>
          <w:rFonts w:hint="eastAsia" w:ascii="宋体" w:hAnsi="宋体"/>
        </w:rPr>
        <w:t xml:space="preserve"> </w:t>
      </w:r>
      <w:r>
        <w:rPr>
          <w:rFonts w:ascii="宋体" w:hAnsi="宋体"/>
        </w:rPr>
        <w:t>临时用地表</w:t>
      </w:r>
    </w:p>
    <w:p>
      <w:pPr>
        <w:spacing w:line="360" w:lineRule="auto"/>
        <w:outlineLvl w:val="0"/>
        <w:rPr>
          <w:rFonts w:ascii="宋体" w:hAnsi="宋体"/>
          <w:b/>
        </w:rPr>
      </w:pPr>
      <w:bookmarkStart w:id="2084" w:name="_Toc21225"/>
      <w:bookmarkStart w:id="2085" w:name="_Toc10359"/>
      <w:r>
        <w:rPr>
          <w:rFonts w:hint="eastAsia" w:ascii="宋体" w:hAnsi="宋体"/>
          <w:b/>
          <w:lang w:val="en-US" w:eastAsia="zh-CN"/>
        </w:rPr>
        <w:t>五</w:t>
      </w:r>
      <w:r>
        <w:rPr>
          <w:rFonts w:ascii="宋体" w:hAnsi="宋体"/>
          <w:b/>
        </w:rPr>
        <w:t>、</w:t>
      </w:r>
      <w:r>
        <w:rPr>
          <w:rFonts w:hint="eastAsia" w:ascii="宋体" w:hAnsi="宋体"/>
          <w:b/>
        </w:rPr>
        <w:t>资格审查部分</w:t>
      </w:r>
      <w:bookmarkEnd w:id="2084"/>
      <w:bookmarkEnd w:id="2085"/>
    </w:p>
    <w:p>
      <w:pPr>
        <w:spacing w:line="360" w:lineRule="auto"/>
        <w:ind w:firstLine="420" w:firstLineChars="200"/>
        <w:rPr>
          <w:rFonts w:ascii="宋体" w:hAnsi="宋体"/>
        </w:rPr>
      </w:pPr>
      <w:r>
        <w:rPr>
          <w:rFonts w:ascii="宋体" w:hAnsi="宋体"/>
        </w:rPr>
        <w:t>（一）</w:t>
      </w:r>
      <w:r>
        <w:rPr>
          <w:rFonts w:hint="eastAsia" w:ascii="宋体" w:hAnsi="宋体"/>
        </w:rPr>
        <w:t>法定代表人身份证明或附有法定代表人身份证明的授权委托书</w:t>
      </w:r>
    </w:p>
    <w:p>
      <w:pPr>
        <w:spacing w:line="360" w:lineRule="auto"/>
        <w:ind w:firstLine="420" w:firstLineChars="200"/>
        <w:rPr>
          <w:rFonts w:ascii="宋体" w:hAnsi="宋体"/>
        </w:rPr>
      </w:pPr>
      <w:r>
        <w:rPr>
          <w:rFonts w:ascii="宋体" w:hAnsi="宋体"/>
        </w:rPr>
        <w:t>（二）联合体协议书</w:t>
      </w:r>
      <w:r>
        <w:rPr>
          <w:rFonts w:hint="eastAsia" w:ascii="宋体" w:hAnsi="宋体"/>
        </w:rPr>
        <w:t>（如有）</w:t>
      </w:r>
    </w:p>
    <w:p>
      <w:pPr>
        <w:spacing w:line="360" w:lineRule="auto"/>
        <w:ind w:firstLine="420" w:firstLineChars="200"/>
        <w:rPr>
          <w:rFonts w:ascii="宋体" w:hAnsi="宋体"/>
        </w:rPr>
      </w:pPr>
      <w:r>
        <w:rPr>
          <w:rFonts w:ascii="宋体" w:hAnsi="宋体"/>
        </w:rPr>
        <w:t>（三）投标人基本情况表</w:t>
      </w:r>
    </w:p>
    <w:p>
      <w:pPr>
        <w:spacing w:line="360" w:lineRule="auto"/>
        <w:ind w:firstLine="420" w:firstLineChars="200"/>
        <w:rPr>
          <w:rFonts w:ascii="宋体" w:hAnsi="宋体"/>
        </w:rPr>
      </w:pPr>
      <w:r>
        <w:rPr>
          <w:rFonts w:ascii="宋体" w:hAnsi="宋体"/>
        </w:rPr>
        <w:t>（四）项目管理机构</w:t>
      </w:r>
    </w:p>
    <w:p>
      <w:pPr>
        <w:spacing w:line="360" w:lineRule="auto"/>
        <w:ind w:firstLine="420" w:firstLineChars="200"/>
        <w:rPr>
          <w:rFonts w:ascii="宋体" w:hAnsi="宋体"/>
        </w:rPr>
      </w:pPr>
      <w:r>
        <w:rPr>
          <w:rFonts w:ascii="宋体" w:hAnsi="宋体"/>
        </w:rPr>
        <w:t>（五）近年财务状况表</w:t>
      </w:r>
    </w:p>
    <w:p>
      <w:pPr>
        <w:spacing w:line="360" w:lineRule="auto"/>
        <w:ind w:firstLine="420" w:firstLineChars="200"/>
        <w:rPr>
          <w:rFonts w:ascii="宋体" w:hAnsi="宋体"/>
        </w:rPr>
      </w:pPr>
      <w:r>
        <w:rPr>
          <w:rFonts w:ascii="宋体" w:hAnsi="宋体"/>
        </w:rPr>
        <w:t>（六）类似项目情况表</w:t>
      </w:r>
    </w:p>
    <w:p>
      <w:pPr>
        <w:spacing w:line="360" w:lineRule="auto"/>
        <w:ind w:firstLine="420" w:firstLineChars="200"/>
        <w:rPr>
          <w:rFonts w:ascii="宋体" w:hAnsi="宋体"/>
        </w:rPr>
      </w:pPr>
      <w:r>
        <w:rPr>
          <w:rFonts w:ascii="宋体" w:hAnsi="宋体"/>
        </w:rPr>
        <w:t>（七）</w:t>
      </w:r>
      <w:r>
        <w:rPr>
          <w:rFonts w:hint="eastAsia" w:ascii="宋体" w:hAnsi="宋体"/>
        </w:rPr>
        <w:t>承诺</w:t>
      </w:r>
    </w:p>
    <w:p>
      <w:pPr>
        <w:spacing w:line="360" w:lineRule="auto"/>
        <w:ind w:firstLine="420" w:firstLineChars="200"/>
        <w:rPr>
          <w:rFonts w:ascii="宋体" w:hAnsi="宋体"/>
        </w:rPr>
      </w:pPr>
      <w:r>
        <w:rPr>
          <w:rFonts w:ascii="宋体" w:hAnsi="宋体"/>
        </w:rPr>
        <w:t>（</w:t>
      </w:r>
      <w:r>
        <w:rPr>
          <w:rFonts w:hint="eastAsia" w:ascii="宋体" w:hAnsi="宋体"/>
        </w:rPr>
        <w:t>八</w:t>
      </w:r>
      <w:r>
        <w:rPr>
          <w:rFonts w:ascii="宋体" w:hAnsi="宋体"/>
        </w:rPr>
        <w:t>）其他资料</w:t>
      </w:r>
    </w:p>
    <w:p>
      <w:pPr>
        <w:autoSpaceDE w:val="0"/>
        <w:autoSpaceDN w:val="0"/>
        <w:adjustRightInd w:val="0"/>
        <w:spacing w:line="276" w:lineRule="auto"/>
        <w:ind w:right="-23"/>
        <w:jc w:val="left"/>
        <w:rPr>
          <w:rFonts w:ascii="宋体" w:hAnsi="宋体"/>
          <w:kern w:val="0"/>
          <w:szCs w:val="21"/>
          <w:u w:val="single"/>
        </w:rPr>
      </w:pPr>
      <w:r>
        <w:rPr>
          <w:rFonts w:ascii="宋体" w:hAnsi="宋体"/>
          <w:b/>
          <w:kern w:val="0"/>
          <w:sz w:val="24"/>
        </w:rPr>
        <w:br w:type="page"/>
      </w:r>
      <w:bookmarkStart w:id="2086" w:name="_Toc287607866"/>
      <w:bookmarkStart w:id="2087" w:name="_Toc277082642"/>
      <w:bookmarkStart w:id="2088" w:name="_Toc430530529"/>
      <w:bookmarkStart w:id="2089" w:name="_Toc287620813"/>
      <w:bookmarkStart w:id="2090" w:name="_Toc224103494"/>
    </w:p>
    <w:p>
      <w:pPr>
        <w:pStyle w:val="4"/>
        <w:spacing w:line="360" w:lineRule="auto"/>
        <w:jc w:val="center"/>
        <w:outlineLvl w:val="0"/>
        <w:rPr>
          <w:rFonts w:ascii="宋体" w:hAnsi="宋体"/>
          <w:b w:val="0"/>
          <w:bCs w:val="0"/>
          <w:sz w:val="44"/>
          <w:szCs w:val="44"/>
        </w:rPr>
      </w:pPr>
      <w:bookmarkStart w:id="2091" w:name="_Toc17531"/>
      <w:bookmarkStart w:id="2092" w:name="_Toc28912"/>
      <w:bookmarkStart w:id="2093" w:name="_Toc9391"/>
      <w:r>
        <w:rPr>
          <w:rFonts w:hint="eastAsia" w:ascii="宋体" w:hAnsi="宋体"/>
          <w:b w:val="0"/>
          <w:bCs w:val="0"/>
          <w:sz w:val="44"/>
          <w:szCs w:val="44"/>
        </w:rPr>
        <w:t>一、投标函部分</w:t>
      </w:r>
      <w:bookmarkEnd w:id="2086"/>
      <w:bookmarkEnd w:id="2087"/>
      <w:bookmarkEnd w:id="2088"/>
      <w:bookmarkEnd w:id="2089"/>
      <w:bookmarkEnd w:id="2090"/>
      <w:bookmarkEnd w:id="2091"/>
      <w:bookmarkEnd w:id="2092"/>
      <w:bookmarkEnd w:id="2093"/>
    </w:p>
    <w:p>
      <w:pPr>
        <w:tabs>
          <w:tab w:val="left" w:pos="2580"/>
          <w:tab w:val="left" w:pos="5940"/>
        </w:tabs>
        <w:autoSpaceDE w:val="0"/>
        <w:autoSpaceDN w:val="0"/>
        <w:adjustRightInd w:val="0"/>
        <w:snapToGrid w:val="0"/>
        <w:spacing w:line="360" w:lineRule="auto"/>
        <w:jc w:val="left"/>
        <w:rPr>
          <w:rFonts w:ascii="宋体" w:hAnsi="宋体"/>
          <w:kern w:val="0"/>
          <w:sz w:val="28"/>
          <w:szCs w:val="28"/>
          <w:u w:val="single"/>
        </w:rPr>
      </w:pPr>
      <w:r>
        <w:rPr>
          <w:rFonts w:ascii="宋体" w:hAnsi="宋体"/>
          <w:kern w:val="0"/>
          <w:sz w:val="28"/>
          <w:szCs w:val="28"/>
          <w:u w:val="single"/>
        </w:rPr>
        <w:br w:type="page"/>
      </w:r>
    </w:p>
    <w:p>
      <w:pPr>
        <w:spacing w:line="360" w:lineRule="auto"/>
        <w:jc w:val="center"/>
        <w:rPr>
          <w:rFonts w:ascii="宋体" w:hAnsi="宋体"/>
          <w:kern w:val="0"/>
          <w:sz w:val="32"/>
          <w:szCs w:val="32"/>
        </w:rPr>
      </w:pPr>
      <w:r>
        <w:rPr>
          <w:rFonts w:hint="eastAsia" w:ascii="宋体" w:hAnsi="宋体"/>
          <w:kern w:val="0"/>
          <w:sz w:val="32"/>
          <w:szCs w:val="32"/>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rPr>
        <w:t>投 标 文 件</w:t>
      </w:r>
    </w:p>
    <w:p>
      <w:pPr>
        <w:autoSpaceDE w:val="0"/>
        <w:autoSpaceDN w:val="0"/>
        <w:adjustRightInd w:val="0"/>
        <w:snapToGrid w:val="0"/>
        <w:spacing w:line="360" w:lineRule="auto"/>
        <w:jc w:val="left"/>
        <w:rPr>
          <w:rFonts w:ascii="宋体" w:hAnsi="宋体"/>
          <w:kern w:val="0"/>
          <w:sz w:val="16"/>
          <w:szCs w:val="16"/>
        </w:rPr>
      </w:pPr>
    </w:p>
    <w:p>
      <w:pPr>
        <w:autoSpaceDE w:val="0"/>
        <w:autoSpaceDN w:val="0"/>
        <w:adjustRightInd w:val="0"/>
        <w:snapToGrid w:val="0"/>
        <w:spacing w:line="360" w:lineRule="auto"/>
        <w:jc w:val="center"/>
        <w:outlineLvl w:val="0"/>
        <w:rPr>
          <w:rFonts w:ascii="宋体" w:hAnsi="宋体"/>
          <w:kern w:val="0"/>
          <w:sz w:val="36"/>
          <w:szCs w:val="36"/>
        </w:rPr>
      </w:pPr>
      <w:bookmarkStart w:id="2094" w:name="_Toc23402"/>
      <w:bookmarkStart w:id="2095" w:name="_Toc9382"/>
      <w:r>
        <w:rPr>
          <w:rFonts w:hint="eastAsia" w:ascii="宋体" w:hAnsi="宋体"/>
          <w:kern w:val="0"/>
          <w:sz w:val="36"/>
          <w:szCs w:val="36"/>
        </w:rPr>
        <w:t>投标函部分</w:t>
      </w:r>
      <w:bookmarkEnd w:id="2094"/>
      <w:bookmarkEnd w:id="2095"/>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tabs>
          <w:tab w:val="left" w:pos="6080"/>
          <w:tab w:val="left" w:pos="6640"/>
        </w:tabs>
        <w:autoSpaceDE w:val="0"/>
        <w:autoSpaceDN w:val="0"/>
        <w:adjustRightInd w:val="0"/>
        <w:snapToGrid w:val="0"/>
        <w:spacing w:after="156" w:afterLines="50" w:line="360" w:lineRule="auto"/>
        <w:jc w:val="center"/>
        <w:rPr>
          <w:rFonts w:ascii="宋体" w:hAnsi="宋体"/>
          <w:w w:val="99"/>
          <w:kern w:val="0"/>
          <w:sz w:val="28"/>
          <w:szCs w:val="28"/>
        </w:rPr>
      </w:pPr>
      <w:r>
        <w:rPr>
          <w:rFonts w:ascii="宋体" w:hAnsi="宋体"/>
          <w:w w:val="99"/>
          <w:kern w:val="0"/>
          <w:sz w:val="28"/>
          <w:szCs w:val="28"/>
        </w:rPr>
        <w:t>投标人</w:t>
      </w:r>
      <w:r>
        <w:rPr>
          <w:rFonts w:ascii="宋体" w:hAnsi="宋体"/>
          <w:spacing w:val="1"/>
          <w:w w:val="99"/>
          <w:kern w:val="0"/>
          <w:sz w:val="28"/>
          <w:szCs w:val="28"/>
        </w:rPr>
        <w:t>：</w:t>
      </w:r>
      <w:r>
        <w:rPr>
          <w:rFonts w:ascii="宋体" w:hAnsi="宋体"/>
          <w:w w:val="198"/>
          <w:kern w:val="0"/>
          <w:sz w:val="28"/>
          <w:szCs w:val="28"/>
          <w:u w:val="single"/>
        </w:rPr>
        <w:t xml:space="preserve"> 　　　　 　　</w:t>
      </w:r>
      <w:r>
        <w:rPr>
          <w:rFonts w:ascii="宋体" w:hAnsi="宋体"/>
          <w:w w:val="99"/>
          <w:kern w:val="0"/>
          <w:sz w:val="28"/>
          <w:szCs w:val="28"/>
        </w:rPr>
        <w:t>（盖单位法人章）</w:t>
      </w:r>
    </w:p>
    <w:p>
      <w:pPr>
        <w:tabs>
          <w:tab w:val="left" w:pos="6080"/>
          <w:tab w:val="left" w:pos="6640"/>
        </w:tabs>
        <w:autoSpaceDE w:val="0"/>
        <w:autoSpaceDN w:val="0"/>
        <w:adjustRightInd w:val="0"/>
        <w:snapToGrid w:val="0"/>
        <w:spacing w:after="156" w:afterLines="50" w:line="360" w:lineRule="auto"/>
        <w:jc w:val="center"/>
        <w:rPr>
          <w:rFonts w:ascii="宋体" w:hAnsi="宋体"/>
          <w:kern w:val="0"/>
          <w:sz w:val="28"/>
          <w:szCs w:val="28"/>
        </w:rPr>
      </w:pPr>
      <w:r>
        <w:rPr>
          <w:rFonts w:ascii="宋体" w:hAnsi="宋体"/>
          <w:w w:val="99"/>
          <w:kern w:val="0"/>
          <w:sz w:val="28"/>
          <w:szCs w:val="28"/>
        </w:rPr>
        <w:t>法定代表人或其委托代理人：</w:t>
      </w:r>
      <w:r>
        <w:rPr>
          <w:rFonts w:ascii="宋体" w:hAnsi="宋体"/>
          <w:w w:val="198"/>
          <w:kern w:val="0"/>
          <w:sz w:val="28"/>
          <w:szCs w:val="28"/>
          <w:u w:val="single"/>
        </w:rPr>
        <w:t xml:space="preserve"> 　　 </w:t>
      </w:r>
      <w:r>
        <w:rPr>
          <w:rFonts w:ascii="宋体" w:hAnsi="宋体"/>
          <w:w w:val="99"/>
          <w:kern w:val="0"/>
          <w:sz w:val="28"/>
          <w:szCs w:val="28"/>
        </w:rPr>
        <w:t>（</w:t>
      </w:r>
      <w:r>
        <w:rPr>
          <w:rFonts w:hint="eastAsia" w:ascii="宋体" w:hAnsi="宋体"/>
          <w:w w:val="99"/>
          <w:kern w:val="0"/>
          <w:sz w:val="28"/>
          <w:szCs w:val="28"/>
        </w:rPr>
        <w:t>签名</w:t>
      </w:r>
      <w:r>
        <w:rPr>
          <w:rFonts w:ascii="宋体" w:hAnsi="宋体"/>
          <w:w w:val="99"/>
          <w:kern w:val="0"/>
          <w:sz w:val="28"/>
          <w:szCs w:val="28"/>
        </w:rPr>
        <w:t>或盖章）</w:t>
      </w:r>
    </w:p>
    <w:p>
      <w:pPr>
        <w:autoSpaceDE w:val="0"/>
        <w:autoSpaceDN w:val="0"/>
        <w:adjustRightInd w:val="0"/>
        <w:snapToGrid w:val="0"/>
        <w:spacing w:line="360" w:lineRule="auto"/>
        <w:jc w:val="center"/>
        <w:rPr>
          <w:rFonts w:ascii="宋体" w:hAnsi="宋体"/>
          <w:kern w:val="0"/>
          <w:sz w:val="24"/>
          <w:szCs w:val="21"/>
        </w:rPr>
      </w:pPr>
      <w:r>
        <w:rPr>
          <w:rFonts w:hint="eastAsia" w:ascii="宋体" w:hAnsi="宋体"/>
          <w:w w:val="99"/>
          <w:kern w:val="0"/>
          <w:sz w:val="28"/>
          <w:szCs w:val="28"/>
          <w:u w:val="single"/>
        </w:rPr>
        <w:t xml:space="preserve">    </w:t>
      </w:r>
      <w:r>
        <w:rPr>
          <w:rFonts w:hint="eastAsia" w:ascii="宋体" w:hAnsi="宋体"/>
          <w:w w:val="99"/>
          <w:kern w:val="0"/>
          <w:sz w:val="28"/>
          <w:szCs w:val="28"/>
        </w:rPr>
        <w:t>年</w:t>
      </w:r>
      <w:r>
        <w:rPr>
          <w:rFonts w:hint="eastAsia" w:ascii="宋体" w:hAnsi="宋体"/>
          <w:w w:val="99"/>
          <w:kern w:val="0"/>
          <w:sz w:val="28"/>
          <w:szCs w:val="28"/>
          <w:u w:val="single"/>
        </w:rPr>
        <w:t xml:space="preserve">    </w:t>
      </w:r>
      <w:r>
        <w:rPr>
          <w:rFonts w:hint="eastAsia" w:ascii="宋体" w:hAnsi="宋体"/>
          <w:w w:val="99"/>
          <w:kern w:val="0"/>
          <w:sz w:val="28"/>
          <w:szCs w:val="28"/>
        </w:rPr>
        <w:t>月</w:t>
      </w:r>
      <w:r>
        <w:rPr>
          <w:rFonts w:hint="eastAsia" w:ascii="宋体" w:hAnsi="宋体"/>
          <w:w w:val="99"/>
          <w:kern w:val="0"/>
          <w:sz w:val="28"/>
          <w:szCs w:val="28"/>
          <w:u w:val="single"/>
        </w:rPr>
        <w:t xml:space="preserve">    </w:t>
      </w:r>
      <w:r>
        <w:rPr>
          <w:rFonts w:hint="eastAsia" w:ascii="宋体" w:hAnsi="宋体"/>
          <w:w w:val="99"/>
          <w:kern w:val="0"/>
          <w:sz w:val="28"/>
          <w:szCs w:val="28"/>
        </w:rPr>
        <w:t>日</w:t>
      </w:r>
      <w:r>
        <w:rPr>
          <w:rFonts w:ascii="宋体" w:hAnsi="宋体"/>
          <w:kern w:val="0"/>
          <w:sz w:val="24"/>
          <w:szCs w:val="21"/>
        </w:rPr>
        <w:br w:type="page"/>
      </w:r>
    </w:p>
    <w:p>
      <w:pPr>
        <w:autoSpaceDE w:val="0"/>
        <w:autoSpaceDN w:val="0"/>
        <w:adjustRightInd w:val="0"/>
        <w:snapToGrid w:val="0"/>
        <w:spacing w:line="360" w:lineRule="auto"/>
        <w:jc w:val="center"/>
        <w:outlineLvl w:val="0"/>
        <w:rPr>
          <w:rFonts w:ascii="宋体" w:hAnsi="宋体"/>
          <w:kern w:val="0"/>
          <w:sz w:val="36"/>
          <w:szCs w:val="36"/>
        </w:rPr>
      </w:pPr>
      <w:bookmarkStart w:id="2096" w:name="_Toc24304"/>
      <w:bookmarkStart w:id="2097" w:name="_Toc18366"/>
      <w:r>
        <w:rPr>
          <w:rFonts w:hint="eastAsia" w:ascii="宋体" w:hAnsi="宋体"/>
          <w:kern w:val="0"/>
          <w:sz w:val="36"/>
          <w:szCs w:val="36"/>
        </w:rPr>
        <w:t>目  录</w:t>
      </w:r>
      <w:bookmarkEnd w:id="2096"/>
      <w:bookmarkEnd w:id="2097"/>
    </w:p>
    <w:p>
      <w:pPr>
        <w:autoSpaceDE w:val="0"/>
        <w:autoSpaceDN w:val="0"/>
        <w:adjustRightInd w:val="0"/>
        <w:snapToGrid w:val="0"/>
        <w:spacing w:line="360" w:lineRule="auto"/>
        <w:jc w:val="left"/>
        <w:rPr>
          <w:rFonts w:ascii="宋体" w:hAnsi="宋体"/>
          <w:kern w:val="0"/>
          <w:sz w:val="24"/>
          <w:szCs w:val="21"/>
        </w:rPr>
      </w:pPr>
    </w:p>
    <w:p>
      <w:pPr>
        <w:autoSpaceDE w:val="0"/>
        <w:autoSpaceDN w:val="0"/>
        <w:adjustRightInd w:val="0"/>
        <w:spacing w:line="360" w:lineRule="auto"/>
        <w:ind w:firstLine="480" w:firstLineChars="200"/>
        <w:jc w:val="left"/>
        <w:outlineLvl w:val="0"/>
        <w:rPr>
          <w:rFonts w:ascii="宋体" w:hAnsi="宋体"/>
          <w:kern w:val="0"/>
          <w:sz w:val="24"/>
        </w:rPr>
      </w:pPr>
      <w:bookmarkStart w:id="2098" w:name="_Toc21295"/>
      <w:bookmarkStart w:id="2099" w:name="_Toc31075"/>
      <w:r>
        <w:rPr>
          <w:rFonts w:ascii="宋体" w:hAnsi="宋体"/>
          <w:kern w:val="0"/>
          <w:sz w:val="24"/>
        </w:rPr>
        <w:t>（一）投标函</w:t>
      </w:r>
      <w:bookmarkEnd w:id="2098"/>
      <w:bookmarkEnd w:id="2099"/>
    </w:p>
    <w:p>
      <w:pPr>
        <w:autoSpaceDE w:val="0"/>
        <w:autoSpaceDN w:val="0"/>
        <w:adjustRightInd w:val="0"/>
        <w:spacing w:line="360" w:lineRule="auto"/>
        <w:ind w:firstLine="480" w:firstLineChars="200"/>
        <w:jc w:val="left"/>
        <w:outlineLvl w:val="0"/>
        <w:rPr>
          <w:rFonts w:ascii="宋体" w:hAnsi="宋体"/>
          <w:kern w:val="0"/>
          <w:sz w:val="24"/>
        </w:rPr>
      </w:pPr>
      <w:bookmarkStart w:id="2100" w:name="_Toc26287"/>
      <w:bookmarkStart w:id="2101" w:name="_Toc266"/>
      <w:r>
        <w:rPr>
          <w:rFonts w:ascii="宋体" w:hAnsi="宋体"/>
          <w:kern w:val="0"/>
          <w:sz w:val="24"/>
        </w:rPr>
        <w:t>（二）投标函附录</w:t>
      </w:r>
      <w:bookmarkEnd w:id="2100"/>
      <w:bookmarkEnd w:id="2101"/>
    </w:p>
    <w:p>
      <w:pPr>
        <w:autoSpaceDE w:val="0"/>
        <w:autoSpaceDN w:val="0"/>
        <w:adjustRightInd w:val="0"/>
        <w:spacing w:line="360" w:lineRule="auto"/>
        <w:ind w:firstLine="480" w:firstLineChars="200"/>
        <w:jc w:val="left"/>
        <w:outlineLvl w:val="0"/>
        <w:rPr>
          <w:rFonts w:ascii="宋体" w:hAnsi="宋体"/>
          <w:kern w:val="0"/>
          <w:sz w:val="24"/>
        </w:rPr>
      </w:pPr>
      <w:bookmarkStart w:id="2102" w:name="_Toc3139"/>
      <w:bookmarkStart w:id="2103" w:name="_Toc18963"/>
      <w:r>
        <w:rPr>
          <w:rFonts w:ascii="宋体" w:hAnsi="宋体"/>
          <w:kern w:val="0"/>
          <w:sz w:val="24"/>
        </w:rPr>
        <w:t>（三）</w:t>
      </w:r>
      <w:r>
        <w:rPr>
          <w:rFonts w:hint="eastAsia" w:ascii="宋体" w:hAnsi="宋体"/>
          <w:kern w:val="0"/>
          <w:sz w:val="24"/>
        </w:rPr>
        <w:t>法定代表人身份证明或附有法定代表人身份证明的授权委托书</w:t>
      </w:r>
      <w:bookmarkEnd w:id="2102"/>
      <w:bookmarkEnd w:id="2103"/>
    </w:p>
    <w:p>
      <w:pPr>
        <w:autoSpaceDE w:val="0"/>
        <w:autoSpaceDN w:val="0"/>
        <w:adjustRightInd w:val="0"/>
        <w:spacing w:line="360" w:lineRule="auto"/>
        <w:ind w:firstLine="480" w:firstLineChars="200"/>
        <w:jc w:val="left"/>
        <w:outlineLvl w:val="0"/>
        <w:rPr>
          <w:rFonts w:ascii="宋体" w:hAnsi="宋体"/>
          <w:kern w:val="0"/>
          <w:sz w:val="24"/>
        </w:rPr>
      </w:pPr>
      <w:bookmarkStart w:id="2104" w:name="_Toc31996"/>
      <w:bookmarkStart w:id="2105" w:name="_Toc20089"/>
      <w:r>
        <w:rPr>
          <w:rFonts w:ascii="宋体" w:hAnsi="宋体"/>
          <w:kern w:val="0"/>
          <w:sz w:val="24"/>
        </w:rPr>
        <w:t>（四）</w:t>
      </w:r>
      <w:r>
        <w:rPr>
          <w:rFonts w:hint="eastAsia" w:ascii="宋体" w:hAnsi="宋体"/>
          <w:kern w:val="0"/>
          <w:sz w:val="24"/>
        </w:rPr>
        <w:t>低价风险担保提交承诺书（如有）</w:t>
      </w:r>
      <w:bookmarkEnd w:id="2104"/>
      <w:bookmarkEnd w:id="2105"/>
    </w:p>
    <w:p>
      <w:pPr>
        <w:pStyle w:val="5"/>
        <w:spacing w:before="0" w:after="0" w:line="240" w:lineRule="auto"/>
        <w:jc w:val="center"/>
        <w:outlineLvl w:val="0"/>
        <w:rPr>
          <w:rFonts w:ascii="宋体" w:hAnsi="宋体"/>
          <w:b w:val="0"/>
        </w:rPr>
      </w:pPr>
      <w:bookmarkStart w:id="2106" w:name="_Toc287620814"/>
      <w:bookmarkStart w:id="2107" w:name="_Toc277082643"/>
      <w:bookmarkStart w:id="2108" w:name="_Toc534185831"/>
      <w:bookmarkStart w:id="2109" w:name="_Toc287607867"/>
      <w:bookmarkStart w:id="2110" w:name="_Toc509218854"/>
      <w:bookmarkStart w:id="2111" w:name="_Toc430530530"/>
      <w:bookmarkStart w:id="2112" w:name="_Toc224103495"/>
      <w:r>
        <w:rPr>
          <w:rFonts w:ascii="宋体" w:hAnsi="宋体"/>
        </w:rPr>
        <w:br w:type="page"/>
      </w:r>
      <w:bookmarkStart w:id="2113" w:name="_Toc24503"/>
      <w:bookmarkStart w:id="2114" w:name="_Toc15590"/>
      <w:bookmarkStart w:id="2115" w:name="_Toc7415"/>
      <w:r>
        <w:rPr>
          <w:rFonts w:hint="eastAsia" w:ascii="宋体" w:hAnsi="宋体"/>
          <w:b w:val="0"/>
          <w:bCs w:val="0"/>
        </w:rPr>
        <w:t>（一）投标函</w:t>
      </w:r>
      <w:bookmarkEnd w:id="2106"/>
      <w:bookmarkEnd w:id="2107"/>
      <w:bookmarkEnd w:id="2108"/>
      <w:bookmarkEnd w:id="2109"/>
      <w:bookmarkEnd w:id="2110"/>
      <w:bookmarkEnd w:id="2111"/>
      <w:bookmarkEnd w:id="2112"/>
      <w:bookmarkEnd w:id="2113"/>
      <w:bookmarkEnd w:id="2114"/>
      <w:bookmarkEnd w:id="2115"/>
    </w:p>
    <w:p>
      <w:pPr>
        <w:tabs>
          <w:tab w:val="left" w:pos="2640"/>
        </w:tabs>
        <w:autoSpaceDE w:val="0"/>
        <w:autoSpaceDN w:val="0"/>
        <w:adjustRightInd w:val="0"/>
        <w:spacing w:line="400" w:lineRule="exact"/>
        <w:rPr>
          <w:rFonts w:ascii="宋体" w:hAnsi="宋体"/>
          <w:snapToGrid w:val="0"/>
          <w:kern w:val="0"/>
          <w:szCs w:val="21"/>
        </w:rPr>
      </w:pPr>
      <w:r>
        <w:rPr>
          <w:rFonts w:ascii="宋体" w:hAnsi="宋体"/>
          <w:snapToGrid w:val="0"/>
          <w:kern w:val="0"/>
          <w:szCs w:val="21"/>
          <w:u w:val="single"/>
        </w:rPr>
        <w:tab/>
      </w:r>
      <w:r>
        <w:rPr>
          <w:rFonts w:ascii="宋体" w:hAnsi="宋体"/>
          <w:snapToGrid w:val="0"/>
          <w:kern w:val="0"/>
          <w:szCs w:val="21"/>
          <w:u w:val="single"/>
        </w:rPr>
        <w:t>（招标人名称）</w:t>
      </w:r>
      <w:r>
        <w:rPr>
          <w:rFonts w:ascii="宋体" w:hAnsi="宋体"/>
          <w:snapToGrid w:val="0"/>
          <w:kern w:val="0"/>
          <w:szCs w:val="21"/>
        </w:rPr>
        <w:t>：</w:t>
      </w:r>
    </w:p>
    <w:p>
      <w:pPr>
        <w:tabs>
          <w:tab w:val="left" w:pos="2655"/>
          <w:tab w:val="left" w:pos="3520"/>
          <w:tab w:val="left" w:pos="4920"/>
          <w:tab w:val="left" w:pos="5715"/>
          <w:tab w:val="left" w:pos="6945"/>
          <w:tab w:val="left" w:pos="798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 xml:space="preserve">. </w:t>
      </w:r>
      <w:r>
        <w:rPr>
          <w:rFonts w:ascii="宋体" w:hAnsi="宋体"/>
          <w:snapToGrid w:val="0"/>
          <w:kern w:val="0"/>
          <w:szCs w:val="21"/>
        </w:rPr>
        <w:t>我方已仔细研究了</w:t>
      </w:r>
      <w:r>
        <w:rPr>
          <w:rFonts w:ascii="宋体" w:hAnsi="宋体"/>
          <w:snapToGrid w:val="0"/>
          <w:kern w:val="0"/>
          <w:szCs w:val="21"/>
          <w:u w:val="single"/>
        </w:rPr>
        <w:tab/>
      </w:r>
      <w:r>
        <w:rPr>
          <w:rFonts w:ascii="宋体" w:hAnsi="宋体"/>
          <w:snapToGrid w:val="0"/>
          <w:kern w:val="0"/>
          <w:szCs w:val="21"/>
          <w:u w:val="single"/>
        </w:rPr>
        <w:tab/>
      </w:r>
      <w:r>
        <w:rPr>
          <w:rFonts w:ascii="宋体" w:hAnsi="宋体"/>
          <w:snapToGrid w:val="0"/>
          <w:kern w:val="0"/>
          <w:szCs w:val="21"/>
          <w:u w:val="single"/>
        </w:rPr>
        <w:t>（项目名称）</w:t>
      </w:r>
      <w:r>
        <w:rPr>
          <w:rFonts w:ascii="宋体" w:hAnsi="宋体"/>
          <w:snapToGrid w:val="0"/>
          <w:kern w:val="0"/>
          <w:szCs w:val="21"/>
        </w:rPr>
        <w:t>招标文件的全部内容，愿意以人民币（大写）</w:t>
      </w:r>
      <w:r>
        <w:rPr>
          <w:rFonts w:ascii="宋体" w:hAnsi="宋体"/>
          <w:snapToGrid w:val="0"/>
          <w:kern w:val="0"/>
          <w:szCs w:val="21"/>
          <w:u w:val="single"/>
        </w:rPr>
        <w:tab/>
      </w:r>
      <w:r>
        <w:rPr>
          <w:rFonts w:ascii="宋体" w:hAnsi="宋体"/>
          <w:snapToGrid w:val="0"/>
          <w:kern w:val="0"/>
          <w:szCs w:val="21"/>
        </w:rPr>
        <w:t>（¥</w:t>
      </w:r>
      <w:r>
        <w:rPr>
          <w:rFonts w:hint="eastAsia" w:ascii="宋体" w:hAnsi="宋体"/>
          <w:snapToGrid w:val="0"/>
          <w:kern w:val="0"/>
          <w:szCs w:val="21"/>
          <w:u w:val="single"/>
        </w:rPr>
        <w:t xml:space="preserve">    </w:t>
      </w:r>
      <w:r>
        <w:rPr>
          <w:rFonts w:ascii="宋体" w:hAnsi="宋体"/>
          <w:snapToGrid w:val="0"/>
          <w:kern w:val="0"/>
          <w:szCs w:val="21"/>
        </w:rPr>
        <w:t>）的投标总报价进行报价，其</w:t>
      </w:r>
      <w:r>
        <w:rPr>
          <w:rFonts w:ascii="宋体" w:hAnsi="宋体"/>
          <w:snapToGrid w:val="0"/>
          <w:kern w:val="0"/>
          <w:szCs w:val="21"/>
          <w:u w:val="single"/>
        </w:rPr>
        <w:t>中</w:t>
      </w:r>
      <w:r>
        <w:rPr>
          <w:rFonts w:ascii="宋体" w:hAnsi="宋体"/>
          <w:snapToGrid w:val="0"/>
          <w:kern w:val="0"/>
          <w:u w:val="single"/>
        </w:rPr>
        <w:t>安全</w:t>
      </w:r>
      <w:r>
        <w:rPr>
          <w:rFonts w:hint="eastAsia" w:ascii="宋体" w:hAnsi="宋体"/>
          <w:snapToGrid w:val="0"/>
          <w:kern w:val="0"/>
          <w:u w:val="single"/>
        </w:rPr>
        <w:t>生产费</w:t>
      </w:r>
      <w:r>
        <w:rPr>
          <w:rFonts w:ascii="宋体" w:hAnsi="宋体"/>
          <w:snapToGrid w:val="0"/>
          <w:kern w:val="0"/>
        </w:rPr>
        <w:t>金额为人民币</w:t>
      </w:r>
      <w:r>
        <w:rPr>
          <w:rFonts w:ascii="宋体" w:hAnsi="宋体"/>
          <w:snapToGrid w:val="0"/>
          <w:kern w:val="0"/>
          <w:szCs w:val="21"/>
        </w:rPr>
        <w:t>（大写）</w:t>
      </w:r>
      <w:r>
        <w:rPr>
          <w:rFonts w:ascii="宋体" w:hAnsi="宋体"/>
          <w:snapToGrid w:val="0"/>
          <w:kern w:val="0"/>
          <w:szCs w:val="21"/>
          <w:u w:val="single"/>
        </w:rPr>
        <w:tab/>
      </w:r>
      <w:r>
        <w:rPr>
          <w:rFonts w:ascii="宋体" w:hAnsi="宋体"/>
          <w:snapToGrid w:val="0"/>
          <w:kern w:val="0"/>
          <w:szCs w:val="21"/>
        </w:rPr>
        <w:t>（¥</w:t>
      </w:r>
      <w:r>
        <w:rPr>
          <w:rFonts w:hint="eastAsia" w:ascii="宋体" w:hAnsi="宋体"/>
          <w:snapToGrid w:val="0"/>
          <w:kern w:val="0"/>
          <w:szCs w:val="21"/>
          <w:u w:val="single"/>
        </w:rPr>
        <w:t xml:space="preserve">    </w:t>
      </w:r>
      <w:r>
        <w:rPr>
          <w:rFonts w:ascii="宋体" w:hAnsi="宋体"/>
          <w:snapToGrid w:val="0"/>
          <w:kern w:val="0"/>
          <w:szCs w:val="21"/>
        </w:rPr>
        <w:t>），该工程</w:t>
      </w:r>
      <w:r>
        <w:rPr>
          <w:rFonts w:ascii="宋体" w:hAnsi="宋体"/>
          <w:snapToGrid w:val="0"/>
          <w:kern w:val="0"/>
        </w:rPr>
        <w:t>项目经理为</w:t>
      </w:r>
      <w:r>
        <w:rPr>
          <w:rFonts w:hint="eastAsia" w:ascii="宋体" w:hAnsi="宋体"/>
          <w:snapToGrid w:val="0"/>
          <w:kern w:val="0"/>
          <w:u w:val="single"/>
        </w:rPr>
        <w:t xml:space="preserve">        </w:t>
      </w:r>
      <w:r>
        <w:rPr>
          <w:rFonts w:hint="eastAsia" w:ascii="宋体" w:hAnsi="宋体"/>
          <w:snapToGrid w:val="0"/>
          <w:kern w:val="0"/>
          <w:szCs w:val="21"/>
        </w:rPr>
        <w:t>，身份证号码为</w:t>
      </w:r>
      <w:r>
        <w:rPr>
          <w:rFonts w:hint="eastAsia" w:ascii="宋体" w:hAnsi="宋体"/>
          <w:snapToGrid w:val="0"/>
          <w:kern w:val="0"/>
          <w:szCs w:val="21"/>
          <w:u w:val="single"/>
        </w:rPr>
        <w:t xml:space="preserve">        </w:t>
      </w:r>
      <w:r>
        <w:rPr>
          <w:rFonts w:hint="eastAsia" w:ascii="宋体" w:hAnsi="宋体"/>
          <w:snapToGrid w:val="0"/>
          <w:kern w:val="0"/>
          <w:szCs w:val="21"/>
        </w:rPr>
        <w:t>；委托代理人为：</w:t>
      </w:r>
      <w:r>
        <w:rPr>
          <w:rFonts w:hint="eastAsia" w:ascii="宋体" w:hAnsi="宋体"/>
          <w:snapToGrid w:val="0"/>
          <w:kern w:val="0"/>
          <w:szCs w:val="21"/>
          <w:u w:val="single"/>
        </w:rPr>
        <w:t xml:space="preserve">        </w:t>
      </w:r>
      <w:r>
        <w:rPr>
          <w:rFonts w:hint="eastAsia" w:ascii="宋体" w:hAnsi="宋体"/>
          <w:snapToGrid w:val="0"/>
          <w:kern w:val="0"/>
          <w:szCs w:val="21"/>
        </w:rPr>
        <w:t>，身份证号码为</w:t>
      </w:r>
      <w:r>
        <w:rPr>
          <w:rFonts w:hint="eastAsia" w:ascii="宋体" w:hAnsi="宋体"/>
          <w:snapToGrid w:val="0"/>
          <w:kern w:val="0"/>
          <w:szCs w:val="21"/>
          <w:u w:val="single"/>
        </w:rPr>
        <w:t xml:space="preserve">        </w:t>
      </w:r>
      <w:r>
        <w:rPr>
          <w:rFonts w:ascii="宋体" w:hAnsi="宋体"/>
          <w:snapToGrid w:val="0"/>
          <w:kern w:val="0"/>
          <w:szCs w:val="21"/>
        </w:rPr>
        <w:t>。工期</w:t>
      </w:r>
      <w:r>
        <w:rPr>
          <w:rFonts w:hint="eastAsia" w:ascii="宋体" w:hAnsi="宋体"/>
          <w:snapToGrid w:val="0"/>
          <w:kern w:val="0"/>
          <w:szCs w:val="21"/>
          <w:u w:val="single"/>
        </w:rPr>
        <w:t>达到招标文件的要求</w:t>
      </w:r>
      <w:r>
        <w:rPr>
          <w:rFonts w:ascii="宋体" w:hAnsi="宋体"/>
          <w:snapToGrid w:val="0"/>
          <w:kern w:val="0"/>
          <w:szCs w:val="21"/>
        </w:rPr>
        <w:t>，</w:t>
      </w:r>
      <w:r>
        <w:rPr>
          <w:rFonts w:hint="eastAsia" w:ascii="宋体" w:hAnsi="宋体"/>
          <w:snapToGrid w:val="0"/>
          <w:kern w:val="0"/>
          <w:szCs w:val="21"/>
          <w:u w:val="single"/>
        </w:rPr>
        <w:t xml:space="preserve">缺陷责任期        </w:t>
      </w:r>
      <w:r>
        <w:rPr>
          <w:rFonts w:hint="eastAsia" w:ascii="宋体" w:hAnsi="宋体"/>
          <w:snapToGrid w:val="0"/>
          <w:kern w:val="0"/>
          <w:szCs w:val="21"/>
        </w:rPr>
        <w:t>，</w:t>
      </w:r>
      <w:r>
        <w:rPr>
          <w:rFonts w:ascii="宋体" w:hAnsi="宋体"/>
          <w:snapToGrid w:val="0"/>
          <w:kern w:val="0"/>
          <w:szCs w:val="21"/>
        </w:rPr>
        <w:t xml:space="preserve"> 按合同约定实施和完成承包工程，修补工程中的任何缺陷，工程质量</w:t>
      </w:r>
      <w:r>
        <w:rPr>
          <w:rFonts w:hint="eastAsia" w:ascii="宋体" w:hAnsi="宋体"/>
          <w:snapToGrid w:val="0"/>
          <w:kern w:val="0"/>
          <w:szCs w:val="21"/>
          <w:u w:val="single"/>
        </w:rPr>
        <w:t>达到招标文件的要求</w:t>
      </w:r>
      <w:r>
        <w:rPr>
          <w:rFonts w:ascii="宋体" w:hAnsi="宋体"/>
          <w:snapToGrid w:val="0"/>
          <w:kern w:val="0"/>
          <w:szCs w:val="21"/>
        </w:rPr>
        <w:t>。</w:t>
      </w:r>
    </w:p>
    <w:p>
      <w:pPr>
        <w:autoSpaceDE w:val="0"/>
        <w:autoSpaceDN w:val="0"/>
        <w:adjustRightInd w:val="0"/>
        <w:spacing w:line="400" w:lineRule="exact"/>
        <w:ind w:firstLine="420" w:firstLineChars="200"/>
        <w:rPr>
          <w:rFonts w:ascii="宋体" w:hAnsi="宋体"/>
          <w:snapToGrid w:val="0"/>
          <w:kern w:val="0"/>
          <w:sz w:val="10"/>
          <w:szCs w:val="10"/>
        </w:rPr>
      </w:pPr>
      <w:r>
        <w:rPr>
          <w:rFonts w:ascii="宋体" w:hAnsi="宋体"/>
          <w:snapToGrid w:val="0"/>
          <w:kern w:val="0"/>
          <w:szCs w:val="21"/>
        </w:rPr>
        <w:t>2</w:t>
      </w:r>
      <w:r>
        <w:rPr>
          <w:rFonts w:hint="eastAsia" w:ascii="宋体" w:hAnsi="宋体"/>
          <w:snapToGrid w:val="0"/>
          <w:kern w:val="0"/>
          <w:szCs w:val="21"/>
        </w:rPr>
        <w:t xml:space="preserve">. </w:t>
      </w:r>
      <w:r>
        <w:rPr>
          <w:rFonts w:ascii="宋体" w:hAnsi="宋体"/>
          <w:snapToGrid w:val="0"/>
          <w:kern w:val="0"/>
          <w:szCs w:val="21"/>
        </w:rPr>
        <w:t>我方承诺</w:t>
      </w:r>
      <w:r>
        <w:rPr>
          <w:rFonts w:hint="eastAsia" w:ascii="宋体" w:hAnsi="宋体"/>
          <w:snapToGrid w:val="0"/>
          <w:kern w:val="0"/>
          <w:szCs w:val="21"/>
        </w:rPr>
        <w:t>响应招标文件规定的投标有效期，</w:t>
      </w:r>
      <w:r>
        <w:rPr>
          <w:rFonts w:ascii="宋体" w:hAnsi="宋体"/>
          <w:snapToGrid w:val="0"/>
          <w:kern w:val="0"/>
          <w:szCs w:val="21"/>
        </w:rPr>
        <w:t>在投标有效期内不修改、撤销投标文件。</w:t>
      </w:r>
    </w:p>
    <w:p>
      <w:pPr>
        <w:tabs>
          <w:tab w:val="left" w:pos="2730"/>
          <w:tab w:val="left" w:pos="7980"/>
        </w:tabs>
        <w:autoSpaceDE w:val="0"/>
        <w:autoSpaceDN w:val="0"/>
        <w:adjustRightInd w:val="0"/>
        <w:spacing w:line="400" w:lineRule="exact"/>
        <w:ind w:firstLine="420" w:firstLineChars="200"/>
        <w:rPr>
          <w:rFonts w:ascii="宋体" w:hAnsi="宋体"/>
          <w:snapToGrid w:val="0"/>
          <w:kern w:val="0"/>
          <w:sz w:val="10"/>
          <w:szCs w:val="10"/>
        </w:rPr>
      </w:pPr>
      <w:r>
        <w:rPr>
          <w:rFonts w:ascii="宋体" w:hAnsi="宋体"/>
          <w:snapToGrid w:val="0"/>
          <w:kern w:val="0"/>
          <w:szCs w:val="21"/>
        </w:rPr>
        <w:t>3</w:t>
      </w:r>
      <w:r>
        <w:rPr>
          <w:rFonts w:hint="eastAsia" w:ascii="宋体" w:hAnsi="宋体"/>
          <w:snapToGrid w:val="0"/>
          <w:kern w:val="0"/>
          <w:szCs w:val="21"/>
        </w:rPr>
        <w:t xml:space="preserve">. </w:t>
      </w:r>
      <w:r>
        <w:rPr>
          <w:rFonts w:ascii="宋体" w:hAnsi="宋体"/>
          <w:snapToGrid w:val="0"/>
          <w:kern w:val="0"/>
          <w:szCs w:val="21"/>
        </w:rPr>
        <w:t>随同本投标函提交投标保证金一份，金额为人民币（大写）</w:t>
      </w:r>
      <w:r>
        <w:rPr>
          <w:rFonts w:ascii="宋体" w:hAnsi="宋体"/>
          <w:snapToGrid w:val="0"/>
          <w:kern w:val="0"/>
          <w:szCs w:val="21"/>
          <w:u w:val="single"/>
        </w:rPr>
        <w:tab/>
      </w:r>
      <w:r>
        <w:rPr>
          <w:rFonts w:ascii="宋体" w:hAnsi="宋体"/>
          <w:snapToGrid w:val="0"/>
          <w:kern w:val="0"/>
          <w:szCs w:val="21"/>
        </w:rPr>
        <w:t>（¥</w:t>
      </w:r>
      <w:r>
        <w:rPr>
          <w:rFonts w:ascii="宋体" w:hAnsi="宋体"/>
          <w:snapToGrid w:val="0"/>
          <w:kern w:val="0"/>
          <w:szCs w:val="21"/>
          <w:u w:val="single"/>
        </w:rPr>
        <w:tab/>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投标保证金有效期</w:t>
      </w:r>
      <w:r>
        <w:rPr>
          <w:rFonts w:ascii="宋体" w:hAnsi="宋体"/>
          <w:snapToGrid w:val="0"/>
          <w:kern w:val="0"/>
          <w:szCs w:val="21"/>
        </w:rPr>
        <w:t>与</w:t>
      </w:r>
      <w:r>
        <w:rPr>
          <w:rFonts w:hint="eastAsia" w:ascii="宋体" w:hAnsi="宋体"/>
          <w:snapToGrid w:val="0"/>
          <w:kern w:val="0"/>
          <w:szCs w:val="21"/>
        </w:rPr>
        <w:t>投标有效期</w:t>
      </w:r>
      <w:r>
        <w:rPr>
          <w:rFonts w:ascii="宋体" w:hAnsi="宋体"/>
          <w:snapToGrid w:val="0"/>
          <w:kern w:val="0"/>
          <w:szCs w:val="21"/>
        </w:rPr>
        <w:t>一致，在此期间，若我方违反招投标有关法律、法规及本招标文件的相关规定，投标保证金的受益人为招标人。</w:t>
      </w:r>
    </w:p>
    <w:p>
      <w:pPr>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 xml:space="preserve">. </w:t>
      </w:r>
      <w:r>
        <w:rPr>
          <w:rFonts w:ascii="宋体" w:hAnsi="宋体"/>
          <w:snapToGrid w:val="0"/>
          <w:kern w:val="0"/>
          <w:szCs w:val="21"/>
        </w:rPr>
        <w:t>如我方中标：</w:t>
      </w:r>
    </w:p>
    <w:p>
      <w:pPr>
        <w:autoSpaceDE w:val="0"/>
        <w:autoSpaceDN w:val="0"/>
        <w:adjustRightInd w:val="0"/>
        <w:spacing w:line="400" w:lineRule="exact"/>
        <w:ind w:firstLine="420" w:firstLineChars="200"/>
        <w:rPr>
          <w:rFonts w:ascii="宋体" w:hAnsi="宋体"/>
          <w:snapToGrid w:val="0"/>
          <w:kern w:val="0"/>
          <w:sz w:val="10"/>
          <w:szCs w:val="10"/>
        </w:rPr>
      </w:pPr>
      <w:r>
        <w:rPr>
          <w:rFonts w:ascii="宋体" w:hAnsi="宋体"/>
          <w:snapToGrid w:val="0"/>
          <w:kern w:val="0"/>
          <w:szCs w:val="21"/>
        </w:rPr>
        <w:t>（1）我方承诺在收到中标通知书后，在中标通知书规定的期限内与你方签订合同。</w:t>
      </w:r>
    </w:p>
    <w:p>
      <w:pPr>
        <w:autoSpaceDE w:val="0"/>
        <w:autoSpaceDN w:val="0"/>
        <w:adjustRightInd w:val="0"/>
        <w:spacing w:line="400" w:lineRule="exact"/>
        <w:ind w:firstLine="420" w:firstLineChars="200"/>
        <w:rPr>
          <w:rFonts w:ascii="宋体" w:hAnsi="宋体"/>
          <w:snapToGrid w:val="0"/>
          <w:kern w:val="0"/>
          <w:sz w:val="10"/>
          <w:szCs w:val="10"/>
        </w:rPr>
      </w:pPr>
      <w:r>
        <w:rPr>
          <w:rFonts w:ascii="宋体" w:hAnsi="宋体"/>
          <w:snapToGrid w:val="0"/>
          <w:kern w:val="0"/>
          <w:szCs w:val="21"/>
        </w:rPr>
        <w:t>（2）随同本投标函递交的投标函附录属于合同文件的组成部分。</w:t>
      </w:r>
    </w:p>
    <w:p>
      <w:pPr>
        <w:autoSpaceDE w:val="0"/>
        <w:autoSpaceDN w:val="0"/>
        <w:adjustRightInd w:val="0"/>
        <w:spacing w:line="400" w:lineRule="exact"/>
        <w:ind w:firstLine="420" w:firstLineChars="200"/>
        <w:rPr>
          <w:rFonts w:ascii="宋体" w:hAnsi="宋体"/>
          <w:snapToGrid w:val="0"/>
          <w:kern w:val="0"/>
          <w:sz w:val="10"/>
          <w:szCs w:val="10"/>
        </w:rPr>
      </w:pPr>
      <w:r>
        <w:rPr>
          <w:rFonts w:ascii="宋体" w:hAnsi="宋体"/>
          <w:snapToGrid w:val="0"/>
          <w:kern w:val="0"/>
          <w:szCs w:val="21"/>
        </w:rPr>
        <w:t>（3）我方承诺按照招标文件规定向你方递交履约担保。</w:t>
      </w:r>
    </w:p>
    <w:p>
      <w:pPr>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（4）我方承诺在合同约定的期限内完成并移交全部合同工程。</w:t>
      </w:r>
    </w:p>
    <w:p>
      <w:pPr>
        <w:autoSpaceDE w:val="0"/>
        <w:autoSpaceDN w:val="0"/>
        <w:adjustRightInd w:val="0"/>
        <w:spacing w:line="400" w:lineRule="exact"/>
        <w:ind w:firstLine="420" w:firstLineChars="200"/>
        <w:rPr>
          <w:rFonts w:ascii="宋体" w:hAnsi="宋体"/>
          <w:snapToGrid w:val="0"/>
          <w:kern w:val="0"/>
          <w:sz w:val="10"/>
          <w:szCs w:val="10"/>
        </w:rPr>
      </w:pPr>
      <w:r>
        <w:rPr>
          <w:rFonts w:hint="eastAsia" w:ascii="宋体" w:hAnsi="宋体"/>
          <w:snapToGrid w:val="0"/>
          <w:kern w:val="0"/>
          <w:szCs w:val="21"/>
        </w:rPr>
        <w:t>（5）我方承诺以不低于招标文件第七章 技术标准和要求中所列的技术指标和参数要求完成全部合同工程。</w:t>
      </w:r>
    </w:p>
    <w:p>
      <w:pPr>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 xml:space="preserve">. </w:t>
      </w:r>
      <w:r>
        <w:rPr>
          <w:rFonts w:ascii="宋体" w:hAnsi="宋体"/>
          <w:snapToGrid w:val="0"/>
          <w:kern w:val="0"/>
          <w:szCs w:val="21"/>
        </w:rPr>
        <w:t>我方</w:t>
      </w:r>
      <w:r>
        <w:rPr>
          <w:rFonts w:ascii="宋体" w:hAnsi="宋体"/>
          <w:snapToGrid w:val="0"/>
          <w:spacing w:val="-2"/>
          <w:kern w:val="0"/>
          <w:szCs w:val="21"/>
        </w:rPr>
        <w:t>在此声明，所递交的投标文件及有关资料内容完整、真实和准确，且不存在第二章“投标人</w:t>
      </w:r>
      <w:r>
        <w:rPr>
          <w:rFonts w:ascii="宋体" w:hAnsi="宋体"/>
          <w:snapToGrid w:val="0"/>
          <w:kern w:val="0"/>
          <w:szCs w:val="21"/>
        </w:rPr>
        <w:t>须知”第 1.4.3 项规定的任何一种情形。同时我方承诺接受招标文件及附件、</w:t>
      </w:r>
      <w:r>
        <w:rPr>
          <w:rFonts w:hint="eastAsia" w:ascii="宋体" w:hAnsi="宋体"/>
          <w:snapToGrid w:val="0"/>
          <w:kern w:val="0"/>
          <w:szCs w:val="21"/>
        </w:rPr>
        <w:t>澄清</w:t>
      </w:r>
      <w:r>
        <w:rPr>
          <w:rFonts w:ascii="宋体" w:hAnsi="宋体"/>
          <w:snapToGrid w:val="0"/>
          <w:kern w:val="0"/>
          <w:szCs w:val="21"/>
        </w:rPr>
        <w:t>及</w:t>
      </w:r>
      <w:r>
        <w:rPr>
          <w:rFonts w:hint="eastAsia" w:ascii="宋体" w:hAnsi="宋体"/>
          <w:snapToGrid w:val="0"/>
          <w:kern w:val="0"/>
          <w:szCs w:val="21"/>
        </w:rPr>
        <w:t>修改</w:t>
      </w:r>
      <w:r>
        <w:rPr>
          <w:rFonts w:ascii="宋体" w:hAnsi="宋体"/>
          <w:snapToGrid w:val="0"/>
          <w:kern w:val="0"/>
          <w:szCs w:val="21"/>
        </w:rPr>
        <w:t>通知中所有的内容。</w:t>
      </w:r>
    </w:p>
    <w:p>
      <w:pPr>
        <w:tabs>
          <w:tab w:val="left" w:pos="5985"/>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6</w:t>
      </w:r>
      <w:r>
        <w:rPr>
          <w:rFonts w:hint="eastAsia" w:ascii="宋体" w:hAnsi="宋体"/>
          <w:snapToGrid w:val="0"/>
          <w:kern w:val="0"/>
          <w:szCs w:val="21"/>
        </w:rPr>
        <w:t xml:space="preserve">. </w:t>
      </w: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（其他补充说明）</w:t>
      </w:r>
      <w:r>
        <w:rPr>
          <w:rFonts w:ascii="宋体" w:hAnsi="宋体"/>
          <w:snapToGrid w:val="0"/>
          <w:kern w:val="0"/>
          <w:szCs w:val="21"/>
        </w:rPr>
        <w:t>。</w:t>
      </w:r>
    </w:p>
    <w:p>
      <w:pPr>
        <w:tabs>
          <w:tab w:val="left" w:pos="7140"/>
          <w:tab w:val="left" w:pos="7560"/>
          <w:tab w:val="left" w:pos="830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投  标  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 xml:space="preserve">（盖单位法人章） </w:t>
      </w:r>
    </w:p>
    <w:p>
      <w:pPr>
        <w:tabs>
          <w:tab w:val="left" w:pos="7140"/>
          <w:tab w:val="left" w:pos="7560"/>
          <w:tab w:val="left" w:pos="830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法定代表人</w:t>
      </w:r>
      <w:r>
        <w:rPr>
          <w:rFonts w:hint="eastAsia" w:ascii="宋体" w:hAnsi="宋体"/>
          <w:snapToGrid w:val="0"/>
          <w:kern w:val="0"/>
          <w:szCs w:val="21"/>
        </w:rPr>
        <w:t>或其委托代理人</w:t>
      </w:r>
      <w:r>
        <w:rPr>
          <w:rFonts w:ascii="宋体" w:hAnsi="宋体"/>
          <w:snapToGrid w:val="0"/>
          <w:kern w:val="0"/>
          <w:szCs w:val="21"/>
        </w:rPr>
        <w:t>：</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或盖章）</w:t>
      </w:r>
    </w:p>
    <w:p>
      <w:pPr>
        <w:tabs>
          <w:tab w:val="left" w:pos="7035"/>
          <w:tab w:val="left" w:pos="7560"/>
          <w:tab w:val="left" w:pos="830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地</w:t>
      </w:r>
      <w:r>
        <w:rPr>
          <w:rFonts w:hint="eastAsia" w:ascii="宋体" w:hAnsi="宋体"/>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pPr>
        <w:tabs>
          <w:tab w:val="left" w:pos="830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网</w:t>
      </w:r>
      <w:r>
        <w:rPr>
          <w:rFonts w:hint="eastAsia" w:ascii="宋体" w:hAnsi="宋体"/>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pPr>
        <w:tabs>
          <w:tab w:val="left" w:pos="8300"/>
        </w:tabs>
        <w:autoSpaceDE w:val="0"/>
        <w:autoSpaceDN w:val="0"/>
        <w:adjustRightInd w:val="0"/>
        <w:spacing w:line="400" w:lineRule="exact"/>
        <w:ind w:firstLine="420" w:firstLineChars="200"/>
        <w:rPr>
          <w:rFonts w:ascii="宋体" w:hAnsi="宋体"/>
          <w:snapToGrid w:val="0"/>
          <w:kern w:val="0"/>
          <w:szCs w:val="21"/>
        </w:rPr>
      </w:pPr>
      <w:r>
        <w:rPr>
          <w:rFonts w:hint="eastAsia" w:ascii="宋体" w:hAnsi="宋体"/>
          <w:snapToGrid w:val="0"/>
          <w:kern w:val="0"/>
          <w:szCs w:val="21"/>
        </w:rPr>
        <w:t>单位电话（座机）：</w:t>
      </w:r>
      <w:r>
        <w:rPr>
          <w:rFonts w:hint="eastAsia" w:ascii="宋体" w:hAnsi="宋体"/>
          <w:snapToGrid w:val="0"/>
          <w:kern w:val="0"/>
          <w:szCs w:val="21"/>
          <w:u w:val="single"/>
        </w:rPr>
        <w:t xml:space="preserve">                      </w:t>
      </w:r>
      <w:r>
        <w:rPr>
          <w:rFonts w:hint="eastAsia" w:ascii="宋体" w:hAnsi="宋体"/>
          <w:snapToGrid w:val="0"/>
          <w:kern w:val="0"/>
          <w:szCs w:val="21"/>
        </w:rPr>
        <w:t>委托代理人电话（手机）：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p>
    <w:p>
      <w:pPr>
        <w:tabs>
          <w:tab w:val="left" w:pos="8300"/>
        </w:tabs>
        <w:autoSpaceDE w:val="0"/>
        <w:autoSpaceDN w:val="0"/>
        <w:adjustRightInd w:val="0"/>
        <w:spacing w:line="400" w:lineRule="exact"/>
        <w:ind w:firstLine="420" w:firstLineChars="200"/>
        <w:rPr>
          <w:rFonts w:ascii="宋体" w:hAnsi="宋体"/>
          <w:snapToGrid w:val="0"/>
          <w:kern w:val="0"/>
          <w:szCs w:val="21"/>
        </w:rPr>
      </w:pPr>
      <w:r>
        <w:rPr>
          <w:rFonts w:ascii="宋体" w:hAnsi="宋体"/>
          <w:snapToGrid w:val="0"/>
          <w:kern w:val="0"/>
          <w:szCs w:val="21"/>
        </w:rPr>
        <w:t>传</w:t>
      </w:r>
      <w:r>
        <w:rPr>
          <w:rFonts w:hint="eastAsia" w:ascii="宋体" w:hAnsi="宋体"/>
          <w:snapToGrid w:val="0"/>
          <w:kern w:val="0"/>
          <w:szCs w:val="21"/>
        </w:rPr>
        <w:t xml:space="preserve">    </w:t>
      </w:r>
      <w:r>
        <w:rPr>
          <w:rFonts w:ascii="宋体" w:hAnsi="宋体"/>
          <w:snapToGrid w:val="0"/>
          <w:kern w:val="0"/>
          <w:szCs w:val="21"/>
        </w:rPr>
        <w:t>真：</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pPr>
        <w:tabs>
          <w:tab w:val="left" w:pos="8300"/>
        </w:tabs>
        <w:autoSpaceDE w:val="0"/>
        <w:autoSpaceDN w:val="0"/>
        <w:adjustRightInd w:val="0"/>
        <w:spacing w:line="400" w:lineRule="exact"/>
        <w:ind w:firstLine="420" w:firstLineChars="200"/>
        <w:rPr>
          <w:rFonts w:ascii="宋体" w:hAnsi="宋体"/>
          <w:snapToGrid w:val="0"/>
          <w:kern w:val="0"/>
          <w:szCs w:val="21"/>
          <w:u w:val="single"/>
        </w:rPr>
      </w:pPr>
      <w:r>
        <w:rPr>
          <w:rFonts w:ascii="宋体" w:hAnsi="宋体"/>
          <w:snapToGrid w:val="0"/>
          <w:kern w:val="0"/>
          <w:szCs w:val="21"/>
        </w:rPr>
        <w:t>邮政编码：</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pPr>
        <w:tabs>
          <w:tab w:val="left" w:pos="8300"/>
        </w:tabs>
        <w:autoSpaceDE w:val="0"/>
        <w:autoSpaceDN w:val="0"/>
        <w:adjustRightInd w:val="0"/>
        <w:spacing w:line="400" w:lineRule="exact"/>
        <w:ind w:firstLine="400" w:firstLineChars="200"/>
        <w:rPr>
          <w:rFonts w:ascii="宋体" w:hAnsi="宋体"/>
          <w:snapToGrid w:val="0"/>
          <w:kern w:val="0"/>
          <w:sz w:val="20"/>
          <w:szCs w:val="20"/>
        </w:rPr>
      </w:pPr>
    </w:p>
    <w:p>
      <w:pPr>
        <w:tabs>
          <w:tab w:val="left" w:pos="8300"/>
        </w:tabs>
        <w:autoSpaceDE w:val="0"/>
        <w:autoSpaceDN w:val="0"/>
        <w:adjustRightInd w:val="0"/>
        <w:spacing w:line="400" w:lineRule="exact"/>
        <w:ind w:firstLine="420" w:firstLineChars="200"/>
        <w:jc w:val="right"/>
        <w:rPr>
          <w:rFonts w:ascii="宋体" w:hAnsi="宋体"/>
          <w:kern w:val="0"/>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pPr>
        <w:tabs>
          <w:tab w:val="left" w:pos="8300"/>
        </w:tabs>
        <w:autoSpaceDE w:val="0"/>
        <w:autoSpaceDN w:val="0"/>
        <w:adjustRightInd w:val="0"/>
        <w:spacing w:line="400" w:lineRule="exact"/>
        <w:ind w:firstLine="420" w:firstLineChars="200"/>
        <w:jc w:val="right"/>
        <w:rPr>
          <w:rFonts w:ascii="宋体" w:hAnsi="宋体"/>
          <w:kern w:val="0"/>
          <w:szCs w:val="21"/>
        </w:rPr>
      </w:pPr>
    </w:p>
    <w:p>
      <w:pPr>
        <w:pStyle w:val="5"/>
        <w:spacing w:before="0" w:after="0" w:line="240" w:lineRule="auto"/>
        <w:jc w:val="center"/>
        <w:outlineLvl w:val="0"/>
        <w:rPr>
          <w:rFonts w:ascii="宋体" w:hAnsi="宋体"/>
          <w:snapToGrid w:val="0"/>
          <w:kern w:val="0"/>
          <w:szCs w:val="21"/>
        </w:rPr>
      </w:pPr>
      <w:bookmarkStart w:id="2116" w:name="_Toc287607868"/>
      <w:bookmarkStart w:id="2117" w:name="_Toc430530531"/>
      <w:bookmarkStart w:id="2118" w:name="_Toc287620815"/>
      <w:bookmarkStart w:id="2119" w:name="_Toc277082644"/>
      <w:bookmarkStart w:id="2120" w:name="_Toc224103496"/>
      <w:r>
        <w:rPr>
          <w:rFonts w:ascii="宋体" w:hAnsi="宋体"/>
          <w:sz w:val="28"/>
        </w:rPr>
        <w:br w:type="page"/>
      </w:r>
      <w:bookmarkStart w:id="2121" w:name="_Toc509218855"/>
      <w:bookmarkStart w:id="2122" w:name="_Toc25364"/>
      <w:bookmarkStart w:id="2123" w:name="_Toc19142"/>
      <w:bookmarkStart w:id="2124" w:name="_Toc28772"/>
      <w:bookmarkStart w:id="2125" w:name="_Toc534185832"/>
      <w:r>
        <w:rPr>
          <w:rFonts w:ascii="宋体" w:hAnsi="宋体"/>
          <w:b w:val="0"/>
          <w:bCs w:val="0"/>
        </w:rPr>
        <w:t>（二）投标函附录</w:t>
      </w:r>
      <w:bookmarkEnd w:id="2116"/>
      <w:bookmarkEnd w:id="2117"/>
      <w:bookmarkEnd w:id="2118"/>
      <w:bookmarkEnd w:id="2119"/>
      <w:bookmarkEnd w:id="2120"/>
      <w:bookmarkEnd w:id="2121"/>
      <w:bookmarkEnd w:id="2122"/>
      <w:bookmarkEnd w:id="2123"/>
      <w:bookmarkEnd w:id="2124"/>
      <w:bookmarkEnd w:id="2125"/>
    </w:p>
    <w:tbl>
      <w:tblPr>
        <w:tblStyle w:val="54"/>
        <w:tblW w:w="9469"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720"/>
        <w:gridCol w:w="2582"/>
        <w:gridCol w:w="2388"/>
        <w:gridCol w:w="2987"/>
        <w:gridCol w:w="79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序号</w:t>
            </w:r>
          </w:p>
        </w:tc>
        <w:tc>
          <w:tcPr>
            <w:tcW w:w="2582"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条款名称</w:t>
            </w:r>
          </w:p>
        </w:tc>
        <w:tc>
          <w:tcPr>
            <w:tcW w:w="2388"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合同条款号</w:t>
            </w:r>
          </w:p>
        </w:tc>
        <w:tc>
          <w:tcPr>
            <w:tcW w:w="2987"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约定内容</w:t>
            </w:r>
          </w:p>
        </w:tc>
        <w:tc>
          <w:tcPr>
            <w:tcW w:w="792"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autoSpaceDE w:val="0"/>
              <w:autoSpaceDN w:val="0"/>
              <w:adjustRightInd w:val="0"/>
              <w:jc w:val="center"/>
              <w:rPr>
                <w:rFonts w:ascii="宋体" w:hAnsi="宋体"/>
                <w:snapToGrid w:val="0"/>
                <w:kern w:val="0"/>
                <w:szCs w:val="21"/>
              </w:rPr>
            </w:pPr>
            <w:r>
              <w:rPr>
                <w:rFonts w:hint="eastAsia" w:ascii="宋体" w:hAnsi="宋体"/>
                <w:snapToGrid w:val="0"/>
                <w:kern w:val="0"/>
                <w:szCs w:val="21"/>
              </w:rPr>
              <w:t>1</w:t>
            </w:r>
          </w:p>
        </w:tc>
        <w:tc>
          <w:tcPr>
            <w:tcW w:w="2582"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工期</w:t>
            </w:r>
          </w:p>
        </w:tc>
        <w:tc>
          <w:tcPr>
            <w:tcW w:w="2388" w:type="dxa"/>
            <w:vAlign w:val="center"/>
          </w:tcPr>
          <w:p>
            <w:pPr>
              <w:tabs>
                <w:tab w:val="left" w:pos="2051"/>
              </w:tabs>
              <w:autoSpaceDE w:val="0"/>
              <w:autoSpaceDN w:val="0"/>
              <w:adjustRightInd w:val="0"/>
              <w:jc w:val="center"/>
              <w:rPr>
                <w:rFonts w:ascii="宋体" w:hAnsi="宋体"/>
                <w:snapToGrid w:val="0"/>
                <w:kern w:val="0"/>
                <w:szCs w:val="21"/>
              </w:rPr>
            </w:pPr>
            <w:r>
              <w:rPr>
                <w:rFonts w:hint="eastAsia" w:ascii="宋体" w:hAnsi="宋体"/>
                <w:snapToGrid w:val="0"/>
                <w:kern w:val="0"/>
                <w:szCs w:val="21"/>
              </w:rPr>
              <w:t>合同协议书第三条</w:t>
            </w:r>
          </w:p>
        </w:tc>
        <w:tc>
          <w:tcPr>
            <w:tcW w:w="2987" w:type="dxa"/>
            <w:vAlign w:val="center"/>
          </w:tcPr>
          <w:p>
            <w:pPr>
              <w:tabs>
                <w:tab w:val="left" w:pos="1560"/>
              </w:tabs>
              <w:autoSpaceDE w:val="0"/>
              <w:autoSpaceDN w:val="0"/>
              <w:adjustRightInd w:val="0"/>
              <w:jc w:val="center"/>
              <w:rPr>
                <w:rFonts w:ascii="宋体" w:hAnsi="宋体"/>
                <w:snapToGrid w:val="0"/>
                <w:kern w:val="0"/>
                <w:szCs w:val="21"/>
              </w:rPr>
            </w:pPr>
            <w:r>
              <w:rPr>
                <w:rFonts w:hint="eastAsia" w:ascii="宋体" w:hAnsi="宋体"/>
                <w:snapToGrid w:val="0"/>
                <w:kern w:val="0"/>
                <w:szCs w:val="21"/>
              </w:rPr>
              <w:t>工期：</w:t>
            </w:r>
            <w:r>
              <w:rPr>
                <w:rFonts w:hint="eastAsia" w:ascii="宋体" w:hAnsi="宋体"/>
                <w:snapToGrid w:val="0"/>
                <w:kern w:val="0"/>
                <w:szCs w:val="21"/>
                <w:u w:val="single"/>
              </w:rPr>
              <w:t xml:space="preserve">     </w:t>
            </w:r>
          </w:p>
        </w:tc>
        <w:tc>
          <w:tcPr>
            <w:tcW w:w="792" w:type="dxa"/>
            <w:vAlign w:val="center"/>
          </w:tcPr>
          <w:p>
            <w:pPr>
              <w:autoSpaceDE w:val="0"/>
              <w:autoSpaceDN w:val="0"/>
              <w:adjustRightInd w:val="0"/>
              <w:jc w:val="center"/>
              <w:rPr>
                <w:rFonts w:ascii="宋体" w:hAnsi="宋体"/>
                <w:snapToGrid w:val="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autoSpaceDE w:val="0"/>
              <w:autoSpaceDN w:val="0"/>
              <w:adjustRightInd w:val="0"/>
              <w:jc w:val="center"/>
              <w:rPr>
                <w:rFonts w:ascii="宋体" w:hAnsi="宋体"/>
                <w:snapToGrid w:val="0"/>
                <w:kern w:val="0"/>
                <w:szCs w:val="21"/>
              </w:rPr>
            </w:pPr>
            <w:r>
              <w:rPr>
                <w:rFonts w:hint="eastAsia" w:ascii="宋体" w:hAnsi="宋体"/>
                <w:snapToGrid w:val="0"/>
                <w:kern w:val="0"/>
                <w:szCs w:val="21"/>
              </w:rPr>
              <w:t>2</w:t>
            </w:r>
          </w:p>
        </w:tc>
        <w:tc>
          <w:tcPr>
            <w:tcW w:w="2582" w:type="dxa"/>
            <w:vAlign w:val="center"/>
          </w:tcPr>
          <w:p>
            <w:pPr>
              <w:autoSpaceDE w:val="0"/>
              <w:autoSpaceDN w:val="0"/>
              <w:adjustRightInd w:val="0"/>
              <w:jc w:val="center"/>
              <w:rPr>
                <w:rFonts w:ascii="宋体" w:hAnsi="宋体"/>
                <w:snapToGrid w:val="0"/>
                <w:kern w:val="0"/>
                <w:szCs w:val="21"/>
              </w:rPr>
            </w:pPr>
            <w:r>
              <w:rPr>
                <w:rFonts w:hint="eastAsia" w:ascii="宋体" w:hAnsi="宋体"/>
                <w:snapToGrid w:val="0"/>
                <w:kern w:val="0"/>
                <w:szCs w:val="21"/>
              </w:rPr>
              <w:t>工程质量</w:t>
            </w:r>
          </w:p>
        </w:tc>
        <w:tc>
          <w:tcPr>
            <w:tcW w:w="2388" w:type="dxa"/>
            <w:vAlign w:val="center"/>
          </w:tcPr>
          <w:p>
            <w:pPr>
              <w:tabs>
                <w:tab w:val="left" w:pos="2051"/>
              </w:tabs>
              <w:autoSpaceDE w:val="0"/>
              <w:autoSpaceDN w:val="0"/>
              <w:adjustRightInd w:val="0"/>
              <w:jc w:val="center"/>
              <w:rPr>
                <w:rFonts w:ascii="宋体" w:hAnsi="宋体"/>
                <w:snapToGrid w:val="0"/>
                <w:kern w:val="0"/>
                <w:szCs w:val="21"/>
              </w:rPr>
            </w:pPr>
            <w:r>
              <w:rPr>
                <w:rFonts w:hint="eastAsia" w:ascii="宋体" w:hAnsi="宋体"/>
                <w:snapToGrid w:val="0"/>
                <w:kern w:val="0"/>
                <w:szCs w:val="21"/>
              </w:rPr>
              <w:t>合同协议书第四条</w:t>
            </w:r>
          </w:p>
        </w:tc>
        <w:tc>
          <w:tcPr>
            <w:tcW w:w="2987" w:type="dxa"/>
            <w:vAlign w:val="center"/>
          </w:tcPr>
          <w:p>
            <w:pPr>
              <w:autoSpaceDE w:val="0"/>
              <w:autoSpaceDN w:val="0"/>
              <w:adjustRightInd w:val="0"/>
              <w:jc w:val="center"/>
              <w:rPr>
                <w:rFonts w:ascii="宋体" w:hAnsi="宋体"/>
                <w:snapToGrid w:val="0"/>
                <w:kern w:val="0"/>
                <w:szCs w:val="21"/>
                <w:u w:val="single"/>
              </w:rPr>
            </w:pPr>
            <w:r>
              <w:rPr>
                <w:rFonts w:hint="eastAsia" w:ascii="宋体" w:hAnsi="宋体"/>
                <w:snapToGrid w:val="0"/>
                <w:kern w:val="0"/>
                <w:szCs w:val="21"/>
                <w:u w:val="single"/>
              </w:rPr>
              <w:t xml:space="preserve">       </w:t>
            </w:r>
          </w:p>
        </w:tc>
        <w:tc>
          <w:tcPr>
            <w:tcW w:w="792" w:type="dxa"/>
            <w:vAlign w:val="center"/>
          </w:tcPr>
          <w:p>
            <w:pPr>
              <w:autoSpaceDE w:val="0"/>
              <w:autoSpaceDN w:val="0"/>
              <w:adjustRightInd w:val="0"/>
              <w:jc w:val="center"/>
              <w:rPr>
                <w:rFonts w:ascii="宋体" w:hAnsi="宋体"/>
                <w:snapToGrid w:val="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autoSpaceDE w:val="0"/>
              <w:autoSpaceDN w:val="0"/>
              <w:adjustRightInd w:val="0"/>
              <w:jc w:val="center"/>
              <w:rPr>
                <w:rFonts w:ascii="宋体" w:hAnsi="宋体"/>
                <w:snapToGrid w:val="0"/>
                <w:kern w:val="0"/>
                <w:szCs w:val="21"/>
              </w:rPr>
            </w:pPr>
            <w:r>
              <w:rPr>
                <w:rFonts w:hint="eastAsia" w:ascii="宋体" w:hAnsi="宋体"/>
                <w:snapToGrid w:val="0"/>
                <w:kern w:val="0"/>
                <w:szCs w:val="21"/>
              </w:rPr>
              <w:t>3</w:t>
            </w:r>
          </w:p>
        </w:tc>
        <w:tc>
          <w:tcPr>
            <w:tcW w:w="2582"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388"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987" w:type="dxa"/>
            <w:vAlign w:val="center"/>
          </w:tcPr>
          <w:p>
            <w:pPr>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792" w:type="dxa"/>
            <w:vAlign w:val="center"/>
          </w:tcPr>
          <w:p>
            <w:pPr>
              <w:autoSpaceDE w:val="0"/>
              <w:autoSpaceDN w:val="0"/>
              <w:adjustRightInd w:val="0"/>
              <w:jc w:val="center"/>
              <w:rPr>
                <w:rFonts w:ascii="宋体" w:hAnsi="宋体"/>
                <w:snapToGrid w:val="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582"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388"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987"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792" w:type="dxa"/>
            <w:vAlign w:val="center"/>
          </w:tcPr>
          <w:p>
            <w:pPr>
              <w:autoSpaceDE w:val="0"/>
              <w:autoSpaceDN w:val="0"/>
              <w:adjustRightInd w:val="0"/>
              <w:jc w:val="center"/>
              <w:rPr>
                <w:rFonts w:ascii="宋体" w:hAnsi="宋体"/>
                <w:snapToGrid w:val="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0" w:hRule="exact"/>
        </w:trPr>
        <w:tc>
          <w:tcPr>
            <w:tcW w:w="720"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582"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388"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2987" w:type="dxa"/>
            <w:vAlign w:val="center"/>
          </w:tcPr>
          <w:p>
            <w:pPr>
              <w:tabs>
                <w:tab w:val="left" w:pos="2051"/>
              </w:tabs>
              <w:autoSpaceDE w:val="0"/>
              <w:autoSpaceDN w:val="0"/>
              <w:adjustRightInd w:val="0"/>
              <w:jc w:val="center"/>
              <w:rPr>
                <w:rFonts w:ascii="宋体" w:hAnsi="宋体"/>
                <w:snapToGrid w:val="0"/>
                <w:kern w:val="0"/>
                <w:szCs w:val="21"/>
              </w:rPr>
            </w:pPr>
            <w:r>
              <w:rPr>
                <w:rFonts w:ascii="宋体" w:hAnsi="宋体"/>
                <w:snapToGrid w:val="0"/>
                <w:kern w:val="0"/>
                <w:szCs w:val="21"/>
              </w:rPr>
              <w:t>……</w:t>
            </w:r>
          </w:p>
        </w:tc>
        <w:tc>
          <w:tcPr>
            <w:tcW w:w="792" w:type="dxa"/>
            <w:vAlign w:val="center"/>
          </w:tcPr>
          <w:p>
            <w:pPr>
              <w:autoSpaceDE w:val="0"/>
              <w:autoSpaceDN w:val="0"/>
              <w:adjustRightInd w:val="0"/>
              <w:jc w:val="center"/>
              <w:rPr>
                <w:rFonts w:ascii="宋体" w:hAnsi="宋体"/>
                <w:snapToGrid w:val="0"/>
                <w:kern w:val="0"/>
                <w:szCs w:val="21"/>
              </w:rPr>
            </w:pPr>
          </w:p>
        </w:tc>
      </w:tr>
    </w:tbl>
    <w:p>
      <w:pPr>
        <w:spacing w:line="360" w:lineRule="auto"/>
        <w:rPr>
          <w:rFonts w:ascii="宋体" w:hAnsi="宋体"/>
          <w:snapToGrid w:val="0"/>
          <w:w w:val="99"/>
        </w:rPr>
      </w:pPr>
    </w:p>
    <w:p>
      <w:pPr>
        <w:spacing w:line="360" w:lineRule="auto"/>
        <w:rPr>
          <w:rFonts w:ascii="宋体" w:hAnsi="宋体"/>
          <w:snapToGrid w:val="0"/>
          <w:kern w:val="0"/>
          <w:sz w:val="32"/>
          <w:szCs w:val="32"/>
        </w:rPr>
      </w:pPr>
    </w:p>
    <w:p>
      <w:pPr>
        <w:spacing w:line="360" w:lineRule="auto"/>
        <w:rPr>
          <w:rFonts w:ascii="宋体" w:hAnsi="宋体"/>
          <w:snapToGrid w:val="0"/>
        </w:rPr>
      </w:pPr>
    </w:p>
    <w:p>
      <w:pPr>
        <w:tabs>
          <w:tab w:val="left" w:pos="7140"/>
          <w:tab w:val="left" w:pos="7560"/>
          <w:tab w:val="left" w:pos="8300"/>
        </w:tabs>
        <w:autoSpaceDE w:val="0"/>
        <w:autoSpaceDN w:val="0"/>
        <w:adjustRightInd w:val="0"/>
        <w:spacing w:line="360" w:lineRule="auto"/>
        <w:ind w:right="210" w:firstLine="2396" w:firstLineChars="1141"/>
        <w:rPr>
          <w:rFonts w:ascii="宋体" w:hAnsi="宋体"/>
          <w:snapToGrid w:val="0"/>
          <w:kern w:val="0"/>
          <w:szCs w:val="21"/>
        </w:rPr>
      </w:pPr>
      <w:r>
        <w:rPr>
          <w:rFonts w:ascii="宋体" w:hAnsi="宋体"/>
          <w:snapToGrid w:val="0"/>
          <w:kern w:val="0"/>
          <w:szCs w:val="21"/>
        </w:rPr>
        <w:t>投  标  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 xml:space="preserve">（盖单位法人章） </w:t>
      </w:r>
    </w:p>
    <w:p>
      <w:pPr>
        <w:tabs>
          <w:tab w:val="left" w:pos="7140"/>
          <w:tab w:val="left" w:pos="7560"/>
          <w:tab w:val="left" w:pos="8300"/>
        </w:tabs>
        <w:autoSpaceDE w:val="0"/>
        <w:autoSpaceDN w:val="0"/>
        <w:adjustRightInd w:val="0"/>
        <w:spacing w:line="360" w:lineRule="auto"/>
        <w:ind w:right="210" w:firstLine="1984" w:firstLineChars="945"/>
        <w:rPr>
          <w:rFonts w:ascii="宋体" w:hAnsi="宋体"/>
          <w:snapToGrid w:val="0"/>
          <w:kern w:val="0"/>
          <w:szCs w:val="21"/>
        </w:rPr>
      </w:pPr>
      <w:r>
        <w:rPr>
          <w:rFonts w:hint="eastAsia" w:ascii="宋体" w:hAnsi="宋体"/>
          <w:snapToGrid w:val="0"/>
          <w:kern w:val="0"/>
          <w:szCs w:val="21"/>
        </w:rPr>
        <w:t xml:space="preserve">   </w:t>
      </w:r>
    </w:p>
    <w:p>
      <w:pPr>
        <w:tabs>
          <w:tab w:val="left" w:pos="7140"/>
          <w:tab w:val="left" w:pos="7560"/>
          <w:tab w:val="left" w:pos="8300"/>
        </w:tabs>
        <w:autoSpaceDE w:val="0"/>
        <w:autoSpaceDN w:val="0"/>
        <w:adjustRightInd w:val="0"/>
        <w:spacing w:line="360" w:lineRule="auto"/>
        <w:ind w:right="210" w:firstLine="2415" w:firstLineChars="1150"/>
        <w:rPr>
          <w:rFonts w:ascii="宋体" w:hAnsi="宋体"/>
          <w:snapToGrid w:val="0"/>
          <w:kern w:val="0"/>
          <w:szCs w:val="21"/>
        </w:rPr>
      </w:pPr>
      <w:r>
        <w:rPr>
          <w:rFonts w:ascii="宋体" w:hAnsi="宋体"/>
          <w:snapToGrid w:val="0"/>
          <w:kern w:val="0"/>
          <w:szCs w:val="21"/>
        </w:rPr>
        <w:t>法定代表人或其委托代理人：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 xml:space="preserve">或盖章） </w:t>
      </w:r>
    </w:p>
    <w:p>
      <w:pPr>
        <w:tabs>
          <w:tab w:val="left" w:pos="7140"/>
          <w:tab w:val="left" w:pos="7560"/>
          <w:tab w:val="left" w:pos="8300"/>
        </w:tabs>
        <w:autoSpaceDE w:val="0"/>
        <w:autoSpaceDN w:val="0"/>
        <w:adjustRightInd w:val="0"/>
        <w:spacing w:line="360" w:lineRule="auto"/>
        <w:ind w:right="210" w:firstLine="1995" w:firstLineChars="950"/>
        <w:rPr>
          <w:rFonts w:ascii="宋体" w:hAnsi="宋体"/>
          <w:snapToGrid w:val="0"/>
          <w:kern w:val="0"/>
          <w:szCs w:val="21"/>
        </w:rPr>
      </w:pPr>
    </w:p>
    <w:p>
      <w:pPr>
        <w:pStyle w:val="5"/>
        <w:spacing w:before="0" w:after="0" w:line="240" w:lineRule="auto"/>
        <w:jc w:val="center"/>
        <w:outlineLvl w:val="0"/>
        <w:rPr>
          <w:rFonts w:ascii="宋体" w:hAnsi="宋体"/>
          <w:snapToGrid w:val="0"/>
          <w:kern w:val="0"/>
          <w:szCs w:val="21"/>
        </w:rPr>
      </w:pPr>
      <w:r>
        <w:rPr>
          <w:rFonts w:ascii="宋体" w:hAnsi="宋体"/>
          <w:snapToGrid w:val="0"/>
        </w:rPr>
        <w:br w:type="page"/>
      </w:r>
      <w:bookmarkStart w:id="2126" w:name="_Toc287620816"/>
      <w:bookmarkStart w:id="2127" w:name="_Toc224103497"/>
      <w:bookmarkStart w:id="2128" w:name="_Toc28164"/>
      <w:bookmarkStart w:id="2129" w:name="_Toc287607869"/>
      <w:bookmarkStart w:id="2130" w:name="_Toc430530532"/>
      <w:bookmarkStart w:id="2131" w:name="_Toc16333"/>
      <w:bookmarkStart w:id="2132" w:name="_Toc277082645"/>
      <w:bookmarkStart w:id="2133" w:name="_Toc3731"/>
      <w:r>
        <w:rPr>
          <w:rFonts w:ascii="宋体" w:hAnsi="宋体"/>
          <w:b w:val="0"/>
          <w:bCs w:val="0"/>
        </w:rPr>
        <w:t>（三）</w:t>
      </w:r>
      <w:r>
        <w:rPr>
          <w:rFonts w:hint="eastAsia" w:ascii="宋体" w:hAnsi="宋体"/>
          <w:b w:val="0"/>
          <w:bCs w:val="0"/>
        </w:rPr>
        <w:t>法定代表人身份证明或附有法定代表人身份证明的授权委托书</w:t>
      </w:r>
      <w:bookmarkEnd w:id="2126"/>
      <w:bookmarkEnd w:id="2127"/>
      <w:bookmarkEnd w:id="2128"/>
      <w:bookmarkEnd w:id="2129"/>
      <w:bookmarkEnd w:id="2130"/>
      <w:bookmarkEnd w:id="2131"/>
      <w:bookmarkEnd w:id="2132"/>
      <w:bookmarkEnd w:id="2133"/>
    </w:p>
    <w:p>
      <w:pPr>
        <w:spacing w:line="480" w:lineRule="auto"/>
        <w:jc w:val="center"/>
        <w:outlineLvl w:val="1"/>
        <w:rPr>
          <w:rFonts w:ascii="宋体" w:hAnsi="宋体"/>
          <w:sz w:val="28"/>
        </w:rPr>
      </w:pPr>
      <w:bookmarkStart w:id="2134" w:name="_Toc8533"/>
      <w:bookmarkStart w:id="2135" w:name="_Toc1802"/>
      <w:r>
        <w:rPr>
          <w:rFonts w:hint="eastAsia" w:ascii="宋体" w:hAnsi="宋体"/>
          <w:sz w:val="28"/>
        </w:rPr>
        <w:t>法定代表人身份证明</w:t>
      </w:r>
      <w:bookmarkEnd w:id="2134"/>
      <w:bookmarkEnd w:id="2135"/>
    </w:p>
    <w:p>
      <w:pPr>
        <w:spacing w:line="480" w:lineRule="auto"/>
        <w:jc w:val="center"/>
        <w:rPr>
          <w:rFonts w:ascii="宋体" w:hAnsi="宋体"/>
        </w:rPr>
      </w:pPr>
    </w:p>
    <w:p>
      <w:pPr>
        <w:tabs>
          <w:tab w:val="left" w:pos="556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投标人名称：</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单位性质：</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地</w:t>
      </w:r>
      <w:r>
        <w:rPr>
          <w:rFonts w:hint="eastAsia" w:ascii="宋体" w:hAnsi="宋体"/>
          <w:kern w:val="0"/>
          <w:szCs w:val="21"/>
        </w:rPr>
        <w:t xml:space="preserve">    </w:t>
      </w:r>
      <w:r>
        <w:rPr>
          <w:rFonts w:ascii="宋体" w:hAnsi="宋体"/>
          <w:kern w:val="0"/>
          <w:szCs w:val="21"/>
        </w:rPr>
        <w:t>址：</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2520"/>
          <w:tab w:val="left" w:pos="3836"/>
        </w:tabs>
        <w:autoSpaceDE w:val="0"/>
        <w:autoSpaceDN w:val="0"/>
        <w:adjustRightInd w:val="0"/>
        <w:snapToGrid w:val="0"/>
        <w:spacing w:line="480" w:lineRule="auto"/>
        <w:ind w:firstLine="390" w:firstLineChars="186"/>
        <w:jc w:val="left"/>
        <w:rPr>
          <w:rFonts w:ascii="宋体" w:hAnsi="宋体"/>
          <w:kern w:val="0"/>
          <w:sz w:val="10"/>
          <w:szCs w:val="10"/>
        </w:rPr>
      </w:pPr>
      <w:r>
        <w:rPr>
          <w:rFonts w:ascii="宋体" w:hAnsi="宋体"/>
          <w:kern w:val="0"/>
          <w:szCs w:val="21"/>
        </w:rPr>
        <w:t>成立时间：</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经营期限：</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姓名：</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性别</w:t>
      </w:r>
      <w:r>
        <w:rPr>
          <w:rFonts w:ascii="宋体" w:hAnsi="宋体"/>
          <w:spacing w:val="-1"/>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spacing w:val="-1"/>
          <w:kern w:val="0"/>
          <w:szCs w:val="21"/>
        </w:rPr>
        <w:t>年</w:t>
      </w:r>
      <w:r>
        <w:rPr>
          <w:rFonts w:ascii="宋体" w:hAnsi="宋体"/>
          <w:kern w:val="0"/>
          <w:szCs w:val="21"/>
        </w:rPr>
        <w:t>龄：</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职务：</w:t>
      </w:r>
      <w:r>
        <w:rPr>
          <w:rFonts w:hint="eastAsia" w:ascii="宋体" w:hAnsi="宋体"/>
          <w:kern w:val="0"/>
          <w:szCs w:val="21"/>
          <w:u w:val="single"/>
        </w:rPr>
        <w:t xml:space="preserve">              </w:t>
      </w:r>
      <w:r>
        <w:rPr>
          <w:rFonts w:ascii="宋体" w:hAnsi="宋体"/>
          <w:kern w:val="0"/>
          <w:szCs w:val="21"/>
          <w:u w:val="single"/>
        </w:rPr>
        <w:t xml:space="preserve"> </w:t>
      </w:r>
    </w:p>
    <w:p>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系</w:t>
      </w:r>
      <w:r>
        <w:rPr>
          <w:rFonts w:hint="eastAsia" w:ascii="宋体" w:hAnsi="宋体"/>
          <w:kern w:val="0"/>
          <w:szCs w:val="21"/>
          <w:u w:val="single"/>
        </w:rPr>
        <w:t xml:space="preserve">                                                        </w:t>
      </w:r>
      <w:r>
        <w:rPr>
          <w:rFonts w:ascii="宋体" w:hAnsi="宋体"/>
          <w:kern w:val="0"/>
          <w:szCs w:val="21"/>
          <w:u w:val="single"/>
        </w:rPr>
        <w:t xml:space="preserve"> （投标人名称）</w:t>
      </w:r>
      <w:r>
        <w:rPr>
          <w:rFonts w:ascii="宋体" w:hAnsi="宋体"/>
          <w:kern w:val="0"/>
          <w:szCs w:val="21"/>
        </w:rPr>
        <w:t>的法定代表人。</w:t>
      </w:r>
    </w:p>
    <w:p>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特此证明。</w:t>
      </w:r>
    </w:p>
    <w:p>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附：法定代表人身份证扫描件（双面）</w:t>
      </w:r>
    </w:p>
    <w:p>
      <w:pPr>
        <w:autoSpaceDE w:val="0"/>
        <w:autoSpaceDN w:val="0"/>
        <w:adjustRightInd w:val="0"/>
        <w:snapToGrid w:val="0"/>
        <w:spacing w:line="360" w:lineRule="auto"/>
        <w:jc w:val="left"/>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tabs>
          <w:tab w:val="left" w:pos="5475"/>
        </w:tabs>
        <w:autoSpaceDE w:val="0"/>
        <w:autoSpaceDN w:val="0"/>
        <w:adjustRightInd w:val="0"/>
        <w:snapToGrid w:val="0"/>
        <w:spacing w:line="480" w:lineRule="auto"/>
        <w:ind w:firstLine="372" w:firstLineChars="186"/>
        <w:jc w:val="left"/>
        <w:rPr>
          <w:rFonts w:ascii="宋体" w:hAnsi="宋体"/>
          <w:kern w:val="0"/>
          <w:sz w:val="20"/>
          <w:szCs w:val="20"/>
        </w:rPr>
      </w:pPr>
    </w:p>
    <w:p>
      <w:pPr>
        <w:tabs>
          <w:tab w:val="left" w:pos="5460"/>
        </w:tabs>
        <w:autoSpaceDE w:val="0"/>
        <w:autoSpaceDN w:val="0"/>
        <w:adjustRightInd w:val="0"/>
        <w:snapToGrid w:val="0"/>
        <w:spacing w:line="480" w:lineRule="auto"/>
        <w:ind w:firstLine="2100"/>
        <w:jc w:val="right"/>
        <w:rPr>
          <w:rFonts w:ascii="宋体" w:hAnsi="宋体"/>
          <w:kern w:val="0"/>
          <w:szCs w:val="21"/>
        </w:rPr>
      </w:pPr>
      <w:r>
        <w:rPr>
          <w:rFonts w:ascii="宋体" w:hAnsi="宋体"/>
          <w:kern w:val="0"/>
          <w:szCs w:val="21"/>
        </w:rPr>
        <w:t>投标</w:t>
      </w:r>
      <w:r>
        <w:rPr>
          <w:rFonts w:ascii="宋体" w:hAnsi="宋体"/>
          <w:spacing w:val="-1"/>
          <w:kern w:val="0"/>
          <w:szCs w:val="21"/>
        </w:rPr>
        <w:t>人</w:t>
      </w:r>
      <w:r>
        <w:rPr>
          <w:rFonts w:ascii="宋体" w:hAnsi="宋体"/>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pPr>
        <w:autoSpaceDE w:val="0"/>
        <w:autoSpaceDN w:val="0"/>
        <w:adjustRightInd w:val="0"/>
        <w:snapToGrid w:val="0"/>
        <w:spacing w:line="480" w:lineRule="auto"/>
        <w:jc w:val="left"/>
        <w:rPr>
          <w:rFonts w:ascii="宋体" w:hAnsi="宋体"/>
          <w:kern w:val="0"/>
          <w:sz w:val="20"/>
          <w:szCs w:val="20"/>
        </w:rPr>
      </w:pPr>
    </w:p>
    <w:p>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r>
        <w:rPr>
          <w:rFonts w:hint="eastAsia" w:ascii="宋体" w:hAnsi="宋体"/>
          <w:kern w:val="0"/>
          <w:szCs w:val="21"/>
        </w:rPr>
        <w:t xml:space="preserve">  </w:t>
      </w:r>
    </w:p>
    <w:p>
      <w:pPr>
        <w:autoSpaceDE w:val="0"/>
        <w:autoSpaceDN w:val="0"/>
        <w:adjustRightInd w:val="0"/>
        <w:snapToGrid w:val="0"/>
        <w:spacing w:line="360" w:lineRule="auto"/>
        <w:jc w:val="left"/>
        <w:rPr>
          <w:rFonts w:ascii="宋体" w:hAnsi="宋体"/>
          <w:kern w:val="0"/>
        </w:rPr>
      </w:pPr>
    </w:p>
    <w:p>
      <w:pPr>
        <w:autoSpaceDE w:val="0"/>
        <w:autoSpaceDN w:val="0"/>
        <w:adjustRightInd w:val="0"/>
        <w:snapToGrid w:val="0"/>
        <w:spacing w:line="360" w:lineRule="auto"/>
        <w:jc w:val="left"/>
        <w:rPr>
          <w:rFonts w:ascii="宋体" w:hAnsi="宋体"/>
          <w:kern w:val="0"/>
        </w:rPr>
      </w:pPr>
    </w:p>
    <w:p>
      <w:pPr>
        <w:spacing w:line="360" w:lineRule="auto"/>
        <w:ind w:firstLine="420" w:firstLineChars="200"/>
        <w:rPr>
          <w:rFonts w:ascii="宋体" w:hAnsi="宋体"/>
        </w:rPr>
      </w:pPr>
      <w:r>
        <w:rPr>
          <w:rFonts w:ascii="宋体" w:hAnsi="宋体"/>
        </w:rPr>
        <w:t>注：法定代表人身份证明需按上述格式填写完整，不可缺少内容。在此基础上增加内容的不影响其有效性。</w:t>
      </w:r>
    </w:p>
    <w:p>
      <w:pPr>
        <w:spacing w:line="360" w:lineRule="auto"/>
        <w:ind w:firstLine="420" w:firstLineChars="200"/>
        <w:rPr>
          <w:rFonts w:ascii="宋体" w:hAnsi="宋体"/>
        </w:rPr>
      </w:pPr>
    </w:p>
    <w:p>
      <w:pPr>
        <w:tabs>
          <w:tab w:val="left" w:pos="1680"/>
          <w:tab w:val="left" w:pos="4215"/>
          <w:tab w:val="left" w:pos="4305"/>
          <w:tab w:val="left" w:pos="8000"/>
        </w:tabs>
        <w:autoSpaceDE w:val="0"/>
        <w:autoSpaceDN w:val="0"/>
        <w:adjustRightInd w:val="0"/>
        <w:snapToGrid w:val="0"/>
        <w:spacing w:line="360" w:lineRule="auto"/>
        <w:jc w:val="center"/>
        <w:outlineLvl w:val="1"/>
        <w:rPr>
          <w:rFonts w:ascii="宋体" w:hAnsi="宋体"/>
          <w:kern w:val="0"/>
          <w:sz w:val="28"/>
          <w:szCs w:val="28"/>
        </w:rPr>
      </w:pPr>
      <w:r>
        <w:rPr>
          <w:rFonts w:ascii="宋体" w:hAnsi="宋体"/>
          <w:kern w:val="0"/>
        </w:rPr>
        <w:br w:type="page"/>
      </w:r>
      <w:bookmarkStart w:id="2136" w:name="_Toc9511"/>
      <w:bookmarkStart w:id="2137" w:name="_Toc22887"/>
      <w:r>
        <w:rPr>
          <w:rFonts w:ascii="宋体" w:hAnsi="宋体"/>
          <w:snapToGrid w:val="0"/>
          <w:kern w:val="0"/>
          <w:sz w:val="32"/>
          <w:szCs w:val="32"/>
        </w:rPr>
        <w:t>授权委托书</w:t>
      </w:r>
      <w:bookmarkEnd w:id="2136"/>
      <w:bookmarkEnd w:id="2137"/>
    </w:p>
    <w:p>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本人</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系</w:t>
      </w:r>
      <w:r>
        <w:rPr>
          <w:rFonts w:hint="eastAsia" w:ascii="宋体" w:hAnsi="宋体"/>
          <w:w w:val="200"/>
          <w:kern w:val="0"/>
          <w:szCs w:val="21"/>
          <w:u w:val="single"/>
        </w:rPr>
        <w:t xml:space="preserve">        </w:t>
      </w:r>
      <w:r>
        <w:rPr>
          <w:rFonts w:ascii="宋体" w:hAnsi="宋体"/>
          <w:kern w:val="0"/>
          <w:szCs w:val="21"/>
          <w:u w:val="single"/>
        </w:rPr>
        <w:t>（</w:t>
      </w:r>
      <w:r>
        <w:rPr>
          <w:rFonts w:ascii="宋体" w:hAnsi="宋体"/>
          <w:spacing w:val="-1"/>
          <w:kern w:val="0"/>
          <w:szCs w:val="21"/>
          <w:u w:val="single"/>
        </w:rPr>
        <w:t>投</w:t>
      </w:r>
      <w:r>
        <w:rPr>
          <w:rFonts w:ascii="宋体" w:hAnsi="宋体"/>
          <w:kern w:val="0"/>
          <w:szCs w:val="21"/>
          <w:u w:val="single"/>
        </w:rPr>
        <w:t>标人名称</w:t>
      </w:r>
      <w:r>
        <w:rPr>
          <w:rFonts w:ascii="宋体" w:hAnsi="宋体"/>
          <w:spacing w:val="1"/>
          <w:kern w:val="0"/>
          <w:szCs w:val="21"/>
          <w:u w:val="single"/>
        </w:rPr>
        <w:t>）</w:t>
      </w:r>
      <w:r>
        <w:rPr>
          <w:rFonts w:ascii="宋体" w:hAnsi="宋体"/>
          <w:kern w:val="0"/>
          <w:szCs w:val="21"/>
        </w:rPr>
        <w:t>的法定代</w:t>
      </w:r>
      <w:r>
        <w:rPr>
          <w:rFonts w:ascii="宋体" w:hAnsi="宋体"/>
          <w:spacing w:val="1"/>
          <w:kern w:val="0"/>
          <w:szCs w:val="21"/>
        </w:rPr>
        <w:t>表</w:t>
      </w:r>
      <w:r>
        <w:rPr>
          <w:rFonts w:ascii="宋体" w:hAnsi="宋体"/>
          <w:kern w:val="0"/>
          <w:szCs w:val="21"/>
        </w:rPr>
        <w:t>人，现委托</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为我方代理人。代理人根据授权，以我方名义签署、澄清、说明、补正、递交、撤回、 修改</w:t>
      </w:r>
      <w:r>
        <w:rPr>
          <w:rFonts w:hint="eastAsia" w:ascii="宋体" w:hAnsi="宋体"/>
          <w:w w:val="200"/>
          <w:kern w:val="0"/>
          <w:szCs w:val="21"/>
          <w:u w:val="single"/>
        </w:rPr>
        <w:t xml:space="preserve">        </w:t>
      </w:r>
      <w:r>
        <w:rPr>
          <w:rFonts w:ascii="宋体" w:hAnsi="宋体"/>
          <w:kern w:val="0"/>
          <w:szCs w:val="21"/>
          <w:u w:val="single"/>
        </w:rPr>
        <w:t>（项</w:t>
      </w:r>
      <w:r>
        <w:rPr>
          <w:rFonts w:ascii="宋体" w:hAnsi="宋体"/>
          <w:spacing w:val="-1"/>
          <w:kern w:val="0"/>
          <w:szCs w:val="21"/>
          <w:u w:val="single"/>
        </w:rPr>
        <w:t>目</w:t>
      </w:r>
      <w:r>
        <w:rPr>
          <w:rFonts w:ascii="宋体" w:hAnsi="宋体"/>
          <w:kern w:val="0"/>
          <w:szCs w:val="21"/>
          <w:u w:val="single"/>
        </w:rPr>
        <w:t>名称）</w:t>
      </w:r>
      <w:r>
        <w:rPr>
          <w:rFonts w:ascii="宋体" w:hAnsi="宋体"/>
          <w:kern w:val="0"/>
          <w:szCs w:val="21"/>
        </w:rPr>
        <w:t>投标文件、签订合同和处理有关事宜， 其法律后果由我方承担。</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委托</w:t>
      </w:r>
      <w:r>
        <w:rPr>
          <w:rFonts w:ascii="宋体" w:hAnsi="宋体"/>
          <w:spacing w:val="-1"/>
          <w:kern w:val="0"/>
          <w:szCs w:val="21"/>
        </w:rPr>
        <w:t>期</w:t>
      </w:r>
      <w:r>
        <w:rPr>
          <w:rFonts w:ascii="宋体" w:hAnsi="宋体"/>
          <w:kern w:val="0"/>
          <w:szCs w:val="21"/>
        </w:rPr>
        <w:t>限：</w:t>
      </w:r>
      <w:r>
        <w:rPr>
          <w:rFonts w:hint="eastAsia" w:ascii="宋体" w:hAnsi="宋体"/>
          <w:w w:val="200"/>
          <w:kern w:val="0"/>
          <w:szCs w:val="21"/>
          <w:u w:val="single"/>
        </w:rPr>
        <w:t xml:space="preserve">        </w:t>
      </w:r>
      <w:r>
        <w:rPr>
          <w:rFonts w:ascii="宋体" w:hAnsi="宋体"/>
          <w:kern w:val="0"/>
          <w:szCs w:val="21"/>
        </w:rPr>
        <w:t xml:space="preserve">。 </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代理人无转委托权。</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投  标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pPr>
        <w:tabs>
          <w:tab w:val="left" w:pos="630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pPr>
        <w:tabs>
          <w:tab w:val="left" w:pos="5260"/>
        </w:tabs>
        <w:autoSpaceDE w:val="0"/>
        <w:autoSpaceDN w:val="0"/>
        <w:adjustRightInd w:val="0"/>
        <w:snapToGrid w:val="0"/>
        <w:spacing w:line="480" w:lineRule="auto"/>
        <w:ind w:firstLine="420" w:firstLineChars="200"/>
        <w:jc w:val="left"/>
        <w:rPr>
          <w:rFonts w:ascii="宋体" w:hAnsi="宋体"/>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委托代理人：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w:t>
      </w:r>
    </w:p>
    <w:p>
      <w:pPr>
        <w:tabs>
          <w:tab w:val="left" w:pos="6825"/>
        </w:tabs>
        <w:autoSpaceDE w:val="0"/>
        <w:autoSpaceDN w:val="0"/>
        <w:adjustRightInd w:val="0"/>
        <w:snapToGrid w:val="0"/>
        <w:spacing w:line="480" w:lineRule="auto"/>
        <w:ind w:firstLine="420" w:firstLineChars="200"/>
        <w:jc w:val="left"/>
        <w:rPr>
          <w:rFonts w:ascii="宋体" w:hAnsi="宋体"/>
          <w:w w:val="200"/>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pPr>
        <w:tabs>
          <w:tab w:val="left" w:pos="6825"/>
        </w:tabs>
        <w:autoSpaceDE w:val="0"/>
        <w:autoSpaceDN w:val="0"/>
        <w:adjustRightInd w:val="0"/>
        <w:snapToGrid w:val="0"/>
        <w:spacing w:line="480" w:lineRule="auto"/>
        <w:ind w:firstLine="420" w:firstLineChars="200"/>
        <w:jc w:val="left"/>
        <w:rPr>
          <w:rFonts w:ascii="宋体" w:hAnsi="宋体"/>
          <w:kern w:val="0"/>
          <w:szCs w:val="21"/>
          <w:u w:val="single"/>
        </w:rPr>
      </w:pPr>
      <w:r>
        <w:rPr>
          <w:rFonts w:hint="eastAsia" w:ascii="宋体" w:hAnsi="宋体"/>
          <w:kern w:val="0"/>
          <w:szCs w:val="21"/>
        </w:rPr>
        <w:t>单位电话（座机）：</w:t>
      </w:r>
      <w:r>
        <w:rPr>
          <w:rFonts w:hint="eastAsia" w:ascii="宋体" w:hAnsi="宋体"/>
          <w:kern w:val="0"/>
          <w:szCs w:val="21"/>
          <w:u w:val="single"/>
        </w:rPr>
        <w:t xml:space="preserve">                              </w:t>
      </w:r>
    </w:p>
    <w:p>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hint="eastAsia" w:ascii="宋体" w:hAnsi="宋体"/>
          <w:kern w:val="0"/>
          <w:szCs w:val="21"/>
        </w:rPr>
        <w:t xml:space="preserve">委托代理人电话（手机）：                                          </w:t>
      </w:r>
    </w:p>
    <w:p>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附：法定代表人和委托代理人身份证扫描件（双面）</w:t>
      </w:r>
    </w:p>
    <w:p>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6825"/>
        </w:tabs>
        <w:autoSpaceDE w:val="0"/>
        <w:autoSpaceDN w:val="0"/>
        <w:adjustRightInd w:val="0"/>
        <w:snapToGrid w:val="0"/>
        <w:spacing w:line="480" w:lineRule="auto"/>
        <w:ind w:firstLine="420" w:firstLineChars="200"/>
        <w:jc w:val="left"/>
        <w:rPr>
          <w:rFonts w:ascii="宋体" w:hAnsi="宋体"/>
          <w:kern w:val="0"/>
          <w:szCs w:val="21"/>
        </w:rPr>
      </w:pPr>
    </w:p>
    <w:p>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hint="eastAsia" w:ascii="宋体" w:hAnsi="宋体"/>
          <w:w w:val="200"/>
          <w:kern w:val="0"/>
          <w:szCs w:val="21"/>
          <w:u w:val="single"/>
        </w:rPr>
        <w:t xml:space="preserve">  </w:t>
      </w:r>
      <w:r>
        <w:rPr>
          <w:rFonts w:ascii="宋体" w:hAnsi="宋体"/>
          <w:kern w:val="0"/>
          <w:szCs w:val="21"/>
        </w:rPr>
        <w:t>月</w:t>
      </w:r>
      <w:r>
        <w:rPr>
          <w:rFonts w:hint="eastAsia" w:ascii="宋体" w:hAnsi="宋体"/>
          <w:w w:val="200"/>
          <w:kern w:val="0"/>
          <w:szCs w:val="21"/>
          <w:u w:val="single"/>
        </w:rPr>
        <w:t xml:space="preserve">  </w:t>
      </w:r>
      <w:r>
        <w:rPr>
          <w:rFonts w:ascii="宋体" w:hAnsi="宋体"/>
          <w:kern w:val="0"/>
          <w:szCs w:val="21"/>
        </w:rPr>
        <w:t>日</w:t>
      </w:r>
      <w:r>
        <w:rPr>
          <w:rFonts w:hint="eastAsia" w:ascii="宋体" w:hAnsi="宋体"/>
          <w:kern w:val="0"/>
          <w:szCs w:val="21"/>
        </w:rPr>
        <w:t xml:space="preserve"> </w:t>
      </w:r>
    </w:p>
    <w:p>
      <w:pPr>
        <w:tabs>
          <w:tab w:val="left" w:pos="4005"/>
          <w:tab w:val="left" w:pos="4100"/>
          <w:tab w:val="left" w:pos="5040"/>
        </w:tabs>
        <w:autoSpaceDE w:val="0"/>
        <w:autoSpaceDN w:val="0"/>
        <w:adjustRightInd w:val="0"/>
        <w:snapToGrid w:val="0"/>
        <w:spacing w:line="360" w:lineRule="auto"/>
        <w:ind w:firstLine="3780"/>
        <w:jc w:val="right"/>
        <w:rPr>
          <w:rFonts w:ascii="宋体" w:hAnsi="宋体"/>
          <w:kern w:val="0"/>
          <w:szCs w:val="21"/>
        </w:rPr>
      </w:pPr>
    </w:p>
    <w:p>
      <w:pPr>
        <w:tabs>
          <w:tab w:val="left" w:pos="5760"/>
        </w:tabs>
        <w:autoSpaceDE w:val="0"/>
        <w:autoSpaceDN w:val="0"/>
        <w:adjustRightInd w:val="0"/>
        <w:spacing w:line="360" w:lineRule="auto"/>
        <w:ind w:firstLine="420" w:firstLineChars="200"/>
        <w:rPr>
          <w:rFonts w:ascii="宋体" w:hAnsi="宋体"/>
          <w:kern w:val="0"/>
        </w:rPr>
      </w:pPr>
    </w:p>
    <w:p>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注：1、法定代表人参加投标活动并签署文件的不需要授权委托书，只需提供法定代表人身份证明；非法定代表人参加投标活动及签署文件的除提供法定代表人身份证明外还须提供授权委托书。</w:t>
      </w:r>
    </w:p>
    <w:p>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rPr>
      </w:pPr>
      <w:r>
        <w:rPr>
          <w:rFonts w:hint="eastAsia" w:ascii="宋体" w:hAnsi="宋体"/>
          <w:kern w:val="0"/>
          <w:szCs w:val="21"/>
        </w:rPr>
        <w:t>2.</w:t>
      </w:r>
      <w:r>
        <w:rPr>
          <w:rFonts w:hint="eastAsia" w:ascii="宋体" w:hAnsi="宋体"/>
        </w:rPr>
        <w:t>授权委托书</w:t>
      </w:r>
      <w:r>
        <w:rPr>
          <w:rFonts w:ascii="宋体" w:hAnsi="宋体"/>
        </w:rPr>
        <w:t>需按上述格式填写完整，不可缺少内容。在此基础上增加内容的不影响其有效性。</w:t>
      </w:r>
    </w:p>
    <w:p>
      <w:pPr>
        <w:spacing w:line="360" w:lineRule="auto"/>
        <w:ind w:firstLine="420" w:firstLineChars="200"/>
        <w:rPr>
          <w:rFonts w:ascii="宋体" w:hAnsi="宋体"/>
        </w:rPr>
      </w:pPr>
      <w:r>
        <w:rPr>
          <w:rFonts w:ascii="宋体" w:hAnsi="宋体"/>
        </w:rPr>
        <w:br w:type="page"/>
      </w:r>
    </w:p>
    <w:p>
      <w:pPr>
        <w:pStyle w:val="5"/>
        <w:spacing w:before="0" w:after="0" w:line="240" w:lineRule="auto"/>
        <w:jc w:val="center"/>
        <w:outlineLvl w:val="0"/>
        <w:rPr>
          <w:rFonts w:hint="default" w:ascii="宋体" w:hAnsi="宋体" w:eastAsia="宋体"/>
          <w:b w:val="0"/>
          <w:bCs w:val="0"/>
          <w:lang w:val="en-US" w:eastAsia="zh-CN"/>
        </w:rPr>
      </w:pPr>
      <w:bookmarkStart w:id="2138" w:name="_Toc277082646"/>
      <w:bookmarkStart w:id="2139" w:name="_Toc287620817"/>
      <w:bookmarkStart w:id="2140" w:name="_Toc287607870"/>
      <w:bookmarkStart w:id="2141" w:name="_Toc224103498"/>
      <w:bookmarkStart w:id="2142" w:name="_Toc26608"/>
      <w:bookmarkStart w:id="2143" w:name="_Toc26933"/>
      <w:bookmarkStart w:id="2144" w:name="_Toc6499"/>
      <w:bookmarkStart w:id="2145" w:name="_Toc430530533"/>
      <w:r>
        <w:rPr>
          <w:rFonts w:ascii="宋体" w:hAnsi="宋体"/>
          <w:b w:val="0"/>
          <w:bCs w:val="0"/>
        </w:rPr>
        <w:t>（四）</w:t>
      </w:r>
      <w:bookmarkEnd w:id="2138"/>
      <w:bookmarkEnd w:id="2139"/>
      <w:bookmarkEnd w:id="2140"/>
      <w:bookmarkEnd w:id="2141"/>
      <w:bookmarkStart w:id="2146" w:name="_Toc287620818"/>
      <w:bookmarkStart w:id="2147" w:name="_Toc224103499"/>
      <w:bookmarkStart w:id="2148" w:name="_Toc287607871"/>
      <w:bookmarkStart w:id="2149" w:name="_Toc277082647"/>
      <w:r>
        <w:rPr>
          <w:rFonts w:hint="eastAsia" w:ascii="宋体" w:hAnsi="宋体"/>
          <w:b w:val="0"/>
          <w:bCs w:val="0"/>
        </w:rPr>
        <w:t>低价风险担保提交承诺书</w:t>
      </w:r>
      <w:bookmarkEnd w:id="2142"/>
      <w:r>
        <w:rPr>
          <w:rFonts w:hint="eastAsia" w:ascii="宋体" w:hAnsi="宋体"/>
          <w:b w:val="0"/>
          <w:bCs w:val="0"/>
          <w:lang w:eastAsia="zh-CN"/>
        </w:rPr>
        <w:t>（</w:t>
      </w:r>
      <w:r>
        <w:rPr>
          <w:rFonts w:hint="eastAsia" w:ascii="宋体" w:hAnsi="宋体"/>
          <w:b w:val="0"/>
          <w:bCs w:val="0"/>
          <w:lang w:val="en-US" w:eastAsia="zh-CN"/>
        </w:rPr>
        <w:t>如有）</w:t>
      </w:r>
      <w:bookmarkEnd w:id="2143"/>
      <w:bookmarkEnd w:id="2144"/>
    </w:p>
    <w:p>
      <w:pPr>
        <w:autoSpaceDE w:val="0"/>
        <w:autoSpaceDN w:val="0"/>
        <w:adjustRightInd w:val="0"/>
        <w:snapToGrid w:val="0"/>
        <w:spacing w:line="360" w:lineRule="auto"/>
        <w:jc w:val="center"/>
        <w:rPr>
          <w:rFonts w:ascii="宋体" w:hAnsi="宋体"/>
          <w:snapToGrid w:val="0"/>
          <w:kern w:val="0"/>
          <w:sz w:val="32"/>
          <w:szCs w:val="32"/>
        </w:rPr>
      </w:pPr>
    </w:p>
    <w:p>
      <w:pPr>
        <w:autoSpaceDE w:val="0"/>
        <w:autoSpaceDN w:val="0"/>
        <w:adjustRightInd w:val="0"/>
        <w:snapToGrid w:val="0"/>
        <w:spacing w:line="360" w:lineRule="auto"/>
        <w:jc w:val="center"/>
        <w:rPr>
          <w:rFonts w:hint="eastAsia" w:ascii="宋体" w:hAnsi="宋体"/>
          <w:snapToGrid w:val="0"/>
          <w:kern w:val="0"/>
          <w:sz w:val="21"/>
          <w:szCs w:val="21"/>
        </w:rPr>
      </w:pPr>
      <w:r>
        <w:rPr>
          <w:rFonts w:hint="eastAsia" w:ascii="宋体" w:hAnsi="宋体"/>
          <w:snapToGrid w:val="0"/>
          <w:kern w:val="0"/>
          <w:sz w:val="21"/>
          <w:szCs w:val="21"/>
          <w:lang w:val="en-US" w:eastAsia="zh-CN"/>
        </w:rPr>
        <w:t>(注：</w:t>
      </w:r>
      <w:r>
        <w:rPr>
          <w:rFonts w:hint="eastAsia" w:ascii="宋体" w:hAnsi="宋体"/>
          <w:snapToGrid w:val="0"/>
          <w:kern w:val="0"/>
          <w:sz w:val="21"/>
          <w:szCs w:val="21"/>
        </w:rPr>
        <w:t>投标报价低于招标项目最高限价的85%时采用</w:t>
      </w:r>
      <w:r>
        <w:rPr>
          <w:rFonts w:hint="eastAsia" w:ascii="宋体" w:hAnsi="宋体"/>
          <w:snapToGrid w:val="0"/>
          <w:kern w:val="0"/>
          <w:sz w:val="21"/>
          <w:szCs w:val="21"/>
          <w:lang w:val="en-US" w:eastAsia="zh-CN"/>
        </w:rPr>
        <w:t>)</w:t>
      </w:r>
    </w:p>
    <w:p>
      <w:pPr>
        <w:autoSpaceDE w:val="0"/>
        <w:autoSpaceDN w:val="0"/>
        <w:adjustRightInd w:val="0"/>
        <w:snapToGrid w:val="0"/>
        <w:spacing w:line="360" w:lineRule="auto"/>
        <w:jc w:val="center"/>
        <w:rPr>
          <w:rFonts w:ascii="宋体" w:hAnsi="宋体"/>
          <w:snapToGrid w:val="0"/>
          <w:kern w:val="0"/>
          <w:sz w:val="32"/>
          <w:szCs w:val="32"/>
        </w:rPr>
      </w:pPr>
    </w:p>
    <w:p>
      <w:pPr>
        <w:autoSpaceDE w:val="0"/>
        <w:autoSpaceDN w:val="0"/>
        <w:adjustRightInd w:val="0"/>
        <w:snapToGrid w:val="0"/>
        <w:spacing w:line="360" w:lineRule="auto"/>
        <w:rPr>
          <w:rFonts w:ascii="宋体" w:hAnsi="宋体" w:cs="宋体"/>
          <w:snapToGrid w:val="0"/>
          <w:kern w:val="0"/>
          <w:szCs w:val="21"/>
        </w:rPr>
      </w:pPr>
      <w:r>
        <w:rPr>
          <w:rFonts w:hint="eastAsia" w:ascii="宋体" w:hAnsi="宋体" w:cs="宋体"/>
          <w:snapToGrid w:val="0"/>
          <w:kern w:val="0"/>
          <w:szCs w:val="21"/>
          <w:u w:val="single"/>
        </w:rPr>
        <w:t xml:space="preserve">        （招标人名称）</w:t>
      </w:r>
      <w:r>
        <w:rPr>
          <w:rFonts w:hint="eastAsia" w:ascii="宋体" w:hAnsi="宋体" w:cs="宋体"/>
          <w:snapToGrid w:val="0"/>
          <w:kern w:val="0"/>
          <w:szCs w:val="21"/>
        </w:rPr>
        <w:t>：</w:t>
      </w:r>
    </w:p>
    <w:p>
      <w:pPr>
        <w:autoSpaceDE w:val="0"/>
        <w:autoSpaceDN w:val="0"/>
        <w:adjustRightInd w:val="0"/>
        <w:snapToGrid w:val="0"/>
        <w:spacing w:line="360" w:lineRule="auto"/>
        <w:ind w:firstLine="420" w:firstLineChars="200"/>
        <w:rPr>
          <w:rFonts w:ascii="宋体" w:hAnsi="宋体" w:cs="宋体"/>
          <w:snapToGrid w:val="0"/>
          <w:kern w:val="0"/>
          <w:szCs w:val="21"/>
        </w:rPr>
      </w:pPr>
      <w:r>
        <w:rPr>
          <w:rFonts w:hint="eastAsia" w:ascii="宋体" w:hAnsi="宋体" w:cs="宋体"/>
          <w:snapToGrid w:val="0"/>
          <w:kern w:val="0"/>
          <w:szCs w:val="21"/>
        </w:rPr>
        <w:t>我公司</w:t>
      </w:r>
      <w:r>
        <w:rPr>
          <w:rFonts w:hint="eastAsia" w:ascii="宋体" w:hAnsi="宋体" w:cs="宋体"/>
          <w:snapToGrid w:val="0"/>
          <w:kern w:val="0"/>
          <w:szCs w:val="21"/>
          <w:u w:val="single"/>
        </w:rPr>
        <w:t xml:space="preserve">        （投标人名称）</w:t>
      </w:r>
      <w:r>
        <w:rPr>
          <w:rFonts w:hint="eastAsia" w:ascii="宋体" w:hAnsi="宋体" w:cs="宋体"/>
          <w:snapToGrid w:val="0"/>
          <w:kern w:val="0"/>
          <w:szCs w:val="21"/>
        </w:rPr>
        <w:t>参加了你单位</w:t>
      </w:r>
      <w:r>
        <w:rPr>
          <w:rFonts w:hint="eastAsia" w:ascii="宋体" w:hAnsi="宋体" w:cs="宋体"/>
          <w:snapToGrid w:val="0"/>
          <w:kern w:val="0"/>
          <w:szCs w:val="21"/>
          <w:u w:val="single"/>
        </w:rPr>
        <w:t xml:space="preserve">        （项目名称）</w:t>
      </w:r>
      <w:r>
        <w:rPr>
          <w:rFonts w:hint="eastAsia" w:ascii="宋体" w:hAnsi="宋体" w:cs="宋体"/>
          <w:snapToGrid w:val="0"/>
          <w:kern w:val="0"/>
          <w:szCs w:val="21"/>
        </w:rPr>
        <w:t>的投标。我公司投标报价低于最高限价的85%，若获得中标资格，我公司承诺按照招标文件的规定递交低价风险担保。同时，我公司已落实低价风险担保的提交方案，承诺如采用保函形式提交低价风险担保，保函的格式和内容符合招标文件的要求。否则，我公司愿承担招标文件中约定的，因未按规定递交低价风险担保的相应责任。</w:t>
      </w:r>
    </w:p>
    <w:p>
      <w:pPr>
        <w:autoSpaceDE w:val="0"/>
        <w:autoSpaceDN w:val="0"/>
        <w:adjustRightInd w:val="0"/>
        <w:snapToGrid w:val="0"/>
        <w:spacing w:line="360" w:lineRule="auto"/>
        <w:ind w:firstLine="640"/>
        <w:rPr>
          <w:rFonts w:ascii="宋体" w:hAnsi="宋体" w:cs="宋体"/>
          <w:snapToGrid w:val="0"/>
          <w:kern w:val="0"/>
          <w:szCs w:val="21"/>
        </w:rPr>
      </w:pPr>
    </w:p>
    <w:p>
      <w:pPr>
        <w:autoSpaceDE w:val="0"/>
        <w:autoSpaceDN w:val="0"/>
        <w:adjustRightInd w:val="0"/>
        <w:snapToGrid w:val="0"/>
        <w:spacing w:line="360" w:lineRule="auto"/>
        <w:ind w:firstLine="640"/>
        <w:rPr>
          <w:rFonts w:ascii="宋体" w:hAnsi="宋体" w:cs="宋体"/>
          <w:snapToGrid w:val="0"/>
          <w:kern w:val="0"/>
          <w:szCs w:val="21"/>
        </w:rPr>
      </w:pPr>
      <w:r>
        <w:rPr>
          <w:rFonts w:hint="eastAsia" w:ascii="宋体" w:hAnsi="宋体" w:cs="宋体"/>
          <w:snapToGrid w:val="0"/>
          <w:kern w:val="0"/>
          <w:szCs w:val="21"/>
        </w:rPr>
        <w:t>特此承诺。</w:t>
      </w:r>
    </w:p>
    <w:p>
      <w:pPr>
        <w:autoSpaceDE w:val="0"/>
        <w:autoSpaceDN w:val="0"/>
        <w:adjustRightInd w:val="0"/>
        <w:snapToGrid w:val="0"/>
        <w:spacing w:line="360" w:lineRule="auto"/>
        <w:ind w:firstLine="640"/>
        <w:rPr>
          <w:rFonts w:ascii="宋体" w:hAnsi="宋体" w:cs="宋体"/>
          <w:snapToGrid w:val="0"/>
          <w:kern w:val="0"/>
          <w:sz w:val="32"/>
          <w:szCs w:val="32"/>
        </w:rPr>
      </w:pPr>
    </w:p>
    <w:p>
      <w:pPr>
        <w:autoSpaceDE w:val="0"/>
        <w:autoSpaceDN w:val="0"/>
        <w:adjustRightInd w:val="0"/>
        <w:snapToGrid w:val="0"/>
        <w:spacing w:line="360" w:lineRule="auto"/>
        <w:ind w:firstLine="640"/>
        <w:rPr>
          <w:rFonts w:ascii="宋体" w:hAnsi="宋体" w:cs="宋体"/>
          <w:snapToGrid w:val="0"/>
          <w:kern w:val="0"/>
          <w:sz w:val="32"/>
          <w:szCs w:val="32"/>
        </w:rPr>
      </w:pPr>
    </w:p>
    <w:p>
      <w:pPr>
        <w:autoSpaceDE w:val="0"/>
        <w:autoSpaceDN w:val="0"/>
        <w:adjustRightInd w:val="0"/>
        <w:snapToGrid w:val="0"/>
        <w:spacing w:line="360" w:lineRule="auto"/>
        <w:ind w:firstLine="640"/>
        <w:rPr>
          <w:rFonts w:ascii="宋体" w:hAnsi="宋体" w:cs="宋体"/>
          <w:snapToGrid w:val="0"/>
          <w:kern w:val="0"/>
          <w:sz w:val="32"/>
          <w:szCs w:val="32"/>
        </w:rPr>
      </w:pPr>
    </w:p>
    <w:p>
      <w:pPr>
        <w:autoSpaceDE w:val="0"/>
        <w:autoSpaceDN w:val="0"/>
        <w:adjustRightInd w:val="0"/>
        <w:snapToGrid w:val="0"/>
        <w:spacing w:line="360" w:lineRule="auto"/>
        <w:ind w:firstLine="640"/>
        <w:rPr>
          <w:rFonts w:ascii="宋体" w:hAnsi="宋体" w:cs="宋体"/>
          <w:snapToGrid w:val="0"/>
          <w:kern w:val="0"/>
          <w:sz w:val="32"/>
          <w:szCs w:val="32"/>
        </w:rPr>
      </w:pPr>
    </w:p>
    <w:p>
      <w:pPr>
        <w:autoSpaceDE w:val="0"/>
        <w:autoSpaceDN w:val="0"/>
        <w:adjustRightInd w:val="0"/>
        <w:snapToGrid w:val="0"/>
        <w:spacing w:line="360" w:lineRule="auto"/>
        <w:ind w:firstLine="640"/>
        <w:rPr>
          <w:rFonts w:ascii="宋体" w:hAnsi="宋体" w:cs="宋体"/>
          <w:snapToGrid w:val="0"/>
          <w:kern w:val="0"/>
          <w:sz w:val="32"/>
          <w:szCs w:val="32"/>
        </w:rPr>
      </w:pPr>
    </w:p>
    <w:p>
      <w:pPr>
        <w:tabs>
          <w:tab w:val="left" w:pos="4200"/>
          <w:tab w:val="left" w:pos="4620"/>
        </w:tabs>
        <w:autoSpaceDE w:val="0"/>
        <w:autoSpaceDN w:val="0"/>
        <w:adjustRightInd w:val="0"/>
        <w:snapToGrid w:val="0"/>
        <w:spacing w:line="360" w:lineRule="auto"/>
        <w:ind w:firstLine="420" w:firstLineChars="200"/>
        <w:jc w:val="left"/>
        <w:rPr>
          <w:rFonts w:ascii="宋体" w:hAnsi="宋体"/>
          <w:kern w:val="0"/>
          <w:szCs w:val="21"/>
        </w:rPr>
      </w:pPr>
      <w:r>
        <w:rPr>
          <w:rFonts w:ascii="宋体" w:hAnsi="宋体"/>
          <w:kern w:val="0"/>
          <w:szCs w:val="21"/>
        </w:rPr>
        <w:t>投  标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pPr>
        <w:tabs>
          <w:tab w:val="left" w:pos="6300"/>
        </w:tabs>
        <w:autoSpaceDE w:val="0"/>
        <w:autoSpaceDN w:val="0"/>
        <w:adjustRightInd w:val="0"/>
        <w:snapToGrid w:val="0"/>
        <w:spacing w:line="36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pPr>
        <w:tabs>
          <w:tab w:val="left" w:pos="7140"/>
          <w:tab w:val="left" w:pos="7560"/>
          <w:tab w:val="left" w:pos="8300"/>
        </w:tabs>
        <w:autoSpaceDE w:val="0"/>
        <w:autoSpaceDN w:val="0"/>
        <w:adjustRightInd w:val="0"/>
        <w:spacing w:line="360" w:lineRule="auto"/>
        <w:ind w:firstLine="420" w:firstLineChars="200"/>
        <w:rPr>
          <w:rFonts w:ascii="宋体" w:hAnsi="宋体"/>
          <w:snapToGrid w:val="0"/>
          <w:kern w:val="0"/>
          <w:szCs w:val="21"/>
        </w:rPr>
      </w:pPr>
    </w:p>
    <w:p>
      <w:pPr>
        <w:tabs>
          <w:tab w:val="left" w:pos="3840"/>
          <w:tab w:val="left" w:pos="4780"/>
          <w:tab w:val="left" w:pos="5720"/>
        </w:tabs>
        <w:autoSpaceDE w:val="0"/>
        <w:autoSpaceDN w:val="0"/>
        <w:adjustRightInd w:val="0"/>
        <w:snapToGrid w:val="0"/>
        <w:spacing w:before="156" w:beforeLines="50" w:line="360" w:lineRule="auto"/>
        <w:ind w:right="420" w:firstLine="5565" w:firstLineChars="2650"/>
        <w:jc w:val="right"/>
        <w:rPr>
          <w:rFonts w:ascii="宋体" w:hAnsi="宋体"/>
          <w:snapToGrid w:val="0"/>
          <w:kern w:val="0"/>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pPr>
        <w:autoSpaceDE w:val="0"/>
        <w:autoSpaceDN w:val="0"/>
        <w:adjustRightInd w:val="0"/>
        <w:snapToGrid w:val="0"/>
        <w:spacing w:line="360" w:lineRule="auto"/>
        <w:ind w:firstLine="640"/>
        <w:rPr>
          <w:rFonts w:ascii="宋体" w:hAnsi="宋体" w:cs="宋体"/>
          <w:snapToGrid w:val="0"/>
          <w:kern w:val="0"/>
          <w:sz w:val="32"/>
          <w:szCs w:val="32"/>
        </w:rPr>
      </w:pPr>
    </w:p>
    <w:p>
      <w:pPr>
        <w:pStyle w:val="2"/>
        <w:spacing w:line="360" w:lineRule="auto"/>
        <w:ind w:firstLine="420" w:firstLineChars="200"/>
        <w:rPr>
          <w:rFonts w:hint="eastAsia" w:asciiTheme="majorEastAsia" w:hAnsiTheme="majorEastAsia" w:eastAsiaTheme="majorEastAsia" w:cstheme="majorEastAsia"/>
          <w:i/>
          <w:iCs/>
        </w:rPr>
      </w:pPr>
      <w:r>
        <w:rPr>
          <w:rFonts w:hint="eastAsia" w:asciiTheme="majorEastAsia" w:hAnsiTheme="majorEastAsia" w:eastAsiaTheme="majorEastAsia" w:cstheme="majorEastAsia"/>
          <w:i/>
          <w:iCs/>
        </w:rPr>
        <w:t>[提示：本项目第三章采用综合评估法时，招标人应删除第</w:t>
      </w:r>
      <w:r>
        <w:rPr>
          <w:rFonts w:hint="eastAsia" w:asciiTheme="majorEastAsia" w:hAnsiTheme="majorEastAsia" w:eastAsiaTheme="majorEastAsia" w:cstheme="majorEastAsia"/>
          <w:i/>
          <w:iCs/>
          <w:lang w:val="en-US" w:eastAsia="zh-CN"/>
        </w:rPr>
        <w:t>八</w:t>
      </w:r>
      <w:r>
        <w:rPr>
          <w:rFonts w:hint="eastAsia" w:asciiTheme="majorEastAsia" w:hAnsiTheme="majorEastAsia" w:eastAsiaTheme="majorEastAsia" w:cstheme="majorEastAsia"/>
          <w:i/>
          <w:iCs/>
        </w:rPr>
        <w:t>章投标文件格式中“（四）低价风险担保提交承诺书（如有）”格式。]</w:t>
      </w:r>
    </w:p>
    <w:p>
      <w:pPr>
        <w:autoSpaceDE w:val="0"/>
        <w:autoSpaceDN w:val="0"/>
        <w:adjustRightInd w:val="0"/>
        <w:snapToGrid w:val="0"/>
        <w:spacing w:line="360" w:lineRule="auto"/>
        <w:jc w:val="center"/>
        <w:rPr>
          <w:rFonts w:ascii="宋体" w:hAnsi="宋体"/>
          <w:snapToGrid w:val="0"/>
          <w:kern w:val="0"/>
          <w:sz w:val="32"/>
          <w:szCs w:val="32"/>
        </w:rPr>
      </w:pPr>
    </w:p>
    <w:p>
      <w:pPr>
        <w:pStyle w:val="2"/>
        <w:rPr>
          <w:rFonts w:ascii="宋体" w:hAnsi="宋体"/>
          <w:snapToGrid w:val="0"/>
          <w:kern w:val="0"/>
          <w:sz w:val="32"/>
          <w:szCs w:val="32"/>
        </w:rPr>
      </w:pPr>
      <w:r>
        <w:rPr>
          <w:rFonts w:ascii="宋体" w:hAnsi="宋体"/>
          <w:snapToGrid w:val="0"/>
          <w:kern w:val="0"/>
          <w:sz w:val="32"/>
          <w:szCs w:val="32"/>
        </w:rPr>
        <w:br w:type="page"/>
      </w:r>
    </w:p>
    <w:bookmarkEnd w:id="2145"/>
    <w:bookmarkEnd w:id="2146"/>
    <w:bookmarkEnd w:id="2147"/>
    <w:bookmarkEnd w:id="2148"/>
    <w:bookmarkEnd w:id="2149"/>
    <w:p>
      <w:pPr>
        <w:pStyle w:val="4"/>
        <w:spacing w:line="360" w:lineRule="auto"/>
        <w:jc w:val="center"/>
        <w:outlineLvl w:val="0"/>
        <w:rPr>
          <w:rFonts w:ascii="宋体" w:hAnsi="宋体"/>
          <w:b w:val="0"/>
          <w:bCs w:val="0"/>
          <w:sz w:val="44"/>
          <w:szCs w:val="44"/>
        </w:rPr>
      </w:pPr>
      <w:bookmarkStart w:id="2150" w:name="_Toc287620819"/>
      <w:bookmarkStart w:id="2151" w:name="_Toc430530534"/>
      <w:bookmarkStart w:id="2152" w:name="_Toc287607872"/>
      <w:bookmarkStart w:id="2153" w:name="_Toc224103500"/>
      <w:bookmarkStart w:id="2154" w:name="_Toc4804"/>
      <w:bookmarkStart w:id="2155" w:name="_Toc4731"/>
      <w:bookmarkStart w:id="2156" w:name="_Toc18314"/>
      <w:r>
        <w:rPr>
          <w:rFonts w:hint="eastAsia" w:ascii="宋体" w:hAnsi="宋体"/>
          <w:b w:val="0"/>
          <w:bCs w:val="0"/>
          <w:sz w:val="44"/>
          <w:szCs w:val="44"/>
        </w:rPr>
        <w:t>二、经济部分</w:t>
      </w:r>
      <w:bookmarkEnd w:id="2150"/>
      <w:bookmarkEnd w:id="2151"/>
      <w:bookmarkEnd w:id="2152"/>
      <w:bookmarkEnd w:id="2153"/>
      <w:bookmarkEnd w:id="2154"/>
      <w:bookmarkEnd w:id="2155"/>
      <w:bookmarkEnd w:id="2156"/>
    </w:p>
    <w:p>
      <w:pPr>
        <w:spacing w:line="360" w:lineRule="auto"/>
        <w:jc w:val="center"/>
        <w:rPr>
          <w:rFonts w:ascii="宋体" w:hAnsi="宋体"/>
          <w:kern w:val="0"/>
          <w:sz w:val="32"/>
          <w:szCs w:val="32"/>
        </w:rPr>
      </w:pPr>
      <w:r>
        <w:rPr>
          <w:rFonts w:ascii="宋体" w:hAnsi="宋体"/>
          <w:kern w:val="0"/>
          <w:sz w:val="28"/>
          <w:szCs w:val="28"/>
        </w:rPr>
        <w:br w:type="page"/>
      </w:r>
      <w:r>
        <w:rPr>
          <w:rFonts w:hint="eastAsia" w:ascii="宋体" w:hAnsi="宋体"/>
          <w:kern w:val="0"/>
          <w:sz w:val="32"/>
          <w:szCs w:val="32"/>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pPr>
        <w:tabs>
          <w:tab w:val="left" w:pos="3600"/>
          <w:tab w:val="left" w:pos="4480"/>
          <w:tab w:val="left" w:pos="5360"/>
        </w:tabs>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rPr>
        <w:t>投 标 文 件</w:t>
      </w:r>
    </w:p>
    <w:p>
      <w:pPr>
        <w:autoSpaceDE w:val="0"/>
        <w:autoSpaceDN w:val="0"/>
        <w:adjustRightInd w:val="0"/>
        <w:snapToGrid w:val="0"/>
        <w:spacing w:line="360" w:lineRule="auto"/>
        <w:jc w:val="left"/>
        <w:rPr>
          <w:rFonts w:ascii="宋体" w:hAnsi="宋体"/>
          <w:kern w:val="0"/>
          <w:sz w:val="16"/>
          <w:szCs w:val="16"/>
        </w:rPr>
      </w:pPr>
    </w:p>
    <w:p>
      <w:pPr>
        <w:autoSpaceDE w:val="0"/>
        <w:autoSpaceDN w:val="0"/>
        <w:adjustRightInd w:val="0"/>
        <w:snapToGrid w:val="0"/>
        <w:spacing w:line="360" w:lineRule="auto"/>
        <w:jc w:val="center"/>
        <w:outlineLvl w:val="0"/>
        <w:rPr>
          <w:rFonts w:ascii="宋体" w:hAnsi="宋体"/>
          <w:kern w:val="0"/>
          <w:sz w:val="36"/>
          <w:szCs w:val="36"/>
        </w:rPr>
      </w:pPr>
      <w:bookmarkStart w:id="2157" w:name="_Toc25811"/>
      <w:bookmarkStart w:id="2158" w:name="_Toc23551"/>
      <w:r>
        <w:rPr>
          <w:rFonts w:hint="eastAsia" w:ascii="宋体" w:hAnsi="宋体"/>
          <w:kern w:val="0"/>
          <w:sz w:val="36"/>
          <w:szCs w:val="36"/>
        </w:rPr>
        <w:t>经济部分</w:t>
      </w:r>
      <w:bookmarkEnd w:id="2157"/>
      <w:bookmarkEnd w:id="2158"/>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autoSpaceDE w:val="0"/>
        <w:autoSpaceDN w:val="0"/>
        <w:adjustRightInd w:val="0"/>
        <w:snapToGrid w:val="0"/>
        <w:spacing w:line="360" w:lineRule="auto"/>
        <w:jc w:val="left"/>
        <w:rPr>
          <w:rFonts w:ascii="宋体" w:hAnsi="宋体"/>
          <w:b/>
          <w:kern w:val="0"/>
          <w:sz w:val="20"/>
          <w:szCs w:val="20"/>
        </w:rPr>
      </w:pPr>
    </w:p>
    <w:p>
      <w:pPr>
        <w:tabs>
          <w:tab w:val="left" w:pos="6080"/>
          <w:tab w:val="left" w:pos="6640"/>
        </w:tabs>
        <w:autoSpaceDE w:val="0"/>
        <w:autoSpaceDN w:val="0"/>
        <w:adjustRightInd w:val="0"/>
        <w:snapToGrid w:val="0"/>
        <w:spacing w:after="156" w:afterLines="50" w:line="360" w:lineRule="auto"/>
        <w:jc w:val="center"/>
        <w:rPr>
          <w:rFonts w:ascii="宋体" w:hAnsi="宋体"/>
          <w:w w:val="99"/>
          <w:kern w:val="0"/>
          <w:sz w:val="28"/>
          <w:szCs w:val="28"/>
        </w:rPr>
      </w:pPr>
      <w:r>
        <w:rPr>
          <w:rFonts w:ascii="宋体" w:hAnsi="宋体"/>
          <w:w w:val="99"/>
          <w:kern w:val="0"/>
          <w:sz w:val="28"/>
          <w:szCs w:val="28"/>
        </w:rPr>
        <w:t>投标人</w:t>
      </w:r>
      <w:r>
        <w:rPr>
          <w:rFonts w:ascii="宋体" w:hAnsi="宋体"/>
          <w:spacing w:val="1"/>
          <w:w w:val="99"/>
          <w:kern w:val="0"/>
          <w:sz w:val="28"/>
          <w:szCs w:val="28"/>
        </w:rPr>
        <w:t>：</w:t>
      </w:r>
      <w:r>
        <w:rPr>
          <w:rFonts w:ascii="宋体" w:hAnsi="宋体"/>
          <w:w w:val="198"/>
          <w:kern w:val="0"/>
          <w:sz w:val="28"/>
          <w:szCs w:val="28"/>
          <w:u w:val="single"/>
        </w:rPr>
        <w:t xml:space="preserve"> 　　　　 　　</w:t>
      </w:r>
      <w:r>
        <w:rPr>
          <w:rFonts w:ascii="宋体" w:hAnsi="宋体"/>
          <w:w w:val="99"/>
          <w:kern w:val="0"/>
          <w:sz w:val="28"/>
          <w:szCs w:val="28"/>
        </w:rPr>
        <w:t>（盖单位法人章）</w:t>
      </w:r>
    </w:p>
    <w:p>
      <w:pPr>
        <w:tabs>
          <w:tab w:val="left" w:pos="6080"/>
          <w:tab w:val="left" w:pos="6640"/>
        </w:tabs>
        <w:autoSpaceDE w:val="0"/>
        <w:autoSpaceDN w:val="0"/>
        <w:adjustRightInd w:val="0"/>
        <w:snapToGrid w:val="0"/>
        <w:spacing w:after="156" w:afterLines="50" w:line="360" w:lineRule="auto"/>
        <w:jc w:val="center"/>
        <w:rPr>
          <w:rFonts w:ascii="宋体" w:hAnsi="宋体"/>
          <w:b/>
          <w:kern w:val="0"/>
          <w:sz w:val="28"/>
          <w:szCs w:val="28"/>
        </w:rPr>
      </w:pPr>
      <w:r>
        <w:rPr>
          <w:rFonts w:ascii="宋体" w:hAnsi="宋体"/>
          <w:w w:val="99"/>
          <w:kern w:val="0"/>
          <w:sz w:val="28"/>
          <w:szCs w:val="28"/>
        </w:rPr>
        <w:t>法定代表人或其委托代理人：</w:t>
      </w:r>
      <w:r>
        <w:rPr>
          <w:rFonts w:ascii="宋体" w:hAnsi="宋体"/>
          <w:w w:val="198"/>
          <w:kern w:val="0"/>
          <w:sz w:val="28"/>
          <w:szCs w:val="28"/>
          <w:u w:val="single"/>
        </w:rPr>
        <w:t xml:space="preserve">  　　</w:t>
      </w:r>
      <w:r>
        <w:rPr>
          <w:rFonts w:ascii="宋体" w:hAnsi="宋体"/>
          <w:w w:val="99"/>
          <w:kern w:val="0"/>
          <w:sz w:val="28"/>
          <w:szCs w:val="28"/>
        </w:rPr>
        <w:t>（</w:t>
      </w:r>
      <w:r>
        <w:rPr>
          <w:rFonts w:hint="eastAsia" w:ascii="宋体" w:hAnsi="宋体"/>
          <w:w w:val="99"/>
          <w:kern w:val="0"/>
          <w:sz w:val="28"/>
          <w:szCs w:val="28"/>
        </w:rPr>
        <w:t>签名</w:t>
      </w:r>
      <w:r>
        <w:rPr>
          <w:rFonts w:ascii="宋体" w:hAnsi="宋体"/>
          <w:w w:val="99"/>
          <w:kern w:val="0"/>
          <w:sz w:val="28"/>
          <w:szCs w:val="28"/>
        </w:rPr>
        <w:t>或盖章）</w:t>
      </w:r>
    </w:p>
    <w:p>
      <w:pPr>
        <w:tabs>
          <w:tab w:val="left" w:pos="3280"/>
          <w:tab w:val="left" w:pos="4680"/>
          <w:tab w:val="left" w:pos="6080"/>
        </w:tabs>
        <w:autoSpaceDE w:val="0"/>
        <w:autoSpaceDN w:val="0"/>
        <w:adjustRightInd w:val="0"/>
        <w:snapToGrid w:val="0"/>
        <w:spacing w:after="156" w:afterLines="50" w:line="360" w:lineRule="auto"/>
        <w:jc w:val="center"/>
        <w:rPr>
          <w:rFonts w:ascii="宋体" w:hAnsi="宋体"/>
          <w:kern w:val="0"/>
          <w:sz w:val="28"/>
          <w:szCs w:val="28"/>
        </w:rPr>
      </w:pP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ascii="宋体" w:hAnsi="宋体"/>
          <w:w w:val="99"/>
          <w:kern w:val="0"/>
          <w:sz w:val="28"/>
          <w:szCs w:val="28"/>
        </w:rPr>
        <w:t>年</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ascii="宋体" w:hAnsi="宋体"/>
          <w:w w:val="99"/>
          <w:kern w:val="0"/>
          <w:sz w:val="28"/>
          <w:szCs w:val="28"/>
        </w:rPr>
        <w:t>月</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ascii="宋体" w:hAnsi="宋体"/>
          <w:w w:val="99"/>
          <w:kern w:val="0"/>
          <w:sz w:val="28"/>
          <w:szCs w:val="28"/>
        </w:rPr>
        <w:t>日</w:t>
      </w:r>
    </w:p>
    <w:p>
      <w:pPr>
        <w:autoSpaceDE w:val="0"/>
        <w:autoSpaceDN w:val="0"/>
        <w:adjustRightInd w:val="0"/>
        <w:snapToGrid w:val="0"/>
        <w:spacing w:line="360" w:lineRule="auto"/>
        <w:jc w:val="left"/>
        <w:rPr>
          <w:rFonts w:ascii="宋体" w:hAnsi="宋体"/>
          <w:kern w:val="0"/>
          <w:sz w:val="24"/>
          <w:szCs w:val="21"/>
        </w:rPr>
      </w:pPr>
      <w:r>
        <w:rPr>
          <w:rFonts w:ascii="宋体" w:hAnsi="宋体"/>
          <w:kern w:val="0"/>
          <w:sz w:val="24"/>
          <w:szCs w:val="21"/>
        </w:rPr>
        <w:br w:type="page"/>
      </w:r>
    </w:p>
    <w:p>
      <w:pPr>
        <w:autoSpaceDE w:val="0"/>
        <w:autoSpaceDN w:val="0"/>
        <w:adjustRightInd w:val="0"/>
        <w:snapToGrid w:val="0"/>
        <w:spacing w:line="360" w:lineRule="auto"/>
        <w:jc w:val="center"/>
        <w:outlineLvl w:val="0"/>
        <w:rPr>
          <w:rFonts w:ascii="宋体" w:hAnsi="宋体"/>
          <w:kern w:val="0"/>
          <w:szCs w:val="21"/>
        </w:rPr>
      </w:pPr>
      <w:bookmarkStart w:id="2159" w:name="_Toc12996"/>
      <w:bookmarkStart w:id="2160" w:name="_Toc17972"/>
      <w:r>
        <w:rPr>
          <w:rFonts w:hint="eastAsia" w:ascii="宋体" w:hAnsi="宋体"/>
          <w:kern w:val="0"/>
          <w:sz w:val="36"/>
          <w:szCs w:val="36"/>
        </w:rPr>
        <w:t>目  录</w:t>
      </w:r>
      <w:bookmarkEnd w:id="2159"/>
      <w:bookmarkEnd w:id="2160"/>
    </w:p>
    <w:p>
      <w:pPr>
        <w:autoSpaceDE w:val="0"/>
        <w:autoSpaceDN w:val="0"/>
        <w:adjustRightInd w:val="0"/>
        <w:snapToGrid w:val="0"/>
        <w:spacing w:line="360" w:lineRule="auto"/>
        <w:jc w:val="left"/>
        <w:rPr>
          <w:rFonts w:ascii="宋体" w:hAnsi="宋体"/>
          <w:kern w:val="0"/>
          <w:szCs w:val="21"/>
        </w:rPr>
      </w:pPr>
    </w:p>
    <w:p>
      <w:pPr>
        <w:autoSpaceDE w:val="0"/>
        <w:autoSpaceDN w:val="0"/>
        <w:adjustRightInd w:val="0"/>
        <w:snapToGrid w:val="0"/>
        <w:spacing w:line="360" w:lineRule="auto"/>
        <w:jc w:val="center"/>
        <w:rPr>
          <w:rFonts w:ascii="宋体" w:hAnsi="宋体"/>
          <w:i/>
          <w:iCs/>
          <w:kern w:val="0"/>
          <w:szCs w:val="21"/>
        </w:rPr>
      </w:pPr>
      <w:r>
        <w:rPr>
          <w:rFonts w:ascii="宋体" w:hAnsi="宋体"/>
          <w:i/>
          <w:iCs/>
          <w:kern w:val="0"/>
          <w:szCs w:val="21"/>
        </w:rPr>
        <w:t>[</w:t>
      </w:r>
      <w:r>
        <w:rPr>
          <w:rFonts w:hint="eastAsia" w:ascii="宋体" w:hAnsi="宋体"/>
          <w:i/>
          <w:iCs/>
          <w:kern w:val="0"/>
          <w:szCs w:val="21"/>
        </w:rPr>
        <w:t>提示：</w:t>
      </w:r>
      <w:r>
        <w:rPr>
          <w:rFonts w:ascii="宋体" w:hAnsi="宋体"/>
          <w:i/>
          <w:iCs/>
          <w:kern w:val="0"/>
          <w:szCs w:val="21"/>
        </w:rPr>
        <w:t>目录由投标人自行编制]</w:t>
      </w:r>
    </w:p>
    <w:p>
      <w:pPr>
        <w:pStyle w:val="5"/>
        <w:spacing w:before="0" w:after="0" w:line="240" w:lineRule="auto"/>
        <w:jc w:val="center"/>
        <w:outlineLvl w:val="0"/>
        <w:rPr>
          <w:rFonts w:ascii="宋体" w:hAnsi="宋体"/>
          <w:b w:val="0"/>
          <w:bCs w:val="0"/>
        </w:rPr>
      </w:pPr>
      <w:bookmarkStart w:id="2161" w:name="_Toc224103501"/>
      <w:bookmarkStart w:id="2162" w:name="_Toc287620820"/>
      <w:bookmarkStart w:id="2163" w:name="_Toc430530535"/>
      <w:bookmarkStart w:id="2164" w:name="_Toc287607873"/>
      <w:bookmarkStart w:id="2165" w:name="_Toc277082648"/>
      <w:r>
        <w:rPr>
          <w:rFonts w:ascii="宋体" w:hAnsi="宋体"/>
          <w:b w:val="0"/>
          <w:bCs w:val="0"/>
          <w:kern w:val="0"/>
          <w:sz w:val="21"/>
          <w:szCs w:val="21"/>
        </w:rPr>
        <w:br w:type="page"/>
      </w:r>
      <w:bookmarkStart w:id="2166" w:name="_Toc16512"/>
      <w:bookmarkStart w:id="2167" w:name="_Toc16419"/>
      <w:bookmarkStart w:id="2168" w:name="_Toc12047"/>
      <w:r>
        <w:rPr>
          <w:rFonts w:hint="eastAsia" w:ascii="宋体" w:hAnsi="宋体"/>
          <w:b w:val="0"/>
          <w:bCs w:val="0"/>
        </w:rPr>
        <w:t>（一）已标价工程量清单</w:t>
      </w:r>
      <w:bookmarkEnd w:id="2161"/>
      <w:bookmarkEnd w:id="2162"/>
      <w:bookmarkEnd w:id="2163"/>
      <w:bookmarkEnd w:id="2164"/>
      <w:bookmarkEnd w:id="2165"/>
      <w:bookmarkEnd w:id="2166"/>
      <w:bookmarkEnd w:id="2167"/>
      <w:bookmarkEnd w:id="2168"/>
    </w:p>
    <w:p>
      <w:pPr>
        <w:tabs>
          <w:tab w:val="left" w:pos="2580"/>
          <w:tab w:val="left" w:pos="5940"/>
        </w:tabs>
        <w:autoSpaceDE w:val="0"/>
        <w:autoSpaceDN w:val="0"/>
        <w:adjustRightInd w:val="0"/>
        <w:snapToGrid w:val="0"/>
        <w:spacing w:line="360" w:lineRule="auto"/>
        <w:ind w:firstLine="2940"/>
        <w:jc w:val="left"/>
        <w:rPr>
          <w:rFonts w:ascii="宋体" w:hAnsi="宋体"/>
          <w:kern w:val="0"/>
          <w:sz w:val="28"/>
          <w:szCs w:val="28"/>
        </w:rPr>
      </w:pPr>
    </w:p>
    <w:p>
      <w:pPr>
        <w:pStyle w:val="4"/>
        <w:spacing w:line="360" w:lineRule="auto"/>
        <w:outlineLvl w:val="9"/>
        <w:rPr>
          <w:rFonts w:ascii="宋体" w:hAnsi="宋体"/>
          <w:kern w:val="0"/>
          <w:sz w:val="24"/>
          <w:szCs w:val="21"/>
        </w:rPr>
      </w:pPr>
      <w:bookmarkStart w:id="2169" w:name="_Toc430530536"/>
      <w:bookmarkStart w:id="2170" w:name="_Toc224103502"/>
      <w:bookmarkStart w:id="2171" w:name="_Toc287620821"/>
      <w:bookmarkStart w:id="2172" w:name="_Toc287607874"/>
      <w:r>
        <w:rPr>
          <w:rFonts w:ascii="宋体" w:hAnsi="宋体"/>
        </w:rPr>
        <w:br w:type="page"/>
      </w:r>
    </w:p>
    <w:p>
      <w:pPr>
        <w:pStyle w:val="4"/>
        <w:spacing w:line="360" w:lineRule="auto"/>
        <w:jc w:val="center"/>
        <w:outlineLvl w:val="0"/>
        <w:rPr>
          <w:rFonts w:ascii="宋体" w:hAnsi="宋体"/>
          <w:b w:val="0"/>
          <w:bCs w:val="0"/>
          <w:color w:val="auto"/>
          <w:sz w:val="44"/>
          <w:szCs w:val="44"/>
          <w:highlight w:val="none"/>
        </w:rPr>
      </w:pPr>
      <w:bookmarkStart w:id="2173" w:name="_Toc57796015"/>
      <w:bookmarkStart w:id="2174" w:name="_Toc9423"/>
      <w:bookmarkStart w:id="2175" w:name="_Toc25469"/>
      <w:bookmarkStart w:id="2176" w:name="_Toc31681"/>
      <w:r>
        <w:rPr>
          <w:rFonts w:hint="eastAsia" w:ascii="宋体" w:hAnsi="宋体"/>
          <w:b w:val="0"/>
          <w:bCs w:val="0"/>
          <w:color w:val="auto"/>
          <w:sz w:val="44"/>
          <w:szCs w:val="44"/>
          <w:highlight w:val="none"/>
        </w:rPr>
        <w:t>三、商务部分</w:t>
      </w:r>
      <w:bookmarkEnd w:id="2173"/>
      <w:bookmarkEnd w:id="2174"/>
    </w:p>
    <w:p>
      <w:pPr>
        <w:autoSpaceDE w:val="0"/>
        <w:autoSpaceDN w:val="0"/>
        <w:adjustRightInd w:val="0"/>
        <w:snapToGrid w:val="0"/>
        <w:spacing w:line="360" w:lineRule="auto"/>
        <w:jc w:val="center"/>
        <w:rPr>
          <w:rFonts w:ascii="宋体" w:hAnsi="宋体"/>
          <w:i/>
          <w:iCs/>
          <w:color w:val="auto"/>
          <w:kern w:val="0"/>
          <w:szCs w:val="21"/>
          <w:highlight w:val="none"/>
        </w:rPr>
      </w:pPr>
      <w:r>
        <w:rPr>
          <w:rFonts w:ascii="宋体" w:hAnsi="宋体"/>
          <w:i/>
          <w:iCs/>
          <w:color w:val="auto"/>
          <w:kern w:val="0"/>
          <w:szCs w:val="21"/>
          <w:highlight w:val="none"/>
        </w:rPr>
        <w:t>[</w:t>
      </w:r>
      <w:r>
        <w:rPr>
          <w:rFonts w:hint="eastAsia" w:ascii="宋体" w:hAnsi="宋体"/>
          <w:i/>
          <w:iCs/>
          <w:color w:val="auto"/>
          <w:kern w:val="0"/>
          <w:szCs w:val="21"/>
          <w:highlight w:val="none"/>
        </w:rPr>
        <w:t>提示：不设置商务部分评审的不设此部分</w:t>
      </w:r>
      <w:r>
        <w:rPr>
          <w:rFonts w:ascii="宋体" w:hAnsi="宋体"/>
          <w:i/>
          <w:iCs/>
          <w:color w:val="auto"/>
          <w:kern w:val="0"/>
          <w:szCs w:val="21"/>
          <w:highlight w:val="none"/>
        </w:rPr>
        <w:t>]</w:t>
      </w:r>
    </w:p>
    <w:p>
      <w:pPr>
        <w:pStyle w:val="4"/>
        <w:spacing w:line="360" w:lineRule="auto"/>
        <w:jc w:val="center"/>
        <w:outlineLvl w:val="0"/>
        <w:rPr>
          <w:rFonts w:hint="eastAsia" w:ascii="宋体" w:hAnsi="宋体"/>
          <w:b w:val="0"/>
          <w:bCs w:val="0"/>
          <w:sz w:val="44"/>
          <w:szCs w:val="44"/>
        </w:rPr>
      </w:pPr>
    </w:p>
    <w:p>
      <w:pPr>
        <w:pStyle w:val="4"/>
        <w:spacing w:line="360" w:lineRule="auto"/>
        <w:jc w:val="center"/>
        <w:outlineLvl w:val="0"/>
        <w:rPr>
          <w:rFonts w:hint="eastAsia" w:ascii="宋体" w:hAnsi="宋体"/>
          <w:b w:val="0"/>
          <w:bCs w:val="0"/>
          <w:sz w:val="44"/>
          <w:szCs w:val="44"/>
        </w:rPr>
      </w:pPr>
    </w:p>
    <w:p>
      <w:pPr>
        <w:pStyle w:val="4"/>
        <w:spacing w:line="360" w:lineRule="auto"/>
        <w:jc w:val="center"/>
        <w:outlineLvl w:val="0"/>
        <w:rPr>
          <w:rFonts w:hint="eastAsia" w:ascii="宋体" w:hAnsi="宋体"/>
          <w:b w:val="0"/>
          <w:bCs w:val="0"/>
          <w:sz w:val="44"/>
          <w:szCs w:val="44"/>
        </w:rPr>
      </w:pPr>
    </w:p>
    <w:p>
      <w:pPr>
        <w:pStyle w:val="4"/>
        <w:spacing w:line="360" w:lineRule="auto"/>
        <w:jc w:val="center"/>
        <w:outlineLvl w:val="0"/>
        <w:rPr>
          <w:rFonts w:hint="eastAsia" w:ascii="宋体" w:hAnsi="宋体"/>
          <w:b w:val="0"/>
          <w:bCs w:val="0"/>
          <w:sz w:val="44"/>
          <w:szCs w:val="44"/>
        </w:rPr>
      </w:pPr>
    </w:p>
    <w:p>
      <w:pPr>
        <w:rPr>
          <w:rFonts w:hint="eastAsia" w:ascii="宋体" w:hAnsi="宋体"/>
          <w:b w:val="0"/>
          <w:bCs w:val="0"/>
          <w:sz w:val="44"/>
          <w:szCs w:val="44"/>
        </w:rPr>
      </w:pPr>
    </w:p>
    <w:p>
      <w:pPr>
        <w:pStyle w:val="2"/>
        <w:rPr>
          <w:rFonts w:hint="eastAsia" w:ascii="宋体" w:hAnsi="宋体"/>
          <w:b w:val="0"/>
          <w:bCs w:val="0"/>
          <w:sz w:val="44"/>
          <w:szCs w:val="44"/>
        </w:rPr>
      </w:pPr>
    </w:p>
    <w:p>
      <w:pPr>
        <w:rPr>
          <w:rFonts w:hint="eastAsia" w:ascii="宋体" w:hAnsi="宋体"/>
          <w:b w:val="0"/>
          <w:bCs w:val="0"/>
          <w:sz w:val="44"/>
          <w:szCs w:val="44"/>
        </w:rPr>
      </w:pPr>
    </w:p>
    <w:p>
      <w:pPr>
        <w:pStyle w:val="2"/>
        <w:rPr>
          <w:rFonts w:hint="eastAsia" w:ascii="宋体" w:hAnsi="宋体"/>
          <w:b w:val="0"/>
          <w:bCs w:val="0"/>
          <w:sz w:val="44"/>
          <w:szCs w:val="44"/>
        </w:rPr>
      </w:pPr>
    </w:p>
    <w:p>
      <w:pPr>
        <w:rPr>
          <w:rFonts w:hint="eastAsia" w:ascii="宋体" w:hAnsi="宋体"/>
          <w:b w:val="0"/>
          <w:bCs w:val="0"/>
          <w:sz w:val="44"/>
          <w:szCs w:val="44"/>
        </w:rPr>
      </w:pPr>
    </w:p>
    <w:p>
      <w:pPr>
        <w:pStyle w:val="2"/>
        <w:rPr>
          <w:rFonts w:hint="eastAsia" w:ascii="宋体" w:hAnsi="宋体"/>
          <w:b w:val="0"/>
          <w:bCs w:val="0"/>
          <w:sz w:val="44"/>
          <w:szCs w:val="44"/>
        </w:rPr>
      </w:pPr>
    </w:p>
    <w:p>
      <w:pPr>
        <w:rPr>
          <w:rFonts w:hint="eastAsia" w:ascii="宋体" w:hAnsi="宋体"/>
          <w:b w:val="0"/>
          <w:bCs w:val="0"/>
          <w:sz w:val="44"/>
          <w:szCs w:val="44"/>
        </w:rPr>
      </w:pPr>
    </w:p>
    <w:p>
      <w:pPr>
        <w:pStyle w:val="2"/>
        <w:rPr>
          <w:rFonts w:hint="eastAsia" w:ascii="宋体" w:hAnsi="宋体"/>
          <w:b w:val="0"/>
          <w:bCs w:val="0"/>
          <w:sz w:val="44"/>
          <w:szCs w:val="44"/>
        </w:rPr>
      </w:pPr>
    </w:p>
    <w:p>
      <w:pPr>
        <w:rPr>
          <w:rFonts w:hint="eastAsia" w:ascii="宋体" w:hAnsi="宋体"/>
          <w:b w:val="0"/>
          <w:bCs w:val="0"/>
          <w:sz w:val="44"/>
          <w:szCs w:val="44"/>
        </w:rPr>
      </w:pPr>
    </w:p>
    <w:p>
      <w:pPr>
        <w:pStyle w:val="2"/>
        <w:rPr>
          <w:rFonts w:hint="eastAsia" w:ascii="宋体" w:hAnsi="宋体"/>
          <w:b w:val="0"/>
          <w:bCs w:val="0"/>
          <w:sz w:val="44"/>
          <w:szCs w:val="44"/>
        </w:rPr>
      </w:pPr>
    </w:p>
    <w:p>
      <w:pPr>
        <w:rPr>
          <w:rFonts w:hint="eastAsia" w:ascii="宋体" w:hAnsi="宋体"/>
          <w:b w:val="0"/>
          <w:bCs w:val="0"/>
          <w:sz w:val="44"/>
          <w:szCs w:val="44"/>
        </w:rPr>
      </w:pPr>
    </w:p>
    <w:p>
      <w:pPr>
        <w:pStyle w:val="2"/>
        <w:rPr>
          <w:rFonts w:hint="eastAsia"/>
        </w:rPr>
      </w:pPr>
    </w:p>
    <w:p>
      <w:pPr>
        <w:pStyle w:val="4"/>
        <w:spacing w:line="360" w:lineRule="auto"/>
        <w:jc w:val="center"/>
        <w:outlineLvl w:val="0"/>
        <w:rPr>
          <w:rFonts w:ascii="宋体" w:hAnsi="宋体"/>
          <w:b w:val="0"/>
          <w:bCs w:val="0"/>
          <w:sz w:val="44"/>
          <w:szCs w:val="44"/>
        </w:rPr>
      </w:pPr>
      <w:bookmarkStart w:id="2177" w:name="_Toc13005"/>
      <w:r>
        <w:rPr>
          <w:rFonts w:hint="eastAsia" w:ascii="宋体" w:hAnsi="宋体"/>
          <w:b w:val="0"/>
          <w:bCs w:val="0"/>
          <w:sz w:val="44"/>
          <w:szCs w:val="44"/>
          <w:lang w:val="en-US" w:eastAsia="zh-CN"/>
        </w:rPr>
        <w:t>四</w:t>
      </w:r>
      <w:r>
        <w:rPr>
          <w:rFonts w:hint="eastAsia" w:ascii="宋体" w:hAnsi="宋体"/>
          <w:b w:val="0"/>
          <w:bCs w:val="0"/>
          <w:sz w:val="44"/>
          <w:szCs w:val="44"/>
        </w:rPr>
        <w:t>、技术部分</w:t>
      </w:r>
      <w:bookmarkEnd w:id="2169"/>
      <w:bookmarkEnd w:id="2170"/>
      <w:bookmarkEnd w:id="2175"/>
      <w:bookmarkEnd w:id="2176"/>
      <w:bookmarkEnd w:id="2177"/>
    </w:p>
    <w:p>
      <w:pPr>
        <w:jc w:val="center"/>
        <w:rPr>
          <w:rFonts w:ascii="宋体" w:hAnsi="宋体"/>
          <w:i/>
          <w:iCs/>
          <w:kern w:val="0"/>
          <w:szCs w:val="21"/>
        </w:rPr>
      </w:pPr>
      <w:bookmarkStart w:id="2178" w:name="_Toc534185833"/>
      <w:bookmarkStart w:id="2179" w:name="_Toc536628352"/>
      <w:bookmarkStart w:id="2180" w:name="_Toc509218856"/>
      <w:bookmarkStart w:id="2181" w:name="_Toc430530537"/>
      <w:r>
        <w:rPr>
          <w:rFonts w:ascii="宋体" w:hAnsi="宋体"/>
          <w:i/>
          <w:iCs/>
          <w:kern w:val="0"/>
          <w:szCs w:val="21"/>
        </w:rPr>
        <w:t>[</w:t>
      </w:r>
      <w:r>
        <w:rPr>
          <w:rFonts w:hint="eastAsia"/>
          <w:i/>
          <w:iCs/>
        </w:rPr>
        <w:t>提示：</w:t>
      </w:r>
      <w:r>
        <w:rPr>
          <w:i/>
          <w:iCs/>
        </w:rPr>
        <w:t>不设置技术方案评审的不设此部分</w:t>
      </w:r>
      <w:bookmarkEnd w:id="2171"/>
      <w:bookmarkEnd w:id="2172"/>
      <w:bookmarkEnd w:id="2178"/>
      <w:bookmarkEnd w:id="2179"/>
      <w:bookmarkEnd w:id="2180"/>
      <w:bookmarkEnd w:id="2181"/>
      <w:r>
        <w:rPr>
          <w:rFonts w:ascii="宋体" w:hAnsi="宋体"/>
          <w:i/>
          <w:iCs/>
          <w:kern w:val="0"/>
          <w:szCs w:val="21"/>
        </w:rPr>
        <w:t>]</w:t>
      </w:r>
    </w:p>
    <w:p>
      <w:pPr>
        <w:jc w:val="center"/>
      </w:pPr>
      <w:r>
        <w:rPr>
          <w:rFonts w:hint="eastAsia" w:ascii="宋体" w:hAnsi="宋体"/>
          <w:kern w:val="0"/>
          <w:szCs w:val="21"/>
        </w:rPr>
        <w:t>（注：</w:t>
      </w:r>
      <w:r>
        <w:rPr>
          <w:rFonts w:hint="eastAsia" w:ascii="宋体" w:hAnsi="宋体"/>
          <w:szCs w:val="21"/>
        </w:rPr>
        <w:t>电子投标文件技术明、暗标均不设封面</w:t>
      </w:r>
      <w:r>
        <w:rPr>
          <w:rFonts w:hint="eastAsia" w:ascii="宋体" w:hAnsi="宋体"/>
          <w:kern w:val="0"/>
          <w:szCs w:val="21"/>
        </w:rPr>
        <w:t>）</w:t>
      </w:r>
    </w:p>
    <w:p>
      <w:pPr>
        <w:autoSpaceDE w:val="0"/>
        <w:autoSpaceDN w:val="0"/>
        <w:adjustRightInd w:val="0"/>
        <w:snapToGrid w:val="0"/>
        <w:spacing w:line="360" w:lineRule="auto"/>
        <w:ind w:firstLine="472" w:firstLineChars="196"/>
        <w:rPr>
          <w:rFonts w:ascii="宋体" w:hAnsi="宋体"/>
          <w:b/>
          <w:snapToGrid w:val="0"/>
          <w:kern w:val="0"/>
          <w:sz w:val="24"/>
        </w:rPr>
      </w:pPr>
    </w:p>
    <w:p>
      <w:pPr>
        <w:autoSpaceDE w:val="0"/>
        <w:autoSpaceDN w:val="0"/>
        <w:adjustRightInd w:val="0"/>
        <w:snapToGrid w:val="0"/>
        <w:spacing w:line="360" w:lineRule="auto"/>
        <w:jc w:val="center"/>
        <w:rPr>
          <w:rFonts w:ascii="宋体" w:hAnsi="宋体"/>
          <w:kern w:val="0"/>
          <w:sz w:val="24"/>
        </w:rPr>
      </w:pPr>
      <w:r>
        <w:rPr>
          <w:rFonts w:ascii="宋体" w:hAnsi="宋体"/>
          <w:kern w:val="0"/>
          <w:sz w:val="24"/>
        </w:rPr>
        <w:br w:type="page"/>
      </w:r>
    </w:p>
    <w:p>
      <w:pPr>
        <w:autoSpaceDE w:val="0"/>
        <w:autoSpaceDN w:val="0"/>
        <w:adjustRightInd w:val="0"/>
        <w:snapToGrid w:val="0"/>
        <w:spacing w:line="360" w:lineRule="auto"/>
        <w:jc w:val="left"/>
        <w:rPr>
          <w:rFonts w:ascii="宋体" w:hAnsi="宋体"/>
          <w:kern w:val="0"/>
          <w:sz w:val="24"/>
          <w:szCs w:val="21"/>
        </w:rPr>
      </w:pPr>
    </w:p>
    <w:p>
      <w:pPr>
        <w:autoSpaceDE w:val="0"/>
        <w:autoSpaceDN w:val="0"/>
        <w:adjustRightInd w:val="0"/>
        <w:snapToGrid w:val="0"/>
        <w:spacing w:line="360" w:lineRule="auto"/>
        <w:jc w:val="center"/>
        <w:outlineLvl w:val="0"/>
        <w:rPr>
          <w:rFonts w:ascii="宋体" w:hAnsi="宋体"/>
          <w:kern w:val="0"/>
          <w:sz w:val="32"/>
          <w:szCs w:val="32"/>
        </w:rPr>
      </w:pPr>
      <w:bookmarkStart w:id="2182" w:name="_Toc2275"/>
      <w:bookmarkStart w:id="2183" w:name="_Toc28101"/>
      <w:r>
        <w:rPr>
          <w:rFonts w:hint="eastAsia" w:ascii="宋体" w:hAnsi="宋体"/>
          <w:kern w:val="0"/>
          <w:sz w:val="36"/>
          <w:szCs w:val="36"/>
        </w:rPr>
        <w:t>目  录</w:t>
      </w:r>
      <w:bookmarkEnd w:id="2182"/>
      <w:bookmarkEnd w:id="2183"/>
    </w:p>
    <w:p>
      <w:pPr>
        <w:autoSpaceDE w:val="0"/>
        <w:autoSpaceDN w:val="0"/>
        <w:adjustRightInd w:val="0"/>
        <w:snapToGrid w:val="0"/>
        <w:spacing w:line="360" w:lineRule="auto"/>
        <w:jc w:val="left"/>
        <w:rPr>
          <w:rFonts w:ascii="宋体" w:hAnsi="宋体"/>
          <w:kern w:val="0"/>
          <w:sz w:val="32"/>
          <w:szCs w:val="32"/>
        </w:rPr>
      </w:pPr>
    </w:p>
    <w:p>
      <w:pPr>
        <w:autoSpaceDE w:val="0"/>
        <w:autoSpaceDN w:val="0"/>
        <w:adjustRightInd w:val="0"/>
        <w:snapToGrid w:val="0"/>
        <w:spacing w:line="360" w:lineRule="auto"/>
        <w:jc w:val="center"/>
        <w:rPr>
          <w:rFonts w:ascii="宋体" w:hAnsi="宋体"/>
          <w:i/>
          <w:iCs/>
          <w:kern w:val="0"/>
          <w:szCs w:val="21"/>
        </w:rPr>
      </w:pPr>
      <w:r>
        <w:rPr>
          <w:rFonts w:ascii="宋体" w:hAnsi="宋体"/>
          <w:i/>
          <w:iCs/>
          <w:kern w:val="0"/>
          <w:szCs w:val="21"/>
        </w:rPr>
        <w:t>[</w:t>
      </w:r>
      <w:r>
        <w:rPr>
          <w:rFonts w:hint="eastAsia" w:ascii="宋体" w:hAnsi="宋体"/>
          <w:i/>
          <w:iCs/>
          <w:kern w:val="0"/>
          <w:szCs w:val="21"/>
        </w:rPr>
        <w:t>提示：</w:t>
      </w:r>
      <w:r>
        <w:rPr>
          <w:rFonts w:ascii="宋体" w:hAnsi="宋体"/>
          <w:i/>
          <w:iCs/>
          <w:kern w:val="0"/>
          <w:szCs w:val="21"/>
        </w:rPr>
        <w:t>目录由投标人自行编制]</w:t>
      </w:r>
    </w:p>
    <w:p>
      <w:pPr>
        <w:pStyle w:val="5"/>
        <w:spacing w:before="0" w:after="0" w:line="240" w:lineRule="auto"/>
        <w:jc w:val="center"/>
        <w:outlineLvl w:val="0"/>
        <w:rPr>
          <w:rFonts w:ascii="宋体" w:hAnsi="宋体"/>
          <w:b w:val="0"/>
          <w:sz w:val="36"/>
          <w:szCs w:val="36"/>
        </w:rPr>
      </w:pPr>
      <w:r>
        <w:rPr>
          <w:rFonts w:ascii="宋体" w:hAnsi="宋体"/>
        </w:rPr>
        <w:br w:type="page"/>
      </w:r>
      <w:bookmarkStart w:id="2184" w:name="_Toc3316"/>
      <w:bookmarkStart w:id="2185" w:name="_Toc21972"/>
      <w:bookmarkStart w:id="2186" w:name="_Toc24977"/>
      <w:r>
        <w:rPr>
          <w:rFonts w:hint="eastAsia" w:ascii="宋体" w:hAnsi="宋体"/>
          <w:b w:val="0"/>
        </w:rPr>
        <w:t>（一）</w:t>
      </w:r>
      <w:r>
        <w:rPr>
          <w:rFonts w:hint="eastAsia" w:ascii="宋体" w:hAnsi="宋体"/>
          <w:b w:val="0"/>
          <w:bCs w:val="0"/>
        </w:rPr>
        <w:t>技术方案</w:t>
      </w:r>
      <w:bookmarkEnd w:id="2184"/>
      <w:bookmarkEnd w:id="2185"/>
      <w:bookmarkEnd w:id="2186"/>
    </w:p>
    <w:p>
      <w:pPr>
        <w:autoSpaceDE w:val="0"/>
        <w:autoSpaceDN w:val="0"/>
        <w:adjustRightInd w:val="0"/>
        <w:snapToGrid w:val="0"/>
        <w:spacing w:line="360" w:lineRule="auto"/>
        <w:jc w:val="left"/>
        <w:rPr>
          <w:rFonts w:ascii="宋体" w:hAnsi="宋体"/>
          <w:kern w:val="0"/>
          <w:sz w:val="12"/>
          <w:szCs w:val="12"/>
        </w:rPr>
      </w:pPr>
    </w:p>
    <w:p>
      <w:pPr>
        <w:pStyle w:val="2"/>
        <w:spacing w:line="360" w:lineRule="auto"/>
        <w:ind w:firstLine="420" w:firstLineChars="200"/>
        <w:jc w:val="center"/>
        <w:rPr>
          <w:rFonts w:ascii="宋体" w:hAnsi="宋体"/>
          <w:i/>
          <w:kern w:val="0"/>
          <w:szCs w:val="21"/>
        </w:rPr>
      </w:pPr>
      <w:r>
        <w:rPr>
          <w:rFonts w:hint="eastAsia" w:ascii="宋体" w:hAnsi="宋体"/>
          <w:i/>
          <w:kern w:val="0"/>
          <w:szCs w:val="21"/>
        </w:rPr>
        <w:t>[提示：投标人应根据招标文件的要求编制技术方案]</w:t>
      </w:r>
    </w:p>
    <w:p>
      <w:pPr>
        <w:autoSpaceDE w:val="0"/>
        <w:autoSpaceDN w:val="0"/>
        <w:adjustRightInd w:val="0"/>
        <w:snapToGrid w:val="0"/>
        <w:spacing w:line="360" w:lineRule="auto"/>
        <w:ind w:firstLine="420"/>
        <w:rPr>
          <w:rFonts w:ascii="宋体" w:hAnsi="宋体"/>
          <w:kern w:val="0"/>
          <w:szCs w:val="21"/>
        </w:rPr>
      </w:pPr>
      <w:r>
        <w:rPr>
          <w:rFonts w:ascii="宋体" w:hAnsi="宋体"/>
          <w:kern w:val="0"/>
          <w:szCs w:val="21"/>
        </w:rPr>
        <w:t>1.</w:t>
      </w:r>
      <w:r>
        <w:t>投标人编制技术方案的要求：编制时应采用文字并结合图表形式说明施工方法； 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w:t>
      </w:r>
      <w:r>
        <w:rPr>
          <w:rFonts w:hint="eastAsia"/>
        </w:rPr>
        <w:t>；BIM、CIM、智慧工地建设管理方案及措施（如有）；危大工程清单安全管理措施（如有）</w:t>
      </w:r>
      <w:r>
        <w:t>等</w:t>
      </w:r>
      <w:r>
        <w:rPr>
          <w:rFonts w:ascii="宋体" w:hAnsi="宋体"/>
          <w:kern w:val="0"/>
          <w:szCs w:val="21"/>
        </w:rPr>
        <w:t>。</w:t>
      </w:r>
    </w:p>
    <w:p>
      <w:pPr>
        <w:tabs>
          <w:tab w:val="left" w:pos="735"/>
          <w:tab w:val="left" w:pos="840"/>
          <w:tab w:val="left" w:pos="1050"/>
          <w:tab w:val="left" w:pos="1700"/>
        </w:tabs>
        <w:autoSpaceDE w:val="0"/>
        <w:autoSpaceDN w:val="0"/>
        <w:adjustRightInd w:val="0"/>
        <w:snapToGrid w:val="0"/>
        <w:spacing w:line="360" w:lineRule="auto"/>
        <w:ind w:left="-2" w:leftChars="-1" w:firstLine="424" w:firstLineChars="202"/>
        <w:jc w:val="left"/>
        <w:rPr>
          <w:rFonts w:ascii="宋体" w:hAnsi="宋体"/>
          <w:kern w:val="0"/>
          <w:szCs w:val="21"/>
        </w:rPr>
      </w:pPr>
      <w:r>
        <w:rPr>
          <w:rFonts w:ascii="宋体" w:hAnsi="宋体"/>
          <w:kern w:val="0"/>
          <w:szCs w:val="21"/>
        </w:rPr>
        <w:t xml:space="preserve">2.技术方案除采用文字表述外可附下列图表，图表及格式要求附后。 </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附表一</w:t>
      </w:r>
      <w:r>
        <w:rPr>
          <w:rFonts w:hint="eastAsia" w:ascii="宋体" w:hAnsi="宋体"/>
          <w:kern w:val="0"/>
          <w:szCs w:val="21"/>
        </w:rPr>
        <w:t xml:space="preserve">  </w:t>
      </w:r>
      <w:r>
        <w:rPr>
          <w:rFonts w:ascii="宋体" w:hAnsi="宋体"/>
          <w:kern w:val="0"/>
          <w:szCs w:val="21"/>
        </w:rPr>
        <w:t>拟投入本标段的主要施工设备表</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附表二</w:t>
      </w:r>
      <w:r>
        <w:rPr>
          <w:rFonts w:hint="eastAsia" w:ascii="宋体" w:hAnsi="宋体"/>
          <w:kern w:val="0"/>
          <w:szCs w:val="21"/>
        </w:rPr>
        <w:t xml:space="preserve">  </w:t>
      </w:r>
      <w:r>
        <w:rPr>
          <w:rFonts w:ascii="宋体" w:hAnsi="宋体"/>
          <w:kern w:val="0"/>
          <w:szCs w:val="21"/>
        </w:rPr>
        <w:t>拟配备本标段的试验和检测仪器设备表</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附表三</w:t>
      </w:r>
      <w:r>
        <w:rPr>
          <w:rFonts w:hint="eastAsia" w:ascii="宋体" w:hAnsi="宋体"/>
          <w:kern w:val="0"/>
          <w:szCs w:val="21"/>
        </w:rPr>
        <w:t xml:space="preserve">  </w:t>
      </w:r>
      <w:r>
        <w:rPr>
          <w:rFonts w:ascii="宋体" w:hAnsi="宋体"/>
          <w:kern w:val="0"/>
          <w:szCs w:val="21"/>
        </w:rPr>
        <w:t>劳动力计划表</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附表四</w:t>
      </w:r>
      <w:r>
        <w:rPr>
          <w:rFonts w:hint="eastAsia" w:ascii="宋体" w:hAnsi="宋体"/>
          <w:kern w:val="0"/>
          <w:szCs w:val="21"/>
        </w:rPr>
        <w:t xml:space="preserve">  </w:t>
      </w:r>
      <w:r>
        <w:rPr>
          <w:rFonts w:ascii="宋体" w:hAnsi="宋体"/>
          <w:kern w:val="0"/>
          <w:szCs w:val="21"/>
        </w:rPr>
        <w:t>计划开、竣工日期和施工进度网络图</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附表五</w:t>
      </w:r>
      <w:r>
        <w:rPr>
          <w:rFonts w:hint="eastAsia" w:ascii="宋体" w:hAnsi="宋体"/>
          <w:kern w:val="0"/>
          <w:szCs w:val="21"/>
        </w:rPr>
        <w:t xml:space="preserve">  </w:t>
      </w:r>
      <w:r>
        <w:rPr>
          <w:rFonts w:ascii="宋体" w:hAnsi="宋体"/>
          <w:kern w:val="0"/>
          <w:szCs w:val="21"/>
        </w:rPr>
        <w:t>施工总平面图</w:t>
      </w:r>
    </w:p>
    <w:p>
      <w:pPr>
        <w:tabs>
          <w:tab w:val="left" w:pos="1700"/>
        </w:tabs>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附表六</w:t>
      </w:r>
      <w:r>
        <w:rPr>
          <w:rFonts w:hint="eastAsia" w:ascii="宋体" w:hAnsi="宋体"/>
          <w:kern w:val="0"/>
          <w:szCs w:val="21"/>
        </w:rPr>
        <w:t xml:space="preserve">  </w:t>
      </w:r>
      <w:r>
        <w:rPr>
          <w:rFonts w:ascii="宋体" w:hAnsi="宋体"/>
          <w:kern w:val="0"/>
          <w:szCs w:val="21"/>
        </w:rPr>
        <w:t>临时用地表</w:t>
      </w:r>
    </w:p>
    <w:p>
      <w:pPr>
        <w:jc w:val="center"/>
        <w:outlineLvl w:val="0"/>
        <w:rPr>
          <w:sz w:val="32"/>
          <w:szCs w:val="32"/>
        </w:rPr>
      </w:pPr>
      <w:bookmarkStart w:id="2187" w:name="_Toc287607876"/>
      <w:bookmarkStart w:id="2188" w:name="_Toc534185834"/>
      <w:bookmarkStart w:id="2189" w:name="_Toc287620823"/>
      <w:bookmarkStart w:id="2190" w:name="_Toc224103504"/>
      <w:bookmarkStart w:id="2191" w:name="_Toc277082650"/>
      <w:bookmarkStart w:id="2192" w:name="_Toc430530539"/>
      <w:bookmarkStart w:id="2193" w:name="_Toc509218857"/>
      <w:bookmarkStart w:id="2194" w:name="_Toc277082653"/>
      <w:bookmarkStart w:id="2195" w:name="_Toc287620826"/>
      <w:bookmarkStart w:id="2196" w:name="_Toc287607879"/>
      <w:bookmarkStart w:id="2197" w:name="_Toc224103507"/>
      <w:r>
        <w:rPr>
          <w:rFonts w:ascii="宋体" w:hAnsi="宋体"/>
          <w:kern w:val="0"/>
          <w:sz w:val="24"/>
        </w:rPr>
        <w:br w:type="page"/>
      </w:r>
      <w:bookmarkStart w:id="2198" w:name="_Toc2581"/>
      <w:bookmarkStart w:id="2199" w:name="_Toc595"/>
      <w:r>
        <w:rPr>
          <w:rFonts w:hint="eastAsia"/>
          <w:sz w:val="32"/>
          <w:szCs w:val="32"/>
        </w:rPr>
        <w:t>附表一：拟投入本标段的主要施工设备表</w:t>
      </w:r>
      <w:bookmarkEnd w:id="2187"/>
      <w:bookmarkEnd w:id="2188"/>
      <w:bookmarkEnd w:id="2189"/>
      <w:bookmarkEnd w:id="2190"/>
      <w:bookmarkEnd w:id="2191"/>
      <w:bookmarkEnd w:id="2192"/>
      <w:bookmarkEnd w:id="2193"/>
      <w:bookmarkEnd w:id="2198"/>
      <w:bookmarkEnd w:id="2199"/>
    </w:p>
    <w:tbl>
      <w:tblPr>
        <w:tblStyle w:val="54"/>
        <w:tblW w:w="9469" w:type="dxa"/>
        <w:tblInd w:w="-5"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721"/>
        <w:gridCol w:w="1176"/>
        <w:gridCol w:w="824"/>
        <w:gridCol w:w="1072"/>
        <w:gridCol w:w="728"/>
        <w:gridCol w:w="799"/>
        <w:gridCol w:w="1312"/>
        <w:gridCol w:w="947"/>
        <w:gridCol w:w="1141"/>
        <w:gridCol w:w="749"/>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1017" w:hRule="exact"/>
        </w:trPr>
        <w:tc>
          <w:tcPr>
            <w:tcW w:w="721"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序号</w:t>
            </w:r>
          </w:p>
        </w:tc>
        <w:tc>
          <w:tcPr>
            <w:tcW w:w="1176"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设备名称</w:t>
            </w:r>
          </w:p>
        </w:tc>
        <w:tc>
          <w:tcPr>
            <w:tcW w:w="824"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型号</w:t>
            </w:r>
          </w:p>
          <w:p>
            <w:pPr>
              <w:autoSpaceDE w:val="0"/>
              <w:autoSpaceDN w:val="0"/>
              <w:adjustRightInd w:val="0"/>
              <w:snapToGrid w:val="0"/>
              <w:jc w:val="center"/>
              <w:rPr>
                <w:rFonts w:ascii="宋体" w:hAnsi="宋体"/>
                <w:kern w:val="0"/>
                <w:sz w:val="24"/>
              </w:rPr>
            </w:pPr>
            <w:r>
              <w:rPr>
                <w:rFonts w:ascii="宋体" w:hAnsi="宋体"/>
                <w:kern w:val="0"/>
                <w:szCs w:val="21"/>
              </w:rPr>
              <w:t>规格</w:t>
            </w:r>
          </w:p>
        </w:tc>
        <w:tc>
          <w:tcPr>
            <w:tcW w:w="1072"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数量</w:t>
            </w:r>
          </w:p>
        </w:tc>
        <w:tc>
          <w:tcPr>
            <w:tcW w:w="728"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国别 产地</w:t>
            </w:r>
          </w:p>
        </w:tc>
        <w:tc>
          <w:tcPr>
            <w:tcW w:w="799"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制造</w:t>
            </w:r>
          </w:p>
          <w:p>
            <w:pPr>
              <w:autoSpaceDE w:val="0"/>
              <w:autoSpaceDN w:val="0"/>
              <w:adjustRightInd w:val="0"/>
              <w:snapToGrid w:val="0"/>
              <w:jc w:val="center"/>
              <w:rPr>
                <w:rFonts w:ascii="宋体" w:hAnsi="宋体"/>
                <w:kern w:val="0"/>
                <w:sz w:val="24"/>
              </w:rPr>
            </w:pPr>
            <w:r>
              <w:rPr>
                <w:rFonts w:ascii="宋体" w:hAnsi="宋体"/>
                <w:kern w:val="0"/>
                <w:szCs w:val="21"/>
              </w:rPr>
              <w:t>年份</w:t>
            </w:r>
          </w:p>
        </w:tc>
        <w:tc>
          <w:tcPr>
            <w:tcW w:w="1312"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额定功率</w:t>
            </w:r>
          </w:p>
          <w:p>
            <w:pPr>
              <w:autoSpaceDE w:val="0"/>
              <w:autoSpaceDN w:val="0"/>
              <w:adjustRightInd w:val="0"/>
              <w:snapToGrid w:val="0"/>
              <w:jc w:val="center"/>
              <w:rPr>
                <w:rFonts w:ascii="宋体" w:hAnsi="宋体"/>
                <w:kern w:val="0"/>
                <w:sz w:val="10"/>
                <w:szCs w:val="10"/>
              </w:rPr>
            </w:pPr>
          </w:p>
          <w:p>
            <w:pPr>
              <w:autoSpaceDE w:val="0"/>
              <w:autoSpaceDN w:val="0"/>
              <w:adjustRightInd w:val="0"/>
              <w:snapToGrid w:val="0"/>
              <w:jc w:val="center"/>
              <w:rPr>
                <w:rFonts w:ascii="宋体" w:hAnsi="宋体"/>
                <w:kern w:val="0"/>
                <w:sz w:val="24"/>
              </w:rPr>
            </w:pPr>
            <w:r>
              <w:rPr>
                <w:rFonts w:ascii="宋体" w:hAnsi="宋体"/>
                <w:kern w:val="0"/>
                <w:szCs w:val="21"/>
              </w:rPr>
              <w:t>（KW）</w:t>
            </w:r>
          </w:p>
        </w:tc>
        <w:tc>
          <w:tcPr>
            <w:tcW w:w="947"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生产</w:t>
            </w:r>
          </w:p>
          <w:p>
            <w:pPr>
              <w:autoSpaceDE w:val="0"/>
              <w:autoSpaceDN w:val="0"/>
              <w:adjustRightInd w:val="0"/>
              <w:snapToGrid w:val="0"/>
              <w:jc w:val="center"/>
              <w:rPr>
                <w:rFonts w:ascii="宋体" w:hAnsi="宋体"/>
                <w:kern w:val="0"/>
                <w:sz w:val="24"/>
              </w:rPr>
            </w:pPr>
            <w:r>
              <w:rPr>
                <w:rFonts w:ascii="宋体" w:hAnsi="宋体"/>
                <w:kern w:val="0"/>
                <w:szCs w:val="21"/>
              </w:rPr>
              <w:t>能力</w:t>
            </w:r>
          </w:p>
        </w:tc>
        <w:tc>
          <w:tcPr>
            <w:tcW w:w="1141"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用于施</w:t>
            </w:r>
          </w:p>
          <w:p>
            <w:pPr>
              <w:autoSpaceDE w:val="0"/>
              <w:autoSpaceDN w:val="0"/>
              <w:adjustRightInd w:val="0"/>
              <w:snapToGrid w:val="0"/>
              <w:jc w:val="center"/>
              <w:rPr>
                <w:rFonts w:ascii="宋体" w:hAnsi="宋体"/>
                <w:kern w:val="0"/>
                <w:sz w:val="24"/>
              </w:rPr>
            </w:pPr>
            <w:r>
              <w:rPr>
                <w:rFonts w:ascii="宋体" w:hAnsi="宋体"/>
                <w:kern w:val="0"/>
                <w:szCs w:val="21"/>
              </w:rPr>
              <w:t>工部位</w:t>
            </w:r>
          </w:p>
        </w:tc>
        <w:tc>
          <w:tcPr>
            <w:tcW w:w="749"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5" w:hRule="exact"/>
        </w:trPr>
        <w:tc>
          <w:tcPr>
            <w:tcW w:w="721" w:type="dxa"/>
            <w:vAlign w:val="center"/>
          </w:tcPr>
          <w:p>
            <w:pPr>
              <w:autoSpaceDE w:val="0"/>
              <w:autoSpaceDN w:val="0"/>
              <w:adjustRightInd w:val="0"/>
              <w:snapToGrid w:val="0"/>
              <w:jc w:val="center"/>
              <w:rPr>
                <w:rFonts w:ascii="宋体" w:hAnsi="宋体"/>
                <w:kern w:val="0"/>
                <w:sz w:val="24"/>
              </w:rPr>
            </w:pPr>
          </w:p>
        </w:tc>
        <w:tc>
          <w:tcPr>
            <w:tcW w:w="1176" w:type="dxa"/>
            <w:vAlign w:val="center"/>
          </w:tcPr>
          <w:p>
            <w:pPr>
              <w:autoSpaceDE w:val="0"/>
              <w:autoSpaceDN w:val="0"/>
              <w:adjustRightInd w:val="0"/>
              <w:snapToGrid w:val="0"/>
              <w:jc w:val="center"/>
              <w:rPr>
                <w:rFonts w:ascii="宋体" w:hAnsi="宋体"/>
                <w:kern w:val="0"/>
                <w:sz w:val="24"/>
              </w:rPr>
            </w:pPr>
          </w:p>
        </w:tc>
        <w:tc>
          <w:tcPr>
            <w:tcW w:w="824" w:type="dxa"/>
            <w:vAlign w:val="center"/>
          </w:tcPr>
          <w:p>
            <w:pPr>
              <w:autoSpaceDE w:val="0"/>
              <w:autoSpaceDN w:val="0"/>
              <w:adjustRightInd w:val="0"/>
              <w:snapToGrid w:val="0"/>
              <w:jc w:val="center"/>
              <w:rPr>
                <w:rFonts w:ascii="宋体" w:hAnsi="宋体"/>
                <w:kern w:val="0"/>
                <w:sz w:val="24"/>
              </w:rPr>
            </w:pPr>
          </w:p>
        </w:tc>
        <w:tc>
          <w:tcPr>
            <w:tcW w:w="1072" w:type="dxa"/>
            <w:vAlign w:val="center"/>
          </w:tcPr>
          <w:p>
            <w:pPr>
              <w:autoSpaceDE w:val="0"/>
              <w:autoSpaceDN w:val="0"/>
              <w:adjustRightInd w:val="0"/>
              <w:snapToGrid w:val="0"/>
              <w:jc w:val="center"/>
              <w:rPr>
                <w:rFonts w:ascii="宋体" w:hAnsi="宋体"/>
                <w:kern w:val="0"/>
                <w:sz w:val="24"/>
              </w:rPr>
            </w:pPr>
          </w:p>
        </w:tc>
        <w:tc>
          <w:tcPr>
            <w:tcW w:w="728" w:type="dxa"/>
            <w:vAlign w:val="center"/>
          </w:tcPr>
          <w:p>
            <w:pPr>
              <w:autoSpaceDE w:val="0"/>
              <w:autoSpaceDN w:val="0"/>
              <w:adjustRightInd w:val="0"/>
              <w:snapToGrid w:val="0"/>
              <w:jc w:val="center"/>
              <w:rPr>
                <w:rFonts w:ascii="宋体" w:hAnsi="宋体"/>
                <w:kern w:val="0"/>
                <w:sz w:val="24"/>
              </w:rPr>
            </w:pPr>
          </w:p>
        </w:tc>
        <w:tc>
          <w:tcPr>
            <w:tcW w:w="799" w:type="dxa"/>
            <w:vAlign w:val="center"/>
          </w:tcPr>
          <w:p>
            <w:pPr>
              <w:autoSpaceDE w:val="0"/>
              <w:autoSpaceDN w:val="0"/>
              <w:adjustRightInd w:val="0"/>
              <w:snapToGrid w:val="0"/>
              <w:jc w:val="center"/>
              <w:rPr>
                <w:rFonts w:ascii="宋体" w:hAnsi="宋体"/>
                <w:kern w:val="0"/>
                <w:sz w:val="24"/>
              </w:rPr>
            </w:pPr>
          </w:p>
        </w:tc>
        <w:tc>
          <w:tcPr>
            <w:tcW w:w="1312" w:type="dxa"/>
            <w:vAlign w:val="center"/>
          </w:tcPr>
          <w:p>
            <w:pPr>
              <w:autoSpaceDE w:val="0"/>
              <w:autoSpaceDN w:val="0"/>
              <w:adjustRightInd w:val="0"/>
              <w:snapToGrid w:val="0"/>
              <w:jc w:val="center"/>
              <w:rPr>
                <w:rFonts w:ascii="宋体" w:hAnsi="宋体"/>
                <w:kern w:val="0"/>
                <w:sz w:val="24"/>
              </w:rPr>
            </w:pPr>
          </w:p>
        </w:tc>
        <w:tc>
          <w:tcPr>
            <w:tcW w:w="947" w:type="dxa"/>
            <w:vAlign w:val="center"/>
          </w:tcPr>
          <w:p>
            <w:pPr>
              <w:autoSpaceDE w:val="0"/>
              <w:autoSpaceDN w:val="0"/>
              <w:adjustRightInd w:val="0"/>
              <w:snapToGrid w:val="0"/>
              <w:jc w:val="center"/>
              <w:rPr>
                <w:rFonts w:ascii="宋体" w:hAnsi="宋体"/>
                <w:kern w:val="0"/>
                <w:sz w:val="24"/>
              </w:rPr>
            </w:pPr>
          </w:p>
        </w:tc>
        <w:tc>
          <w:tcPr>
            <w:tcW w:w="1141" w:type="dxa"/>
            <w:vAlign w:val="center"/>
          </w:tcPr>
          <w:p>
            <w:pPr>
              <w:autoSpaceDE w:val="0"/>
              <w:autoSpaceDN w:val="0"/>
              <w:adjustRightInd w:val="0"/>
              <w:snapToGrid w:val="0"/>
              <w:jc w:val="center"/>
              <w:rPr>
                <w:rFonts w:ascii="宋体" w:hAnsi="宋体"/>
                <w:kern w:val="0"/>
                <w:sz w:val="24"/>
              </w:rPr>
            </w:pPr>
          </w:p>
        </w:tc>
        <w:tc>
          <w:tcPr>
            <w:tcW w:w="749" w:type="dxa"/>
            <w:vAlign w:val="center"/>
          </w:tcPr>
          <w:p>
            <w:pPr>
              <w:autoSpaceDE w:val="0"/>
              <w:autoSpaceDN w:val="0"/>
              <w:adjustRightInd w:val="0"/>
              <w:snapToGrid w:val="0"/>
              <w:jc w:val="center"/>
              <w:rPr>
                <w:rFonts w:ascii="宋体" w:hAnsi="宋体"/>
                <w:kern w:val="0"/>
                <w:sz w:val="24"/>
              </w:rPr>
            </w:pPr>
          </w:p>
        </w:tc>
      </w:tr>
    </w:tbl>
    <w:p>
      <w:pPr>
        <w:autoSpaceDE w:val="0"/>
        <w:autoSpaceDN w:val="0"/>
        <w:adjustRightInd w:val="0"/>
        <w:snapToGrid w:val="0"/>
        <w:spacing w:line="20" w:lineRule="exact"/>
        <w:jc w:val="left"/>
        <w:rPr>
          <w:rFonts w:ascii="宋体" w:hAnsi="宋体"/>
          <w:kern w:val="0"/>
        </w:rPr>
      </w:pPr>
    </w:p>
    <w:p>
      <w:pPr>
        <w:jc w:val="center"/>
        <w:outlineLvl w:val="0"/>
        <w:rPr>
          <w:rFonts w:ascii="宋体" w:hAnsi="宋体"/>
          <w:kern w:val="0"/>
          <w:sz w:val="20"/>
          <w:szCs w:val="20"/>
        </w:rPr>
      </w:pPr>
      <w:bookmarkStart w:id="2200" w:name="_Toc277082651"/>
      <w:bookmarkStart w:id="2201" w:name="_Toc287620824"/>
      <w:bookmarkStart w:id="2202" w:name="_Toc224103505"/>
      <w:bookmarkStart w:id="2203" w:name="_Toc430530540"/>
      <w:bookmarkStart w:id="2204" w:name="_Toc287607877"/>
      <w:r>
        <w:rPr>
          <w:rFonts w:ascii="宋体" w:hAnsi="宋体"/>
          <w:sz w:val="28"/>
        </w:rPr>
        <w:br w:type="page"/>
      </w:r>
      <w:bookmarkStart w:id="2205" w:name="_Toc4438"/>
      <w:bookmarkStart w:id="2206" w:name="_Toc534185835"/>
      <w:bookmarkStart w:id="2207" w:name="_Toc8165"/>
      <w:bookmarkStart w:id="2208" w:name="_Toc509218858"/>
      <w:r>
        <w:rPr>
          <w:sz w:val="32"/>
          <w:szCs w:val="32"/>
        </w:rPr>
        <w:t>附表二：拟配备本标段的试验和检测仪器设备表</w:t>
      </w:r>
      <w:bookmarkEnd w:id="2200"/>
      <w:bookmarkEnd w:id="2201"/>
      <w:bookmarkEnd w:id="2202"/>
      <w:bookmarkEnd w:id="2203"/>
      <w:bookmarkEnd w:id="2204"/>
      <w:bookmarkEnd w:id="2205"/>
      <w:bookmarkEnd w:id="2206"/>
      <w:bookmarkEnd w:id="2207"/>
      <w:bookmarkEnd w:id="2208"/>
    </w:p>
    <w:tbl>
      <w:tblPr>
        <w:tblStyle w:val="54"/>
        <w:tblW w:w="9494"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747"/>
        <w:gridCol w:w="1219"/>
        <w:gridCol w:w="852"/>
        <w:gridCol w:w="1111"/>
        <w:gridCol w:w="754"/>
        <w:gridCol w:w="827"/>
        <w:gridCol w:w="1359"/>
        <w:gridCol w:w="1855"/>
        <w:gridCol w:w="77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1014" w:hRule="exact"/>
        </w:trPr>
        <w:tc>
          <w:tcPr>
            <w:tcW w:w="747"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序号</w:t>
            </w:r>
          </w:p>
        </w:tc>
        <w:tc>
          <w:tcPr>
            <w:tcW w:w="1219"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仪器设备</w:t>
            </w:r>
          </w:p>
          <w:p>
            <w:pPr>
              <w:autoSpaceDE w:val="0"/>
              <w:autoSpaceDN w:val="0"/>
              <w:adjustRightInd w:val="0"/>
              <w:snapToGrid w:val="0"/>
              <w:jc w:val="center"/>
              <w:rPr>
                <w:rFonts w:ascii="宋体" w:hAnsi="宋体"/>
                <w:kern w:val="0"/>
                <w:sz w:val="24"/>
              </w:rPr>
            </w:pPr>
            <w:r>
              <w:rPr>
                <w:rFonts w:ascii="宋体" w:hAnsi="宋体"/>
                <w:kern w:val="0"/>
                <w:szCs w:val="21"/>
              </w:rPr>
              <w:t>名　　称</w:t>
            </w:r>
          </w:p>
        </w:tc>
        <w:tc>
          <w:tcPr>
            <w:tcW w:w="852"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型号</w:t>
            </w:r>
          </w:p>
          <w:p>
            <w:pPr>
              <w:autoSpaceDE w:val="0"/>
              <w:autoSpaceDN w:val="0"/>
              <w:adjustRightInd w:val="0"/>
              <w:snapToGrid w:val="0"/>
              <w:jc w:val="center"/>
              <w:rPr>
                <w:rFonts w:ascii="宋体" w:hAnsi="宋体"/>
                <w:kern w:val="0"/>
                <w:sz w:val="24"/>
              </w:rPr>
            </w:pPr>
            <w:r>
              <w:rPr>
                <w:rFonts w:ascii="宋体" w:hAnsi="宋体"/>
                <w:kern w:val="0"/>
                <w:szCs w:val="21"/>
              </w:rPr>
              <w:t>规格</w:t>
            </w:r>
          </w:p>
        </w:tc>
        <w:tc>
          <w:tcPr>
            <w:tcW w:w="1111"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数量</w:t>
            </w:r>
          </w:p>
        </w:tc>
        <w:tc>
          <w:tcPr>
            <w:tcW w:w="754"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国别</w:t>
            </w:r>
          </w:p>
          <w:p>
            <w:pPr>
              <w:autoSpaceDE w:val="0"/>
              <w:autoSpaceDN w:val="0"/>
              <w:adjustRightInd w:val="0"/>
              <w:snapToGrid w:val="0"/>
              <w:jc w:val="center"/>
              <w:rPr>
                <w:rFonts w:ascii="宋体" w:hAnsi="宋体"/>
                <w:kern w:val="0"/>
                <w:sz w:val="24"/>
              </w:rPr>
            </w:pPr>
            <w:r>
              <w:rPr>
                <w:rFonts w:ascii="宋体" w:hAnsi="宋体"/>
                <w:kern w:val="0"/>
                <w:szCs w:val="21"/>
              </w:rPr>
              <w:t>产地</w:t>
            </w:r>
          </w:p>
        </w:tc>
        <w:tc>
          <w:tcPr>
            <w:tcW w:w="827"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制造</w:t>
            </w:r>
          </w:p>
          <w:p>
            <w:pPr>
              <w:autoSpaceDE w:val="0"/>
              <w:autoSpaceDN w:val="0"/>
              <w:adjustRightInd w:val="0"/>
              <w:snapToGrid w:val="0"/>
              <w:jc w:val="center"/>
              <w:rPr>
                <w:rFonts w:ascii="宋体" w:hAnsi="宋体"/>
                <w:kern w:val="0"/>
                <w:sz w:val="24"/>
              </w:rPr>
            </w:pPr>
            <w:r>
              <w:rPr>
                <w:rFonts w:ascii="宋体" w:hAnsi="宋体"/>
                <w:kern w:val="0"/>
                <w:szCs w:val="21"/>
              </w:rPr>
              <w:t>年份</w:t>
            </w:r>
          </w:p>
        </w:tc>
        <w:tc>
          <w:tcPr>
            <w:tcW w:w="1359"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已使用</w:t>
            </w:r>
          </w:p>
          <w:p>
            <w:pPr>
              <w:autoSpaceDE w:val="0"/>
              <w:autoSpaceDN w:val="0"/>
              <w:adjustRightInd w:val="0"/>
              <w:snapToGrid w:val="0"/>
              <w:jc w:val="center"/>
              <w:rPr>
                <w:rFonts w:ascii="宋体" w:hAnsi="宋体"/>
                <w:kern w:val="0"/>
                <w:szCs w:val="21"/>
              </w:rPr>
            </w:pPr>
            <w:r>
              <w:rPr>
                <w:rFonts w:ascii="宋体" w:hAnsi="宋体"/>
                <w:kern w:val="0"/>
                <w:szCs w:val="21"/>
              </w:rPr>
              <w:t>台时数</w:t>
            </w:r>
          </w:p>
        </w:tc>
        <w:tc>
          <w:tcPr>
            <w:tcW w:w="1855"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用途</w:t>
            </w:r>
          </w:p>
        </w:tc>
        <w:tc>
          <w:tcPr>
            <w:tcW w:w="770"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3" w:hRule="exact"/>
        </w:trPr>
        <w:tc>
          <w:tcPr>
            <w:tcW w:w="747" w:type="dxa"/>
          </w:tcPr>
          <w:p>
            <w:pPr>
              <w:autoSpaceDE w:val="0"/>
              <w:autoSpaceDN w:val="0"/>
              <w:adjustRightInd w:val="0"/>
              <w:snapToGrid w:val="0"/>
              <w:jc w:val="left"/>
              <w:rPr>
                <w:rFonts w:ascii="宋体" w:hAnsi="宋体"/>
                <w:kern w:val="0"/>
                <w:sz w:val="24"/>
              </w:rPr>
            </w:pPr>
          </w:p>
        </w:tc>
        <w:tc>
          <w:tcPr>
            <w:tcW w:w="1219" w:type="dxa"/>
          </w:tcPr>
          <w:p>
            <w:pPr>
              <w:autoSpaceDE w:val="0"/>
              <w:autoSpaceDN w:val="0"/>
              <w:adjustRightInd w:val="0"/>
              <w:snapToGrid w:val="0"/>
              <w:jc w:val="left"/>
              <w:rPr>
                <w:rFonts w:ascii="宋体" w:hAnsi="宋体"/>
                <w:kern w:val="0"/>
                <w:sz w:val="24"/>
              </w:rPr>
            </w:pPr>
          </w:p>
        </w:tc>
        <w:tc>
          <w:tcPr>
            <w:tcW w:w="852" w:type="dxa"/>
          </w:tcPr>
          <w:p>
            <w:pPr>
              <w:autoSpaceDE w:val="0"/>
              <w:autoSpaceDN w:val="0"/>
              <w:adjustRightInd w:val="0"/>
              <w:snapToGrid w:val="0"/>
              <w:jc w:val="left"/>
              <w:rPr>
                <w:rFonts w:ascii="宋体" w:hAnsi="宋体"/>
                <w:kern w:val="0"/>
                <w:sz w:val="24"/>
              </w:rPr>
            </w:pPr>
          </w:p>
        </w:tc>
        <w:tc>
          <w:tcPr>
            <w:tcW w:w="1111" w:type="dxa"/>
          </w:tcPr>
          <w:p>
            <w:pPr>
              <w:autoSpaceDE w:val="0"/>
              <w:autoSpaceDN w:val="0"/>
              <w:adjustRightInd w:val="0"/>
              <w:snapToGrid w:val="0"/>
              <w:jc w:val="left"/>
              <w:rPr>
                <w:rFonts w:ascii="宋体" w:hAnsi="宋体"/>
                <w:kern w:val="0"/>
                <w:sz w:val="24"/>
              </w:rPr>
            </w:pPr>
          </w:p>
        </w:tc>
        <w:tc>
          <w:tcPr>
            <w:tcW w:w="754" w:type="dxa"/>
          </w:tcPr>
          <w:p>
            <w:pPr>
              <w:autoSpaceDE w:val="0"/>
              <w:autoSpaceDN w:val="0"/>
              <w:adjustRightInd w:val="0"/>
              <w:snapToGrid w:val="0"/>
              <w:jc w:val="left"/>
              <w:rPr>
                <w:rFonts w:ascii="宋体" w:hAnsi="宋体"/>
                <w:kern w:val="0"/>
                <w:sz w:val="24"/>
              </w:rPr>
            </w:pPr>
          </w:p>
        </w:tc>
        <w:tc>
          <w:tcPr>
            <w:tcW w:w="827" w:type="dxa"/>
          </w:tcPr>
          <w:p>
            <w:pPr>
              <w:autoSpaceDE w:val="0"/>
              <w:autoSpaceDN w:val="0"/>
              <w:adjustRightInd w:val="0"/>
              <w:snapToGrid w:val="0"/>
              <w:jc w:val="left"/>
              <w:rPr>
                <w:rFonts w:ascii="宋体" w:hAnsi="宋体"/>
                <w:kern w:val="0"/>
                <w:sz w:val="24"/>
              </w:rPr>
            </w:pPr>
          </w:p>
        </w:tc>
        <w:tc>
          <w:tcPr>
            <w:tcW w:w="1359" w:type="dxa"/>
          </w:tcPr>
          <w:p>
            <w:pPr>
              <w:autoSpaceDE w:val="0"/>
              <w:autoSpaceDN w:val="0"/>
              <w:adjustRightInd w:val="0"/>
              <w:snapToGrid w:val="0"/>
              <w:jc w:val="left"/>
              <w:rPr>
                <w:rFonts w:ascii="宋体" w:hAnsi="宋体"/>
                <w:kern w:val="0"/>
                <w:sz w:val="24"/>
              </w:rPr>
            </w:pPr>
          </w:p>
        </w:tc>
        <w:tc>
          <w:tcPr>
            <w:tcW w:w="1855" w:type="dxa"/>
          </w:tcPr>
          <w:p>
            <w:pPr>
              <w:autoSpaceDE w:val="0"/>
              <w:autoSpaceDN w:val="0"/>
              <w:adjustRightInd w:val="0"/>
              <w:snapToGrid w:val="0"/>
              <w:jc w:val="left"/>
              <w:rPr>
                <w:rFonts w:ascii="宋体" w:hAnsi="宋体"/>
                <w:kern w:val="0"/>
                <w:sz w:val="24"/>
              </w:rPr>
            </w:pPr>
          </w:p>
        </w:tc>
        <w:tc>
          <w:tcPr>
            <w:tcW w:w="770" w:type="dxa"/>
          </w:tcPr>
          <w:p>
            <w:pPr>
              <w:autoSpaceDE w:val="0"/>
              <w:autoSpaceDN w:val="0"/>
              <w:adjustRightInd w:val="0"/>
              <w:snapToGrid w:val="0"/>
              <w:jc w:val="left"/>
              <w:rPr>
                <w:rFonts w:ascii="宋体" w:hAnsi="宋体"/>
                <w:kern w:val="0"/>
                <w:sz w:val="24"/>
              </w:rPr>
            </w:pPr>
          </w:p>
        </w:tc>
      </w:tr>
    </w:tbl>
    <w:p>
      <w:pPr>
        <w:spacing w:line="20" w:lineRule="exact"/>
        <w:rPr>
          <w:rFonts w:ascii="宋体" w:hAnsi="宋体"/>
        </w:rPr>
      </w:pPr>
    </w:p>
    <w:p>
      <w:pPr>
        <w:jc w:val="center"/>
        <w:outlineLvl w:val="0"/>
        <w:rPr>
          <w:rFonts w:ascii="宋体" w:hAnsi="宋体"/>
          <w:b/>
        </w:rPr>
      </w:pPr>
      <w:bookmarkStart w:id="2209" w:name="_Toc224103506"/>
      <w:bookmarkStart w:id="2210" w:name="_Toc287607878"/>
      <w:bookmarkStart w:id="2211" w:name="_Toc430530541"/>
      <w:bookmarkStart w:id="2212" w:name="_Toc277082652"/>
      <w:bookmarkStart w:id="2213" w:name="_Toc287620825"/>
      <w:r>
        <w:rPr>
          <w:rFonts w:ascii="宋体" w:hAnsi="宋体"/>
          <w:sz w:val="28"/>
        </w:rPr>
        <w:br w:type="page"/>
      </w:r>
      <w:bookmarkStart w:id="2214" w:name="_Toc10959"/>
      <w:bookmarkStart w:id="2215" w:name="_Toc534185836"/>
      <w:bookmarkStart w:id="2216" w:name="_Toc28632"/>
      <w:bookmarkStart w:id="2217" w:name="_Toc509218859"/>
      <w:r>
        <w:rPr>
          <w:sz w:val="32"/>
          <w:szCs w:val="32"/>
        </w:rPr>
        <w:t>附表三：劳动力计划表</w:t>
      </w:r>
      <w:bookmarkEnd w:id="2209"/>
      <w:bookmarkEnd w:id="2210"/>
      <w:bookmarkEnd w:id="2211"/>
      <w:bookmarkEnd w:id="2212"/>
      <w:bookmarkEnd w:id="2213"/>
      <w:bookmarkEnd w:id="2214"/>
      <w:bookmarkEnd w:id="2215"/>
      <w:bookmarkEnd w:id="2216"/>
      <w:bookmarkEnd w:id="2217"/>
    </w:p>
    <w:p>
      <w:pPr>
        <w:autoSpaceDE w:val="0"/>
        <w:autoSpaceDN w:val="0"/>
        <w:adjustRightInd w:val="0"/>
        <w:snapToGrid w:val="0"/>
        <w:spacing w:line="360" w:lineRule="auto"/>
        <w:ind w:right="210"/>
        <w:jc w:val="right"/>
        <w:rPr>
          <w:rFonts w:ascii="宋体" w:hAnsi="宋体"/>
          <w:kern w:val="0"/>
          <w:szCs w:val="21"/>
        </w:rPr>
      </w:pPr>
      <w:r>
        <w:rPr>
          <w:rFonts w:ascii="宋体" w:hAnsi="宋体"/>
          <w:kern w:val="0"/>
          <w:szCs w:val="21"/>
        </w:rPr>
        <w:t>单位：人</w:t>
      </w:r>
    </w:p>
    <w:tbl>
      <w:tblPr>
        <w:tblStyle w:val="54"/>
        <w:tblW w:w="9498"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24"/>
        <w:gridCol w:w="1453"/>
        <w:gridCol w:w="1186"/>
        <w:gridCol w:w="1188"/>
        <w:gridCol w:w="1186"/>
        <w:gridCol w:w="1188"/>
        <w:gridCol w:w="1186"/>
        <w:gridCol w:w="118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vMerge w:val="restart"/>
            <w:vAlign w:val="center"/>
          </w:tcPr>
          <w:p>
            <w:pPr>
              <w:autoSpaceDE w:val="0"/>
              <w:autoSpaceDN w:val="0"/>
              <w:adjustRightInd w:val="0"/>
              <w:snapToGrid w:val="0"/>
              <w:jc w:val="center"/>
              <w:rPr>
                <w:rFonts w:ascii="宋体" w:hAnsi="宋体"/>
                <w:kern w:val="0"/>
                <w:sz w:val="24"/>
              </w:rPr>
            </w:pPr>
            <w:r>
              <w:rPr>
                <w:rFonts w:ascii="宋体" w:hAnsi="宋体"/>
                <w:kern w:val="0"/>
                <w:szCs w:val="21"/>
              </w:rPr>
              <w:t>工种</w:t>
            </w:r>
          </w:p>
        </w:tc>
        <w:tc>
          <w:tcPr>
            <w:tcW w:w="8574" w:type="dxa"/>
            <w:gridSpan w:val="7"/>
            <w:vAlign w:val="center"/>
          </w:tcPr>
          <w:p>
            <w:pPr>
              <w:autoSpaceDE w:val="0"/>
              <w:autoSpaceDN w:val="0"/>
              <w:adjustRightInd w:val="0"/>
              <w:snapToGrid w:val="0"/>
              <w:jc w:val="center"/>
              <w:rPr>
                <w:rFonts w:ascii="宋体" w:hAnsi="宋体"/>
                <w:kern w:val="0"/>
                <w:sz w:val="24"/>
              </w:rPr>
            </w:pPr>
            <w:r>
              <w:rPr>
                <w:rFonts w:ascii="宋体" w:hAnsi="宋体"/>
                <w:kern w:val="0"/>
                <w:szCs w:val="21"/>
              </w:rPr>
              <w:t>按工程施工阶段投入劳动力情况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vMerge w:val="continue"/>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482" w:hRule="exact"/>
        </w:trPr>
        <w:tc>
          <w:tcPr>
            <w:tcW w:w="924" w:type="dxa"/>
          </w:tcPr>
          <w:p>
            <w:pPr>
              <w:autoSpaceDE w:val="0"/>
              <w:autoSpaceDN w:val="0"/>
              <w:adjustRightInd w:val="0"/>
              <w:snapToGrid w:val="0"/>
              <w:jc w:val="left"/>
              <w:rPr>
                <w:rFonts w:ascii="宋体" w:hAnsi="宋体"/>
                <w:kern w:val="0"/>
                <w:sz w:val="24"/>
              </w:rPr>
            </w:pPr>
          </w:p>
        </w:tc>
        <w:tc>
          <w:tcPr>
            <w:tcW w:w="1453"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8" w:type="dxa"/>
          </w:tcPr>
          <w:p>
            <w:pPr>
              <w:autoSpaceDE w:val="0"/>
              <w:autoSpaceDN w:val="0"/>
              <w:adjustRightInd w:val="0"/>
              <w:snapToGrid w:val="0"/>
              <w:jc w:val="left"/>
              <w:rPr>
                <w:rFonts w:ascii="宋体" w:hAnsi="宋体"/>
                <w:kern w:val="0"/>
                <w:sz w:val="24"/>
              </w:rPr>
            </w:pPr>
          </w:p>
        </w:tc>
        <w:tc>
          <w:tcPr>
            <w:tcW w:w="1186" w:type="dxa"/>
          </w:tcPr>
          <w:p>
            <w:pPr>
              <w:autoSpaceDE w:val="0"/>
              <w:autoSpaceDN w:val="0"/>
              <w:adjustRightInd w:val="0"/>
              <w:snapToGrid w:val="0"/>
              <w:jc w:val="left"/>
              <w:rPr>
                <w:rFonts w:ascii="宋体" w:hAnsi="宋体"/>
                <w:kern w:val="0"/>
                <w:sz w:val="24"/>
              </w:rPr>
            </w:pPr>
          </w:p>
        </w:tc>
        <w:tc>
          <w:tcPr>
            <w:tcW w:w="1187" w:type="dxa"/>
          </w:tcPr>
          <w:p>
            <w:pPr>
              <w:autoSpaceDE w:val="0"/>
              <w:autoSpaceDN w:val="0"/>
              <w:adjustRightInd w:val="0"/>
              <w:snapToGrid w:val="0"/>
              <w:jc w:val="left"/>
              <w:rPr>
                <w:rFonts w:ascii="宋体" w:hAnsi="宋体"/>
                <w:kern w:val="0"/>
                <w:sz w:val="24"/>
              </w:rPr>
            </w:pPr>
          </w:p>
        </w:tc>
      </w:tr>
    </w:tbl>
    <w:p>
      <w:pPr>
        <w:autoSpaceDE w:val="0"/>
        <w:autoSpaceDN w:val="0"/>
        <w:adjustRightInd w:val="0"/>
        <w:snapToGrid w:val="0"/>
        <w:spacing w:line="20" w:lineRule="exact"/>
        <w:jc w:val="left"/>
        <w:rPr>
          <w:rFonts w:ascii="宋体" w:hAnsi="宋体"/>
          <w:kern w:val="0"/>
        </w:rPr>
      </w:pPr>
    </w:p>
    <w:p>
      <w:pPr>
        <w:jc w:val="center"/>
        <w:outlineLvl w:val="0"/>
        <w:rPr>
          <w:rFonts w:ascii="宋体" w:hAnsi="宋体"/>
          <w:b/>
        </w:rPr>
      </w:pPr>
      <w:bookmarkStart w:id="2218" w:name="_Toc430530542"/>
      <w:r>
        <w:rPr>
          <w:rFonts w:ascii="宋体" w:hAnsi="宋体"/>
          <w:sz w:val="28"/>
        </w:rPr>
        <w:br w:type="page"/>
      </w:r>
      <w:bookmarkStart w:id="2219" w:name="_Toc534185837"/>
      <w:bookmarkStart w:id="2220" w:name="_Toc2333"/>
      <w:bookmarkStart w:id="2221" w:name="_Toc509218860"/>
      <w:bookmarkStart w:id="2222" w:name="_Toc21360"/>
      <w:r>
        <w:rPr>
          <w:sz w:val="32"/>
          <w:szCs w:val="32"/>
        </w:rPr>
        <w:t>附表四：计划开、竣工日期和施工进度网络图</w:t>
      </w:r>
      <w:bookmarkEnd w:id="2194"/>
      <w:bookmarkEnd w:id="2195"/>
      <w:bookmarkEnd w:id="2196"/>
      <w:bookmarkEnd w:id="2197"/>
      <w:bookmarkEnd w:id="2218"/>
      <w:bookmarkEnd w:id="2219"/>
      <w:bookmarkEnd w:id="2220"/>
      <w:bookmarkEnd w:id="2221"/>
      <w:bookmarkEnd w:id="2222"/>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ind w:firstLine="420"/>
        <w:jc w:val="left"/>
        <w:rPr>
          <w:rFonts w:ascii="宋体" w:hAnsi="宋体"/>
          <w:kern w:val="0"/>
          <w:szCs w:val="21"/>
        </w:rPr>
      </w:pPr>
      <w:r>
        <w:rPr>
          <w:rFonts w:ascii="宋体" w:hAnsi="宋体"/>
          <w:kern w:val="0"/>
          <w:szCs w:val="21"/>
        </w:rPr>
        <w:t xml:space="preserve">1. </w:t>
      </w:r>
      <w:r>
        <w:rPr>
          <w:rFonts w:ascii="宋体" w:hAnsi="宋体"/>
          <w:spacing w:val="1"/>
          <w:kern w:val="0"/>
          <w:szCs w:val="21"/>
        </w:rPr>
        <w:t>投标人</w:t>
      </w:r>
      <w:r>
        <w:rPr>
          <w:rFonts w:hint="eastAsia" w:ascii="宋体" w:hAnsi="宋体"/>
          <w:spacing w:val="2"/>
          <w:kern w:val="0"/>
          <w:szCs w:val="21"/>
        </w:rPr>
        <w:t>可</w:t>
      </w:r>
      <w:r>
        <w:rPr>
          <w:rFonts w:ascii="宋体" w:hAnsi="宋体"/>
          <w:spacing w:val="1"/>
          <w:kern w:val="0"/>
          <w:szCs w:val="21"/>
        </w:rPr>
        <w:t>递交</w:t>
      </w:r>
      <w:r>
        <w:rPr>
          <w:rFonts w:ascii="宋体" w:hAnsi="宋体"/>
          <w:spacing w:val="2"/>
          <w:kern w:val="0"/>
          <w:szCs w:val="21"/>
        </w:rPr>
        <w:t>施</w:t>
      </w:r>
      <w:r>
        <w:rPr>
          <w:rFonts w:ascii="宋体" w:hAnsi="宋体"/>
          <w:spacing w:val="1"/>
          <w:kern w:val="0"/>
          <w:szCs w:val="21"/>
        </w:rPr>
        <w:t>工</w:t>
      </w:r>
      <w:r>
        <w:rPr>
          <w:rFonts w:ascii="宋体" w:hAnsi="宋体"/>
          <w:spacing w:val="2"/>
          <w:kern w:val="0"/>
          <w:szCs w:val="21"/>
        </w:rPr>
        <w:t>进</w:t>
      </w:r>
      <w:r>
        <w:rPr>
          <w:rFonts w:ascii="宋体" w:hAnsi="宋体"/>
          <w:spacing w:val="1"/>
          <w:kern w:val="0"/>
          <w:szCs w:val="21"/>
        </w:rPr>
        <w:t>度网</w:t>
      </w:r>
      <w:r>
        <w:rPr>
          <w:rFonts w:ascii="宋体" w:hAnsi="宋体"/>
          <w:spacing w:val="2"/>
          <w:kern w:val="0"/>
          <w:szCs w:val="21"/>
        </w:rPr>
        <w:t>络</w:t>
      </w:r>
      <w:r>
        <w:rPr>
          <w:rFonts w:ascii="宋体" w:hAnsi="宋体"/>
          <w:spacing w:val="1"/>
          <w:kern w:val="0"/>
          <w:szCs w:val="21"/>
        </w:rPr>
        <w:t>图</w:t>
      </w:r>
      <w:r>
        <w:rPr>
          <w:rFonts w:ascii="宋体" w:hAnsi="宋体"/>
          <w:spacing w:val="2"/>
          <w:kern w:val="0"/>
          <w:szCs w:val="21"/>
        </w:rPr>
        <w:t>或</w:t>
      </w:r>
      <w:r>
        <w:rPr>
          <w:rFonts w:ascii="宋体" w:hAnsi="宋体"/>
          <w:spacing w:val="1"/>
          <w:kern w:val="0"/>
          <w:szCs w:val="21"/>
        </w:rPr>
        <w:t>施工</w:t>
      </w:r>
      <w:r>
        <w:rPr>
          <w:rFonts w:ascii="宋体" w:hAnsi="宋体"/>
          <w:spacing w:val="2"/>
          <w:kern w:val="0"/>
          <w:szCs w:val="21"/>
        </w:rPr>
        <w:t>进</w:t>
      </w:r>
      <w:r>
        <w:rPr>
          <w:rFonts w:ascii="宋体" w:hAnsi="宋体"/>
          <w:spacing w:val="1"/>
          <w:kern w:val="0"/>
          <w:szCs w:val="21"/>
        </w:rPr>
        <w:t>度</w:t>
      </w:r>
      <w:r>
        <w:rPr>
          <w:rFonts w:ascii="宋体" w:hAnsi="宋体"/>
          <w:spacing w:val="2"/>
          <w:kern w:val="0"/>
          <w:szCs w:val="21"/>
        </w:rPr>
        <w:t>表</w:t>
      </w:r>
      <w:r>
        <w:rPr>
          <w:rFonts w:ascii="宋体" w:hAnsi="宋体"/>
          <w:spacing w:val="1"/>
          <w:kern w:val="0"/>
          <w:szCs w:val="21"/>
        </w:rPr>
        <w:t>，说</w:t>
      </w:r>
      <w:r>
        <w:rPr>
          <w:rFonts w:ascii="宋体" w:hAnsi="宋体"/>
          <w:spacing w:val="2"/>
          <w:kern w:val="0"/>
          <w:szCs w:val="21"/>
        </w:rPr>
        <w:t>明</w:t>
      </w:r>
      <w:r>
        <w:rPr>
          <w:rFonts w:ascii="宋体" w:hAnsi="宋体"/>
          <w:spacing w:val="1"/>
          <w:kern w:val="0"/>
          <w:szCs w:val="21"/>
        </w:rPr>
        <w:t>按</w:t>
      </w:r>
      <w:r>
        <w:rPr>
          <w:rFonts w:ascii="宋体" w:hAnsi="宋体"/>
          <w:spacing w:val="2"/>
          <w:kern w:val="0"/>
          <w:szCs w:val="21"/>
        </w:rPr>
        <w:t>招</w:t>
      </w:r>
      <w:r>
        <w:rPr>
          <w:rFonts w:ascii="宋体" w:hAnsi="宋体"/>
          <w:spacing w:val="1"/>
          <w:kern w:val="0"/>
          <w:szCs w:val="21"/>
        </w:rPr>
        <w:t>标文</w:t>
      </w:r>
      <w:r>
        <w:rPr>
          <w:rFonts w:ascii="宋体" w:hAnsi="宋体"/>
          <w:spacing w:val="2"/>
          <w:kern w:val="0"/>
          <w:szCs w:val="21"/>
        </w:rPr>
        <w:t>件</w:t>
      </w:r>
      <w:r>
        <w:rPr>
          <w:rFonts w:ascii="宋体" w:hAnsi="宋体"/>
          <w:spacing w:val="1"/>
          <w:kern w:val="0"/>
          <w:szCs w:val="21"/>
        </w:rPr>
        <w:t>要</w:t>
      </w:r>
      <w:r>
        <w:rPr>
          <w:rFonts w:ascii="宋体" w:hAnsi="宋体"/>
          <w:spacing w:val="2"/>
          <w:kern w:val="0"/>
          <w:szCs w:val="21"/>
        </w:rPr>
        <w:t>求</w:t>
      </w:r>
      <w:r>
        <w:rPr>
          <w:rFonts w:ascii="宋体" w:hAnsi="宋体"/>
          <w:spacing w:val="1"/>
          <w:kern w:val="0"/>
          <w:szCs w:val="21"/>
        </w:rPr>
        <w:t>的计</w:t>
      </w:r>
      <w:r>
        <w:rPr>
          <w:rFonts w:ascii="宋体" w:hAnsi="宋体"/>
          <w:spacing w:val="2"/>
          <w:kern w:val="0"/>
          <w:szCs w:val="21"/>
        </w:rPr>
        <w:t>划</w:t>
      </w:r>
      <w:r>
        <w:rPr>
          <w:rFonts w:ascii="宋体" w:hAnsi="宋体"/>
          <w:spacing w:val="1"/>
          <w:kern w:val="0"/>
          <w:szCs w:val="21"/>
        </w:rPr>
        <w:t>工</w:t>
      </w:r>
      <w:r>
        <w:rPr>
          <w:rFonts w:ascii="宋体" w:hAnsi="宋体"/>
          <w:spacing w:val="4"/>
          <w:kern w:val="0"/>
          <w:szCs w:val="21"/>
        </w:rPr>
        <w:t>期</w:t>
      </w:r>
      <w:r>
        <w:rPr>
          <w:rFonts w:ascii="宋体" w:hAnsi="宋体"/>
          <w:spacing w:val="2"/>
          <w:kern w:val="0"/>
          <w:szCs w:val="21"/>
        </w:rPr>
        <w:t>进</w:t>
      </w:r>
      <w:r>
        <w:rPr>
          <w:rFonts w:ascii="宋体" w:hAnsi="宋体"/>
          <w:spacing w:val="1"/>
          <w:kern w:val="0"/>
          <w:szCs w:val="21"/>
        </w:rPr>
        <w:t>行</w:t>
      </w:r>
      <w:r>
        <w:rPr>
          <w:rFonts w:ascii="宋体" w:hAnsi="宋体"/>
          <w:kern w:val="0"/>
          <w:szCs w:val="21"/>
        </w:rPr>
        <w:t>施工的各个关键日期。</w:t>
      </w:r>
    </w:p>
    <w:p>
      <w:pPr>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2.施工进</w:t>
      </w:r>
      <w:r>
        <w:rPr>
          <w:rFonts w:ascii="宋体" w:hAnsi="宋体"/>
          <w:spacing w:val="-1"/>
          <w:kern w:val="0"/>
          <w:szCs w:val="21"/>
        </w:rPr>
        <w:t>度</w:t>
      </w:r>
      <w:r>
        <w:rPr>
          <w:rFonts w:ascii="宋体" w:hAnsi="宋体"/>
          <w:kern w:val="0"/>
          <w:szCs w:val="21"/>
        </w:rPr>
        <w:t>表可采用网络图（或横道图）表示。</w:t>
      </w:r>
    </w:p>
    <w:p>
      <w:pPr>
        <w:jc w:val="center"/>
        <w:outlineLvl w:val="0"/>
        <w:rPr>
          <w:rFonts w:ascii="宋体" w:hAnsi="宋体"/>
          <w:sz w:val="28"/>
        </w:rPr>
      </w:pPr>
      <w:bookmarkStart w:id="2223" w:name="_Toc224103508"/>
      <w:bookmarkStart w:id="2224" w:name="_Toc277082654"/>
      <w:bookmarkStart w:id="2225" w:name="_Toc287620827"/>
      <w:bookmarkStart w:id="2226" w:name="_Toc534185838"/>
      <w:bookmarkStart w:id="2227" w:name="_Toc287607880"/>
      <w:bookmarkStart w:id="2228" w:name="_Toc430530543"/>
      <w:bookmarkStart w:id="2229" w:name="_Toc509218861"/>
      <w:r>
        <w:rPr>
          <w:rFonts w:ascii="宋体" w:hAnsi="宋体"/>
          <w:kern w:val="0"/>
          <w:sz w:val="24"/>
        </w:rPr>
        <w:br w:type="page"/>
      </w:r>
      <w:bookmarkStart w:id="2230" w:name="_Toc22400"/>
      <w:bookmarkStart w:id="2231" w:name="_Toc13124"/>
      <w:r>
        <w:rPr>
          <w:sz w:val="32"/>
          <w:szCs w:val="32"/>
        </w:rPr>
        <w:t>附表五：施工总平面图</w:t>
      </w:r>
      <w:bookmarkEnd w:id="2223"/>
      <w:bookmarkEnd w:id="2224"/>
      <w:bookmarkEnd w:id="2225"/>
      <w:bookmarkEnd w:id="2226"/>
      <w:bookmarkEnd w:id="2227"/>
      <w:bookmarkEnd w:id="2228"/>
      <w:bookmarkEnd w:id="2229"/>
      <w:bookmarkEnd w:id="2230"/>
      <w:bookmarkEnd w:id="2231"/>
    </w:p>
    <w:p>
      <w:pPr>
        <w:autoSpaceDE w:val="0"/>
        <w:autoSpaceDN w:val="0"/>
        <w:adjustRightInd w:val="0"/>
        <w:snapToGrid w:val="0"/>
        <w:spacing w:line="360" w:lineRule="auto"/>
        <w:jc w:val="left"/>
        <w:rPr>
          <w:rFonts w:ascii="宋体" w:hAnsi="宋体"/>
          <w:kern w:val="0"/>
          <w:sz w:val="20"/>
          <w:szCs w:val="20"/>
        </w:rPr>
      </w:pPr>
    </w:p>
    <w:p>
      <w:pPr>
        <w:autoSpaceDE w:val="0"/>
        <w:autoSpaceDN w:val="0"/>
        <w:adjustRightInd w:val="0"/>
        <w:snapToGrid w:val="0"/>
        <w:spacing w:line="360" w:lineRule="auto"/>
        <w:ind w:firstLine="424" w:firstLineChars="202"/>
        <w:jc w:val="left"/>
        <w:rPr>
          <w:rFonts w:ascii="宋体" w:hAnsi="宋体"/>
          <w:kern w:val="0"/>
          <w:szCs w:val="21"/>
        </w:rPr>
      </w:pPr>
      <w:r>
        <w:rPr>
          <w:rFonts w:ascii="宋体" w:hAnsi="宋体"/>
          <w:kern w:val="0"/>
          <w:szCs w:val="21"/>
        </w:rPr>
        <w:t>投标人</w:t>
      </w:r>
      <w:r>
        <w:rPr>
          <w:rFonts w:hint="eastAsia" w:ascii="宋体" w:hAnsi="宋体"/>
          <w:kern w:val="0"/>
          <w:szCs w:val="21"/>
        </w:rPr>
        <w:t>可</w:t>
      </w:r>
      <w:r>
        <w:rPr>
          <w:rFonts w:ascii="宋体" w:hAnsi="宋体"/>
          <w:kern w:val="0"/>
          <w:szCs w:val="21"/>
        </w:rPr>
        <w:t>递交一份施工总平面图</w:t>
      </w:r>
      <w:r>
        <w:rPr>
          <w:rFonts w:ascii="宋体" w:hAnsi="宋体"/>
          <w:spacing w:val="-47"/>
          <w:kern w:val="0"/>
          <w:szCs w:val="21"/>
        </w:rPr>
        <w:t>，</w:t>
      </w:r>
      <w:r>
        <w:rPr>
          <w:rFonts w:ascii="宋体" w:hAnsi="宋体"/>
          <w:kern w:val="0"/>
          <w:szCs w:val="21"/>
        </w:rPr>
        <w:t>绘出现场临时设施布置图表并附文字说明</w:t>
      </w:r>
      <w:r>
        <w:rPr>
          <w:rFonts w:ascii="宋体" w:hAnsi="宋体"/>
          <w:spacing w:val="-47"/>
          <w:kern w:val="0"/>
          <w:szCs w:val="21"/>
        </w:rPr>
        <w:t>，</w:t>
      </w:r>
      <w:r>
        <w:rPr>
          <w:rFonts w:ascii="宋体" w:hAnsi="宋体"/>
          <w:kern w:val="0"/>
          <w:szCs w:val="21"/>
        </w:rPr>
        <w:t>说明临时 设施</w:t>
      </w:r>
      <w:r>
        <w:rPr>
          <w:rFonts w:ascii="宋体" w:hAnsi="宋体"/>
          <w:spacing w:val="-11"/>
          <w:kern w:val="0"/>
          <w:szCs w:val="21"/>
        </w:rPr>
        <w:t>、</w:t>
      </w:r>
      <w:r>
        <w:rPr>
          <w:rFonts w:ascii="宋体" w:hAnsi="宋体"/>
          <w:kern w:val="0"/>
          <w:szCs w:val="21"/>
        </w:rPr>
        <w:t>加工车间</w:t>
      </w:r>
      <w:r>
        <w:rPr>
          <w:rFonts w:ascii="宋体" w:hAnsi="宋体"/>
          <w:spacing w:val="-11"/>
          <w:kern w:val="0"/>
          <w:szCs w:val="21"/>
        </w:rPr>
        <w:t>、</w:t>
      </w:r>
      <w:r>
        <w:rPr>
          <w:rFonts w:ascii="宋体" w:hAnsi="宋体"/>
          <w:kern w:val="0"/>
          <w:szCs w:val="21"/>
        </w:rPr>
        <w:t>现场办公</w:t>
      </w:r>
      <w:r>
        <w:rPr>
          <w:rFonts w:ascii="宋体" w:hAnsi="宋体"/>
          <w:spacing w:val="-11"/>
          <w:kern w:val="0"/>
          <w:szCs w:val="21"/>
        </w:rPr>
        <w:t>、</w:t>
      </w:r>
      <w:r>
        <w:rPr>
          <w:rFonts w:ascii="宋体" w:hAnsi="宋体"/>
          <w:kern w:val="0"/>
          <w:szCs w:val="21"/>
        </w:rPr>
        <w:t>设备及仓储</w:t>
      </w:r>
      <w:r>
        <w:rPr>
          <w:rFonts w:ascii="宋体" w:hAnsi="宋体"/>
          <w:spacing w:val="-11"/>
          <w:kern w:val="0"/>
          <w:szCs w:val="21"/>
        </w:rPr>
        <w:t>、</w:t>
      </w:r>
      <w:r>
        <w:rPr>
          <w:rFonts w:ascii="宋体" w:hAnsi="宋体"/>
          <w:kern w:val="0"/>
          <w:szCs w:val="21"/>
        </w:rPr>
        <w:t>供电</w:t>
      </w:r>
      <w:r>
        <w:rPr>
          <w:rFonts w:ascii="宋体" w:hAnsi="宋体"/>
          <w:spacing w:val="-11"/>
          <w:kern w:val="0"/>
          <w:szCs w:val="21"/>
        </w:rPr>
        <w:t>、</w:t>
      </w:r>
      <w:r>
        <w:rPr>
          <w:rFonts w:ascii="宋体" w:hAnsi="宋体"/>
          <w:kern w:val="0"/>
          <w:szCs w:val="21"/>
        </w:rPr>
        <w:t>供水</w:t>
      </w:r>
      <w:r>
        <w:rPr>
          <w:rFonts w:ascii="宋体" w:hAnsi="宋体"/>
          <w:spacing w:val="-10"/>
          <w:kern w:val="0"/>
          <w:szCs w:val="21"/>
        </w:rPr>
        <w:t>、</w:t>
      </w:r>
      <w:r>
        <w:rPr>
          <w:rFonts w:ascii="宋体" w:hAnsi="宋体"/>
          <w:kern w:val="0"/>
          <w:szCs w:val="21"/>
        </w:rPr>
        <w:t>卫生</w:t>
      </w:r>
      <w:r>
        <w:rPr>
          <w:rFonts w:ascii="宋体" w:hAnsi="宋体"/>
          <w:spacing w:val="-11"/>
          <w:kern w:val="0"/>
          <w:szCs w:val="21"/>
        </w:rPr>
        <w:t>、</w:t>
      </w:r>
      <w:r>
        <w:rPr>
          <w:rFonts w:ascii="宋体" w:hAnsi="宋体"/>
          <w:kern w:val="0"/>
          <w:szCs w:val="21"/>
        </w:rPr>
        <w:t>生活</w:t>
      </w:r>
      <w:r>
        <w:rPr>
          <w:rFonts w:ascii="宋体" w:hAnsi="宋体"/>
          <w:spacing w:val="-11"/>
          <w:kern w:val="0"/>
          <w:szCs w:val="21"/>
        </w:rPr>
        <w:t>、</w:t>
      </w:r>
      <w:r>
        <w:rPr>
          <w:rFonts w:ascii="宋体" w:hAnsi="宋体"/>
          <w:kern w:val="0"/>
          <w:szCs w:val="21"/>
        </w:rPr>
        <w:t>道路</w:t>
      </w:r>
      <w:r>
        <w:rPr>
          <w:rFonts w:ascii="宋体" w:hAnsi="宋体"/>
          <w:spacing w:val="-11"/>
          <w:kern w:val="0"/>
          <w:szCs w:val="21"/>
        </w:rPr>
        <w:t>、</w:t>
      </w:r>
      <w:r>
        <w:rPr>
          <w:rFonts w:ascii="宋体" w:hAnsi="宋体"/>
          <w:spacing w:val="1"/>
          <w:kern w:val="0"/>
          <w:szCs w:val="21"/>
        </w:rPr>
        <w:t>消</w:t>
      </w:r>
      <w:r>
        <w:rPr>
          <w:rFonts w:ascii="宋体" w:hAnsi="宋体"/>
          <w:kern w:val="0"/>
          <w:szCs w:val="21"/>
        </w:rPr>
        <w:t>防等设施的情况和布置。</w:t>
      </w:r>
    </w:p>
    <w:p>
      <w:pPr>
        <w:autoSpaceDE w:val="0"/>
        <w:autoSpaceDN w:val="0"/>
        <w:adjustRightInd w:val="0"/>
        <w:snapToGrid w:val="0"/>
        <w:spacing w:line="360" w:lineRule="auto"/>
        <w:jc w:val="left"/>
        <w:rPr>
          <w:rFonts w:ascii="宋体" w:hAnsi="宋体"/>
          <w:kern w:val="0"/>
          <w:szCs w:val="21"/>
        </w:rPr>
      </w:pPr>
      <w:r>
        <w:rPr>
          <w:rFonts w:ascii="宋体" w:hAnsi="宋体"/>
          <w:kern w:val="0"/>
          <w:szCs w:val="21"/>
        </w:rPr>
        <w:br w:type="page"/>
      </w:r>
    </w:p>
    <w:p>
      <w:pPr>
        <w:jc w:val="center"/>
        <w:outlineLvl w:val="0"/>
        <w:rPr>
          <w:sz w:val="32"/>
          <w:szCs w:val="32"/>
        </w:rPr>
      </w:pPr>
      <w:bookmarkStart w:id="2232" w:name="_Toc534185839"/>
      <w:bookmarkStart w:id="2233" w:name="_Toc509218862"/>
      <w:bookmarkStart w:id="2234" w:name="_Toc224103509"/>
      <w:bookmarkStart w:id="2235" w:name="_Toc287607881"/>
      <w:bookmarkStart w:id="2236" w:name="_Toc430530544"/>
      <w:bookmarkStart w:id="2237" w:name="_Toc287620828"/>
      <w:bookmarkStart w:id="2238" w:name="_Toc24335"/>
      <w:bookmarkStart w:id="2239" w:name="_Toc31289"/>
      <w:bookmarkStart w:id="2240" w:name="_Toc277082655"/>
      <w:r>
        <w:rPr>
          <w:rFonts w:hint="eastAsia"/>
          <w:sz w:val="32"/>
          <w:szCs w:val="32"/>
        </w:rPr>
        <w:t>附表六：临时用地表</w:t>
      </w:r>
      <w:bookmarkEnd w:id="2232"/>
      <w:bookmarkEnd w:id="2233"/>
      <w:bookmarkEnd w:id="2234"/>
      <w:bookmarkEnd w:id="2235"/>
      <w:bookmarkEnd w:id="2236"/>
      <w:bookmarkEnd w:id="2237"/>
      <w:bookmarkEnd w:id="2238"/>
      <w:bookmarkEnd w:id="2239"/>
      <w:bookmarkEnd w:id="2240"/>
    </w:p>
    <w:tbl>
      <w:tblPr>
        <w:tblStyle w:val="54"/>
        <w:tblW w:w="9529"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2381"/>
        <w:gridCol w:w="2381"/>
        <w:gridCol w:w="2383"/>
        <w:gridCol w:w="238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用 途</w:t>
            </w:r>
          </w:p>
        </w:tc>
        <w:tc>
          <w:tcPr>
            <w:tcW w:w="2381"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面 积（平</w:t>
            </w:r>
            <w:r>
              <w:rPr>
                <w:rFonts w:ascii="宋体" w:hAnsi="宋体"/>
                <w:spacing w:val="-1"/>
                <w:kern w:val="0"/>
                <w:szCs w:val="21"/>
              </w:rPr>
              <w:t>方</w:t>
            </w:r>
            <w:r>
              <w:rPr>
                <w:rFonts w:ascii="宋体" w:hAnsi="宋体"/>
                <w:kern w:val="0"/>
                <w:szCs w:val="21"/>
              </w:rPr>
              <w:t>米）</w:t>
            </w:r>
          </w:p>
        </w:tc>
        <w:tc>
          <w:tcPr>
            <w:tcW w:w="2383"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位 置</w:t>
            </w:r>
          </w:p>
        </w:tc>
        <w:tc>
          <w:tcPr>
            <w:tcW w:w="2384" w:type="dxa"/>
            <w:vAlign w:val="center"/>
          </w:tcPr>
          <w:p>
            <w:pPr>
              <w:autoSpaceDE w:val="0"/>
              <w:autoSpaceDN w:val="0"/>
              <w:adjustRightInd w:val="0"/>
              <w:snapToGrid w:val="0"/>
              <w:jc w:val="center"/>
              <w:rPr>
                <w:rFonts w:ascii="宋体" w:hAnsi="宋体"/>
                <w:kern w:val="0"/>
                <w:sz w:val="24"/>
              </w:rPr>
            </w:pPr>
            <w:r>
              <w:rPr>
                <w:rFonts w:ascii="宋体" w:hAnsi="宋体"/>
                <w:kern w:val="0"/>
                <w:szCs w:val="21"/>
              </w:rPr>
              <w:t>需用时间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19" w:hRule="exact"/>
        </w:trPr>
        <w:tc>
          <w:tcPr>
            <w:tcW w:w="2381" w:type="dxa"/>
          </w:tcPr>
          <w:p>
            <w:pPr>
              <w:autoSpaceDE w:val="0"/>
              <w:autoSpaceDN w:val="0"/>
              <w:adjustRightInd w:val="0"/>
              <w:snapToGrid w:val="0"/>
              <w:jc w:val="left"/>
              <w:rPr>
                <w:rFonts w:ascii="宋体" w:hAnsi="宋体"/>
                <w:kern w:val="0"/>
                <w:sz w:val="24"/>
              </w:rPr>
            </w:pPr>
          </w:p>
        </w:tc>
        <w:tc>
          <w:tcPr>
            <w:tcW w:w="2381" w:type="dxa"/>
          </w:tcPr>
          <w:p>
            <w:pPr>
              <w:autoSpaceDE w:val="0"/>
              <w:autoSpaceDN w:val="0"/>
              <w:adjustRightInd w:val="0"/>
              <w:snapToGrid w:val="0"/>
              <w:jc w:val="left"/>
              <w:rPr>
                <w:rFonts w:ascii="宋体" w:hAnsi="宋体"/>
                <w:kern w:val="0"/>
                <w:sz w:val="24"/>
              </w:rPr>
            </w:pPr>
          </w:p>
        </w:tc>
        <w:tc>
          <w:tcPr>
            <w:tcW w:w="2383" w:type="dxa"/>
          </w:tcPr>
          <w:p>
            <w:pPr>
              <w:autoSpaceDE w:val="0"/>
              <w:autoSpaceDN w:val="0"/>
              <w:adjustRightInd w:val="0"/>
              <w:snapToGrid w:val="0"/>
              <w:jc w:val="left"/>
              <w:rPr>
                <w:rFonts w:ascii="宋体" w:hAnsi="宋体"/>
                <w:kern w:val="0"/>
                <w:sz w:val="24"/>
              </w:rPr>
            </w:pPr>
          </w:p>
        </w:tc>
        <w:tc>
          <w:tcPr>
            <w:tcW w:w="2384" w:type="dxa"/>
          </w:tcPr>
          <w:p>
            <w:pPr>
              <w:autoSpaceDE w:val="0"/>
              <w:autoSpaceDN w:val="0"/>
              <w:adjustRightInd w:val="0"/>
              <w:snapToGrid w:val="0"/>
              <w:jc w:val="left"/>
              <w:rPr>
                <w:rFonts w:ascii="宋体" w:hAnsi="宋体"/>
                <w:kern w:val="0"/>
                <w:sz w:val="24"/>
              </w:rPr>
            </w:pPr>
          </w:p>
        </w:tc>
      </w:tr>
    </w:tbl>
    <w:p>
      <w:pPr>
        <w:autoSpaceDE w:val="0"/>
        <w:autoSpaceDN w:val="0"/>
        <w:adjustRightInd w:val="0"/>
        <w:snapToGrid w:val="0"/>
        <w:spacing w:line="20" w:lineRule="exact"/>
        <w:jc w:val="left"/>
        <w:rPr>
          <w:rFonts w:ascii="宋体" w:hAnsi="宋体"/>
          <w:kern w:val="0"/>
        </w:rPr>
      </w:pPr>
    </w:p>
    <w:p>
      <w:pPr>
        <w:autoSpaceDE w:val="0"/>
        <w:autoSpaceDN w:val="0"/>
        <w:adjustRightInd w:val="0"/>
        <w:snapToGrid w:val="0"/>
        <w:spacing w:line="360" w:lineRule="auto"/>
        <w:jc w:val="center"/>
        <w:rPr>
          <w:rFonts w:ascii="宋体" w:hAnsi="宋体"/>
          <w:sz w:val="36"/>
          <w:szCs w:val="36"/>
        </w:rPr>
      </w:pPr>
      <w:r>
        <w:rPr>
          <w:rFonts w:ascii="宋体" w:hAnsi="宋体"/>
          <w:sz w:val="36"/>
          <w:szCs w:val="36"/>
        </w:rPr>
        <w:br w:type="page"/>
      </w:r>
    </w:p>
    <w:p>
      <w:pPr>
        <w:pStyle w:val="4"/>
        <w:spacing w:line="360" w:lineRule="auto"/>
        <w:jc w:val="center"/>
        <w:outlineLvl w:val="0"/>
        <w:rPr>
          <w:rFonts w:ascii="宋体" w:hAnsi="宋体"/>
          <w:b w:val="0"/>
          <w:bCs w:val="0"/>
          <w:sz w:val="44"/>
          <w:szCs w:val="44"/>
        </w:rPr>
      </w:pPr>
      <w:bookmarkStart w:id="2241" w:name="_Toc287607882"/>
      <w:bookmarkStart w:id="2242" w:name="_Toc287620829"/>
      <w:bookmarkStart w:id="2243" w:name="_Toc277082656"/>
      <w:bookmarkStart w:id="2244" w:name="_Toc430530545"/>
      <w:bookmarkStart w:id="2245" w:name="_Toc224103510"/>
      <w:bookmarkStart w:id="2246" w:name="_Toc4869"/>
      <w:bookmarkStart w:id="2247" w:name="_Toc20681"/>
      <w:bookmarkStart w:id="2248" w:name="_Toc12442"/>
      <w:r>
        <w:rPr>
          <w:rFonts w:hint="eastAsia" w:ascii="宋体" w:hAnsi="宋体"/>
          <w:b w:val="0"/>
          <w:bCs w:val="0"/>
          <w:sz w:val="44"/>
          <w:szCs w:val="44"/>
          <w:lang w:val="en-US" w:eastAsia="zh-CN"/>
        </w:rPr>
        <w:t>五</w:t>
      </w:r>
      <w:r>
        <w:rPr>
          <w:rFonts w:hint="eastAsia" w:ascii="宋体" w:hAnsi="宋体"/>
          <w:b w:val="0"/>
          <w:bCs w:val="0"/>
          <w:sz w:val="44"/>
          <w:szCs w:val="44"/>
        </w:rPr>
        <w:t>、</w:t>
      </w:r>
      <w:bookmarkEnd w:id="2241"/>
      <w:bookmarkEnd w:id="2242"/>
      <w:bookmarkEnd w:id="2243"/>
      <w:bookmarkEnd w:id="2244"/>
      <w:bookmarkEnd w:id="2245"/>
      <w:r>
        <w:rPr>
          <w:rFonts w:hint="eastAsia" w:ascii="宋体" w:hAnsi="宋体"/>
          <w:b w:val="0"/>
          <w:bCs w:val="0"/>
          <w:sz w:val="44"/>
          <w:szCs w:val="44"/>
        </w:rPr>
        <w:t>资格审查部分</w:t>
      </w:r>
      <w:bookmarkEnd w:id="2246"/>
      <w:bookmarkEnd w:id="2247"/>
      <w:bookmarkEnd w:id="2248"/>
    </w:p>
    <w:p>
      <w:pPr>
        <w:spacing w:line="360" w:lineRule="auto"/>
        <w:jc w:val="center"/>
        <w:rPr>
          <w:rFonts w:ascii="宋体" w:hAnsi="宋体"/>
          <w:kern w:val="0"/>
          <w:sz w:val="32"/>
          <w:szCs w:val="32"/>
        </w:rPr>
      </w:pPr>
      <w:r>
        <w:rPr>
          <w:rFonts w:ascii="宋体" w:hAnsi="宋体"/>
          <w:sz w:val="32"/>
          <w:szCs w:val="32"/>
        </w:rPr>
        <w:br w:type="page"/>
      </w:r>
      <w:r>
        <w:rPr>
          <w:rFonts w:hint="eastAsia" w:ascii="宋体" w:hAnsi="宋体"/>
          <w:kern w:val="0"/>
          <w:sz w:val="32"/>
          <w:szCs w:val="32"/>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rPr>
        <w:t>投 标 文 件</w:t>
      </w:r>
    </w:p>
    <w:p>
      <w:pPr>
        <w:autoSpaceDE w:val="0"/>
        <w:autoSpaceDN w:val="0"/>
        <w:adjustRightInd w:val="0"/>
        <w:snapToGrid w:val="0"/>
        <w:spacing w:line="360" w:lineRule="auto"/>
        <w:jc w:val="left"/>
        <w:rPr>
          <w:rFonts w:ascii="宋体" w:hAnsi="宋体"/>
          <w:kern w:val="0"/>
          <w:sz w:val="16"/>
          <w:szCs w:val="16"/>
        </w:rPr>
      </w:pPr>
    </w:p>
    <w:p>
      <w:pPr>
        <w:autoSpaceDE w:val="0"/>
        <w:autoSpaceDN w:val="0"/>
        <w:adjustRightInd w:val="0"/>
        <w:snapToGrid w:val="0"/>
        <w:spacing w:line="360" w:lineRule="auto"/>
        <w:jc w:val="center"/>
        <w:outlineLvl w:val="0"/>
        <w:rPr>
          <w:rFonts w:ascii="宋体" w:hAnsi="宋体"/>
          <w:kern w:val="0"/>
          <w:sz w:val="36"/>
          <w:szCs w:val="36"/>
        </w:rPr>
      </w:pPr>
      <w:bookmarkStart w:id="2249" w:name="_Toc23718"/>
      <w:bookmarkStart w:id="2250" w:name="_Toc546"/>
      <w:r>
        <w:rPr>
          <w:rFonts w:hint="eastAsia" w:ascii="宋体" w:hAnsi="宋体"/>
          <w:kern w:val="0"/>
          <w:sz w:val="36"/>
          <w:szCs w:val="36"/>
        </w:rPr>
        <w:t>资格审查部分</w:t>
      </w:r>
      <w:bookmarkEnd w:id="2249"/>
      <w:bookmarkEnd w:id="2250"/>
    </w:p>
    <w:p>
      <w:pPr>
        <w:autoSpaceDE w:val="0"/>
        <w:autoSpaceDN w:val="0"/>
        <w:adjustRightInd w:val="0"/>
        <w:snapToGrid w:val="0"/>
        <w:spacing w:line="360" w:lineRule="auto"/>
        <w:jc w:val="left"/>
        <w:rPr>
          <w:rFonts w:ascii="宋体" w:hAnsi="宋体" w:cs="MingLiU"/>
          <w:kern w:val="0"/>
          <w:sz w:val="20"/>
          <w:szCs w:val="20"/>
        </w:rPr>
      </w:pPr>
    </w:p>
    <w:p>
      <w:pPr>
        <w:adjustRightInd w:val="0"/>
        <w:snapToGrid w:val="0"/>
        <w:spacing w:line="264" w:lineRule="auto"/>
        <w:rPr>
          <w:rFonts w:ascii="宋体" w:hAnsi="宋体"/>
          <w:szCs w:val="21"/>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autoSpaceDE w:val="0"/>
        <w:autoSpaceDN w:val="0"/>
        <w:adjustRightInd w:val="0"/>
        <w:snapToGrid w:val="0"/>
        <w:spacing w:line="360" w:lineRule="auto"/>
        <w:jc w:val="left"/>
        <w:rPr>
          <w:rFonts w:ascii="宋体" w:hAnsi="宋体" w:cs="MingLiU"/>
          <w:kern w:val="0"/>
          <w:sz w:val="20"/>
          <w:szCs w:val="20"/>
        </w:rPr>
      </w:pPr>
    </w:p>
    <w:p>
      <w:pPr>
        <w:tabs>
          <w:tab w:val="left" w:pos="6080"/>
          <w:tab w:val="left" w:pos="6640"/>
        </w:tabs>
        <w:autoSpaceDE w:val="0"/>
        <w:autoSpaceDN w:val="0"/>
        <w:adjustRightInd w:val="0"/>
        <w:snapToGrid w:val="0"/>
        <w:spacing w:line="480" w:lineRule="auto"/>
        <w:jc w:val="center"/>
        <w:rPr>
          <w:rFonts w:ascii="宋体" w:hAnsi="宋体"/>
          <w:w w:val="99"/>
          <w:kern w:val="0"/>
          <w:sz w:val="28"/>
          <w:szCs w:val="28"/>
        </w:rPr>
      </w:pPr>
      <w:r>
        <w:rPr>
          <w:rFonts w:ascii="宋体" w:hAnsi="宋体"/>
          <w:w w:val="99"/>
          <w:kern w:val="0"/>
          <w:sz w:val="28"/>
          <w:szCs w:val="28"/>
        </w:rPr>
        <w:t>投标人</w:t>
      </w:r>
      <w:r>
        <w:rPr>
          <w:rFonts w:ascii="宋体" w:hAnsi="宋体"/>
          <w:spacing w:val="1"/>
          <w:w w:val="99"/>
          <w:kern w:val="0"/>
          <w:sz w:val="28"/>
          <w:szCs w:val="28"/>
        </w:rPr>
        <w:t>：</w:t>
      </w:r>
      <w:r>
        <w:rPr>
          <w:rFonts w:ascii="宋体" w:hAnsi="宋体"/>
          <w:w w:val="198"/>
          <w:kern w:val="0"/>
          <w:sz w:val="28"/>
          <w:szCs w:val="28"/>
          <w:u w:val="single"/>
        </w:rPr>
        <w:t xml:space="preserve"> 　　 　　 　　</w:t>
      </w:r>
      <w:r>
        <w:rPr>
          <w:rFonts w:ascii="宋体" w:hAnsi="宋体"/>
          <w:w w:val="99"/>
          <w:kern w:val="0"/>
          <w:sz w:val="28"/>
          <w:szCs w:val="28"/>
        </w:rPr>
        <w:t>（盖单位法人章）</w:t>
      </w:r>
    </w:p>
    <w:p>
      <w:pPr>
        <w:tabs>
          <w:tab w:val="left" w:pos="6080"/>
          <w:tab w:val="left" w:pos="6640"/>
        </w:tabs>
        <w:autoSpaceDE w:val="0"/>
        <w:autoSpaceDN w:val="0"/>
        <w:adjustRightInd w:val="0"/>
        <w:snapToGrid w:val="0"/>
        <w:spacing w:line="480" w:lineRule="auto"/>
        <w:jc w:val="center"/>
        <w:rPr>
          <w:rFonts w:ascii="宋体" w:hAnsi="宋体"/>
          <w:kern w:val="0"/>
          <w:sz w:val="28"/>
          <w:szCs w:val="28"/>
        </w:rPr>
      </w:pPr>
      <w:r>
        <w:rPr>
          <w:rFonts w:ascii="宋体" w:hAnsi="宋体"/>
          <w:w w:val="99"/>
          <w:kern w:val="0"/>
          <w:sz w:val="28"/>
          <w:szCs w:val="28"/>
        </w:rPr>
        <w:t>法定代表人或其委托代理人：</w:t>
      </w:r>
      <w:r>
        <w:rPr>
          <w:rFonts w:ascii="宋体" w:hAnsi="宋体"/>
          <w:w w:val="198"/>
          <w:kern w:val="0"/>
          <w:sz w:val="28"/>
          <w:szCs w:val="28"/>
          <w:u w:val="single"/>
        </w:rPr>
        <w:t xml:space="preserve"> 　 　</w:t>
      </w:r>
      <w:r>
        <w:rPr>
          <w:rFonts w:ascii="宋体" w:hAnsi="宋体"/>
          <w:w w:val="99"/>
          <w:kern w:val="0"/>
          <w:sz w:val="28"/>
          <w:szCs w:val="28"/>
        </w:rPr>
        <w:t>（</w:t>
      </w:r>
      <w:r>
        <w:rPr>
          <w:rFonts w:hint="eastAsia" w:ascii="宋体" w:hAnsi="宋体"/>
          <w:w w:val="99"/>
          <w:kern w:val="0"/>
          <w:sz w:val="28"/>
          <w:szCs w:val="28"/>
        </w:rPr>
        <w:t>签名</w:t>
      </w:r>
      <w:r>
        <w:rPr>
          <w:rFonts w:ascii="宋体" w:hAnsi="宋体"/>
          <w:w w:val="99"/>
          <w:kern w:val="0"/>
          <w:sz w:val="28"/>
          <w:szCs w:val="28"/>
        </w:rPr>
        <w:t>或盖章）</w:t>
      </w:r>
    </w:p>
    <w:p>
      <w:pPr>
        <w:tabs>
          <w:tab w:val="left" w:pos="3280"/>
          <w:tab w:val="left" w:pos="4680"/>
          <w:tab w:val="left" w:pos="6080"/>
        </w:tabs>
        <w:autoSpaceDE w:val="0"/>
        <w:autoSpaceDN w:val="0"/>
        <w:adjustRightInd w:val="0"/>
        <w:snapToGrid w:val="0"/>
        <w:spacing w:line="480" w:lineRule="auto"/>
        <w:jc w:val="center"/>
        <w:rPr>
          <w:rFonts w:ascii="宋体" w:hAnsi="宋体"/>
          <w:w w:val="99"/>
          <w:kern w:val="0"/>
          <w:sz w:val="28"/>
          <w:szCs w:val="28"/>
        </w:rPr>
      </w:pP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年</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月</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日</w:t>
      </w:r>
    </w:p>
    <w:p>
      <w:pPr>
        <w:tabs>
          <w:tab w:val="left" w:pos="3280"/>
          <w:tab w:val="left" w:pos="4680"/>
          <w:tab w:val="left" w:pos="6080"/>
        </w:tabs>
        <w:autoSpaceDE w:val="0"/>
        <w:autoSpaceDN w:val="0"/>
        <w:adjustRightInd w:val="0"/>
        <w:snapToGrid w:val="0"/>
        <w:spacing w:line="480" w:lineRule="auto"/>
        <w:jc w:val="center"/>
        <w:rPr>
          <w:rFonts w:ascii="宋体" w:hAnsi="宋体"/>
          <w:b/>
          <w:kern w:val="0"/>
          <w:sz w:val="28"/>
          <w:szCs w:val="28"/>
        </w:rPr>
      </w:pPr>
      <w:r>
        <w:rPr>
          <w:rFonts w:ascii="宋体" w:hAnsi="宋体"/>
          <w:w w:val="99"/>
          <w:kern w:val="0"/>
          <w:sz w:val="28"/>
          <w:szCs w:val="28"/>
        </w:rPr>
        <w:br w:type="page"/>
      </w:r>
    </w:p>
    <w:p>
      <w:pPr>
        <w:autoSpaceDE w:val="0"/>
        <w:autoSpaceDN w:val="0"/>
        <w:adjustRightInd w:val="0"/>
        <w:snapToGrid w:val="0"/>
        <w:jc w:val="center"/>
        <w:outlineLvl w:val="0"/>
        <w:rPr>
          <w:rFonts w:ascii="宋体" w:hAnsi="宋体"/>
          <w:kern w:val="0"/>
          <w:sz w:val="36"/>
          <w:szCs w:val="36"/>
        </w:rPr>
      </w:pPr>
      <w:bookmarkStart w:id="2251" w:name="_Toc11323"/>
      <w:bookmarkStart w:id="2252" w:name="_Toc16102"/>
      <w:r>
        <w:rPr>
          <w:rFonts w:hint="eastAsia" w:ascii="宋体" w:hAnsi="宋体"/>
          <w:kern w:val="0"/>
          <w:sz w:val="36"/>
          <w:szCs w:val="36"/>
        </w:rPr>
        <w:t>目  录</w:t>
      </w:r>
      <w:bookmarkEnd w:id="2251"/>
      <w:bookmarkEnd w:id="2252"/>
    </w:p>
    <w:p>
      <w:pPr>
        <w:spacing w:line="360" w:lineRule="auto"/>
        <w:jc w:val="center"/>
        <w:rPr>
          <w:rFonts w:ascii="宋体" w:hAnsi="宋体"/>
          <w:b/>
          <w:kern w:val="0"/>
          <w:sz w:val="32"/>
          <w:szCs w:val="32"/>
        </w:rPr>
      </w:pPr>
    </w:p>
    <w:p>
      <w:pPr>
        <w:spacing w:line="360" w:lineRule="auto"/>
        <w:ind w:firstLine="420" w:firstLineChars="200"/>
        <w:rPr>
          <w:rFonts w:ascii="宋体" w:hAnsi="宋体"/>
          <w:szCs w:val="21"/>
        </w:rPr>
      </w:pPr>
      <w:r>
        <w:rPr>
          <w:rFonts w:ascii="宋体" w:hAnsi="宋体"/>
          <w:szCs w:val="21"/>
        </w:rPr>
        <w:t>（一）</w:t>
      </w:r>
      <w:r>
        <w:rPr>
          <w:rFonts w:hint="eastAsia" w:ascii="宋体" w:hAnsi="宋体"/>
          <w:szCs w:val="21"/>
        </w:rPr>
        <w:t>法定代表人身份证明或附有法定代表人身份证明的授权委托书</w:t>
      </w:r>
    </w:p>
    <w:p>
      <w:pPr>
        <w:spacing w:line="360" w:lineRule="auto"/>
        <w:ind w:firstLine="420" w:firstLineChars="200"/>
        <w:rPr>
          <w:rFonts w:ascii="宋体" w:hAnsi="宋体"/>
          <w:szCs w:val="21"/>
        </w:rPr>
      </w:pPr>
      <w:r>
        <w:rPr>
          <w:rFonts w:ascii="宋体" w:hAnsi="宋体"/>
          <w:szCs w:val="21"/>
        </w:rPr>
        <w:t>（二）联合体协议书</w:t>
      </w:r>
      <w:r>
        <w:rPr>
          <w:rFonts w:hint="eastAsia" w:ascii="宋体" w:hAnsi="宋体"/>
          <w:szCs w:val="21"/>
        </w:rPr>
        <w:t>（如有）</w:t>
      </w:r>
    </w:p>
    <w:p>
      <w:pPr>
        <w:spacing w:line="360" w:lineRule="auto"/>
        <w:ind w:firstLine="420" w:firstLineChars="200"/>
        <w:rPr>
          <w:rFonts w:ascii="宋体" w:hAnsi="宋体"/>
          <w:szCs w:val="21"/>
        </w:rPr>
      </w:pPr>
      <w:r>
        <w:rPr>
          <w:rFonts w:ascii="宋体" w:hAnsi="宋体"/>
          <w:szCs w:val="21"/>
        </w:rPr>
        <w:t>（三）投标人基本情况表</w:t>
      </w:r>
    </w:p>
    <w:p>
      <w:pPr>
        <w:spacing w:line="360" w:lineRule="auto"/>
        <w:ind w:firstLine="420" w:firstLineChars="200"/>
        <w:rPr>
          <w:rFonts w:ascii="宋体" w:hAnsi="宋体"/>
          <w:szCs w:val="21"/>
        </w:rPr>
      </w:pPr>
      <w:r>
        <w:rPr>
          <w:rFonts w:ascii="宋体" w:hAnsi="宋体"/>
          <w:szCs w:val="21"/>
        </w:rPr>
        <w:t>（四）项目管理机构</w:t>
      </w:r>
    </w:p>
    <w:p>
      <w:pPr>
        <w:spacing w:line="360" w:lineRule="auto"/>
        <w:ind w:firstLine="420" w:firstLineChars="200"/>
        <w:rPr>
          <w:rFonts w:ascii="宋体" w:hAnsi="宋体"/>
          <w:szCs w:val="21"/>
        </w:rPr>
      </w:pPr>
      <w:r>
        <w:rPr>
          <w:rFonts w:ascii="宋体" w:hAnsi="宋体"/>
          <w:szCs w:val="21"/>
        </w:rPr>
        <w:t>（五）近年财务状况表</w:t>
      </w:r>
    </w:p>
    <w:p>
      <w:pPr>
        <w:spacing w:line="360" w:lineRule="auto"/>
        <w:ind w:firstLine="420" w:firstLineChars="200"/>
        <w:rPr>
          <w:rFonts w:ascii="宋体" w:hAnsi="宋体"/>
          <w:szCs w:val="21"/>
        </w:rPr>
      </w:pPr>
      <w:r>
        <w:rPr>
          <w:rFonts w:ascii="宋体" w:hAnsi="宋体"/>
          <w:szCs w:val="21"/>
        </w:rPr>
        <w:t>（六）类似项目情况表</w:t>
      </w:r>
    </w:p>
    <w:p>
      <w:pPr>
        <w:spacing w:line="360" w:lineRule="auto"/>
        <w:ind w:firstLine="420" w:firstLineChars="200"/>
        <w:rPr>
          <w:rFonts w:ascii="宋体" w:hAnsi="宋体"/>
          <w:szCs w:val="21"/>
        </w:rPr>
      </w:pPr>
      <w:r>
        <w:rPr>
          <w:rFonts w:ascii="宋体" w:hAnsi="宋体"/>
          <w:szCs w:val="21"/>
        </w:rPr>
        <w:t>（七）</w:t>
      </w:r>
      <w:r>
        <w:rPr>
          <w:rFonts w:hint="eastAsia" w:ascii="宋体" w:hAnsi="宋体"/>
          <w:szCs w:val="21"/>
        </w:rPr>
        <w:t>承诺</w:t>
      </w:r>
    </w:p>
    <w:p>
      <w:pPr>
        <w:spacing w:line="360" w:lineRule="auto"/>
        <w:ind w:firstLine="420" w:firstLineChars="200"/>
        <w:rPr>
          <w:rFonts w:ascii="宋体" w:hAnsi="宋体"/>
          <w:szCs w:val="21"/>
        </w:rPr>
      </w:pPr>
      <w:r>
        <w:rPr>
          <w:rFonts w:ascii="宋体" w:hAnsi="宋体"/>
          <w:szCs w:val="21"/>
        </w:rPr>
        <w:t>（</w:t>
      </w:r>
      <w:r>
        <w:rPr>
          <w:rFonts w:hint="eastAsia" w:ascii="宋体" w:hAnsi="宋体"/>
          <w:szCs w:val="21"/>
        </w:rPr>
        <w:t>八</w:t>
      </w:r>
      <w:r>
        <w:rPr>
          <w:rFonts w:ascii="宋体" w:hAnsi="宋体"/>
          <w:szCs w:val="21"/>
        </w:rPr>
        <w:t>）其他资料</w:t>
      </w:r>
    </w:p>
    <w:p>
      <w:pPr>
        <w:spacing w:line="360" w:lineRule="auto"/>
        <w:jc w:val="center"/>
        <w:rPr>
          <w:rFonts w:ascii="宋体" w:hAnsi="宋体"/>
          <w:b/>
          <w:kern w:val="0"/>
          <w:sz w:val="32"/>
          <w:szCs w:val="32"/>
        </w:rPr>
      </w:pPr>
    </w:p>
    <w:p>
      <w:pPr>
        <w:spacing w:line="360" w:lineRule="auto"/>
        <w:jc w:val="center"/>
        <w:rPr>
          <w:rFonts w:ascii="宋体" w:hAnsi="宋体"/>
          <w:b/>
          <w:kern w:val="0"/>
          <w:sz w:val="32"/>
          <w:szCs w:val="32"/>
        </w:rPr>
      </w:pPr>
    </w:p>
    <w:p>
      <w:pPr>
        <w:pStyle w:val="5"/>
        <w:spacing w:before="0" w:after="0" w:line="240" w:lineRule="auto"/>
        <w:jc w:val="center"/>
        <w:outlineLvl w:val="0"/>
        <w:rPr>
          <w:rFonts w:ascii="宋体" w:hAnsi="宋体"/>
          <w:sz w:val="36"/>
          <w:szCs w:val="36"/>
        </w:rPr>
      </w:pPr>
      <w:r>
        <w:rPr>
          <w:rFonts w:ascii="宋体" w:hAnsi="宋体"/>
        </w:rPr>
        <w:br w:type="page"/>
      </w:r>
      <w:bookmarkStart w:id="2253" w:name="_Toc15952"/>
      <w:bookmarkStart w:id="2254" w:name="_Toc277082657"/>
      <w:bookmarkStart w:id="2255" w:name="_Toc287607883"/>
      <w:bookmarkStart w:id="2256" w:name="_Toc29838"/>
      <w:bookmarkStart w:id="2257" w:name="_Toc224103511"/>
      <w:bookmarkStart w:id="2258" w:name="_Toc430530546"/>
      <w:bookmarkStart w:id="2259" w:name="_Toc287620830"/>
      <w:bookmarkStart w:id="2260" w:name="_Toc10547"/>
      <w:r>
        <w:rPr>
          <w:rFonts w:hint="eastAsia" w:ascii="宋体" w:hAnsi="宋体"/>
          <w:b w:val="0"/>
          <w:bCs w:val="0"/>
        </w:rPr>
        <w:t>（一）法定代表人身份证明或附有法定代表人身份证明的授权委托书</w:t>
      </w:r>
      <w:bookmarkEnd w:id="2253"/>
      <w:bookmarkEnd w:id="2254"/>
      <w:bookmarkEnd w:id="2255"/>
      <w:bookmarkEnd w:id="2256"/>
      <w:bookmarkEnd w:id="2257"/>
      <w:bookmarkEnd w:id="2258"/>
      <w:bookmarkEnd w:id="2259"/>
      <w:bookmarkEnd w:id="2260"/>
    </w:p>
    <w:p>
      <w:pPr>
        <w:spacing w:line="480" w:lineRule="auto"/>
        <w:jc w:val="center"/>
        <w:outlineLvl w:val="1"/>
        <w:rPr>
          <w:rFonts w:ascii="宋体" w:hAnsi="宋体"/>
          <w:sz w:val="28"/>
        </w:rPr>
      </w:pPr>
      <w:bookmarkStart w:id="2261" w:name="_Toc3028"/>
      <w:bookmarkStart w:id="2262" w:name="_Toc20901"/>
      <w:r>
        <w:rPr>
          <w:rFonts w:hint="eastAsia" w:ascii="宋体" w:hAnsi="宋体"/>
          <w:sz w:val="28"/>
        </w:rPr>
        <w:t>法定代表人身份证明</w:t>
      </w:r>
      <w:bookmarkEnd w:id="2261"/>
      <w:bookmarkEnd w:id="2262"/>
    </w:p>
    <w:p>
      <w:pPr>
        <w:spacing w:line="480" w:lineRule="auto"/>
        <w:jc w:val="center"/>
        <w:rPr>
          <w:rFonts w:ascii="宋体" w:hAnsi="宋体"/>
        </w:rPr>
      </w:pPr>
    </w:p>
    <w:p>
      <w:pPr>
        <w:tabs>
          <w:tab w:val="left" w:pos="556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投标人名称：</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单位性质：</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地</w:t>
      </w:r>
      <w:r>
        <w:rPr>
          <w:rFonts w:hint="eastAsia" w:ascii="宋体" w:hAnsi="宋体"/>
          <w:kern w:val="0"/>
          <w:szCs w:val="21"/>
        </w:rPr>
        <w:t xml:space="preserve">    </w:t>
      </w:r>
      <w:r>
        <w:rPr>
          <w:rFonts w:ascii="宋体" w:hAnsi="宋体"/>
          <w:kern w:val="0"/>
          <w:szCs w:val="21"/>
        </w:rPr>
        <w:t>址：</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2520"/>
          <w:tab w:val="left" w:pos="3836"/>
        </w:tabs>
        <w:autoSpaceDE w:val="0"/>
        <w:autoSpaceDN w:val="0"/>
        <w:adjustRightInd w:val="0"/>
        <w:snapToGrid w:val="0"/>
        <w:spacing w:line="480" w:lineRule="auto"/>
        <w:ind w:firstLine="390" w:firstLineChars="186"/>
        <w:jc w:val="left"/>
        <w:rPr>
          <w:rFonts w:ascii="宋体" w:hAnsi="宋体"/>
          <w:kern w:val="0"/>
          <w:sz w:val="10"/>
          <w:szCs w:val="10"/>
        </w:rPr>
      </w:pPr>
      <w:r>
        <w:rPr>
          <w:rFonts w:ascii="宋体" w:hAnsi="宋体"/>
          <w:kern w:val="0"/>
          <w:szCs w:val="21"/>
        </w:rPr>
        <w:t>成立时间：</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经营期限：</w:t>
      </w:r>
      <w:r>
        <w:rPr>
          <w:rFonts w:ascii="宋体" w:hAnsi="宋体"/>
          <w:w w:val="200"/>
          <w:kern w:val="0"/>
          <w:szCs w:val="21"/>
          <w:u w:val="single"/>
        </w:rPr>
        <w:t xml:space="preserve"> </w:t>
      </w:r>
      <w:r>
        <w:rPr>
          <w:rFonts w:hint="eastAsia" w:ascii="宋体" w:hAnsi="宋体"/>
          <w:w w:val="200"/>
          <w:kern w:val="0"/>
          <w:szCs w:val="21"/>
          <w:u w:val="single"/>
        </w:rPr>
        <w:t xml:space="preserve">                                    </w:t>
      </w:r>
    </w:p>
    <w:p>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姓名：</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性别</w:t>
      </w:r>
      <w:r>
        <w:rPr>
          <w:rFonts w:ascii="宋体" w:hAnsi="宋体"/>
          <w:spacing w:val="-1"/>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spacing w:val="-1"/>
          <w:kern w:val="0"/>
          <w:szCs w:val="21"/>
        </w:rPr>
        <w:t>年</w:t>
      </w:r>
      <w:r>
        <w:rPr>
          <w:rFonts w:ascii="宋体" w:hAnsi="宋体"/>
          <w:kern w:val="0"/>
          <w:szCs w:val="21"/>
        </w:rPr>
        <w:t>龄：</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职务：</w:t>
      </w:r>
      <w:r>
        <w:rPr>
          <w:rFonts w:hint="eastAsia" w:ascii="宋体" w:hAnsi="宋体"/>
          <w:kern w:val="0"/>
          <w:szCs w:val="21"/>
          <w:u w:val="single"/>
        </w:rPr>
        <w:t xml:space="preserve">              </w:t>
      </w:r>
      <w:r>
        <w:rPr>
          <w:rFonts w:ascii="宋体" w:hAnsi="宋体"/>
          <w:kern w:val="0"/>
          <w:szCs w:val="21"/>
          <w:u w:val="single"/>
        </w:rPr>
        <w:t xml:space="preserve"> </w:t>
      </w:r>
    </w:p>
    <w:p>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系</w:t>
      </w:r>
      <w:r>
        <w:rPr>
          <w:rFonts w:hint="eastAsia" w:ascii="宋体" w:hAnsi="宋体"/>
          <w:kern w:val="0"/>
          <w:szCs w:val="21"/>
          <w:u w:val="single"/>
        </w:rPr>
        <w:t xml:space="preserve">                                                        </w:t>
      </w:r>
      <w:r>
        <w:rPr>
          <w:rFonts w:ascii="宋体" w:hAnsi="宋体"/>
          <w:kern w:val="0"/>
          <w:szCs w:val="21"/>
          <w:u w:val="single"/>
        </w:rPr>
        <w:t xml:space="preserve"> （投标人名称）</w:t>
      </w:r>
      <w:r>
        <w:rPr>
          <w:rFonts w:ascii="宋体" w:hAnsi="宋体"/>
          <w:kern w:val="0"/>
          <w:szCs w:val="21"/>
        </w:rPr>
        <w:t>的法定代表人。</w:t>
      </w:r>
    </w:p>
    <w:p>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特此证明。</w:t>
      </w:r>
    </w:p>
    <w:p>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附：法定代表人身份证扫描件（双面）</w:t>
      </w:r>
    </w:p>
    <w:p>
      <w:pPr>
        <w:autoSpaceDE w:val="0"/>
        <w:autoSpaceDN w:val="0"/>
        <w:adjustRightInd w:val="0"/>
        <w:snapToGrid w:val="0"/>
        <w:spacing w:line="360" w:lineRule="auto"/>
        <w:jc w:val="left"/>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pStyle w:val="2"/>
        <w:spacing w:after="0" w:line="360" w:lineRule="auto"/>
        <w:rPr>
          <w:rFonts w:ascii="宋体" w:hAnsi="宋体"/>
          <w:szCs w:val="21"/>
        </w:rPr>
      </w:pPr>
    </w:p>
    <w:p>
      <w:pPr>
        <w:autoSpaceDE w:val="0"/>
        <w:autoSpaceDN w:val="0"/>
        <w:adjustRightInd w:val="0"/>
        <w:snapToGrid w:val="0"/>
        <w:spacing w:line="480" w:lineRule="auto"/>
        <w:ind w:firstLine="420" w:firstLineChars="200"/>
        <w:jc w:val="right"/>
        <w:rPr>
          <w:rFonts w:ascii="宋体" w:hAnsi="宋体"/>
          <w:kern w:val="0"/>
          <w:szCs w:val="21"/>
        </w:rPr>
      </w:pPr>
      <w:r>
        <w:rPr>
          <w:rFonts w:ascii="宋体" w:hAnsi="宋体"/>
          <w:kern w:val="0"/>
          <w:szCs w:val="21"/>
        </w:rPr>
        <w:t>投标</w:t>
      </w:r>
      <w:r>
        <w:rPr>
          <w:rFonts w:ascii="宋体" w:hAnsi="宋体"/>
          <w:spacing w:val="-1"/>
          <w:kern w:val="0"/>
          <w:szCs w:val="21"/>
        </w:rPr>
        <w:t>人</w:t>
      </w:r>
      <w:r>
        <w:rPr>
          <w:rFonts w:ascii="宋体" w:hAnsi="宋体"/>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pPr>
        <w:autoSpaceDE w:val="0"/>
        <w:autoSpaceDN w:val="0"/>
        <w:adjustRightInd w:val="0"/>
        <w:snapToGrid w:val="0"/>
        <w:spacing w:line="480" w:lineRule="auto"/>
        <w:jc w:val="left"/>
        <w:rPr>
          <w:rFonts w:ascii="宋体" w:hAnsi="宋体"/>
          <w:kern w:val="0"/>
          <w:sz w:val="20"/>
          <w:szCs w:val="20"/>
        </w:rPr>
      </w:pPr>
    </w:p>
    <w:p>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r>
        <w:rPr>
          <w:rFonts w:hint="eastAsia" w:ascii="宋体" w:hAnsi="宋体"/>
          <w:kern w:val="0"/>
          <w:szCs w:val="21"/>
        </w:rPr>
        <w:t xml:space="preserve">  </w:t>
      </w:r>
    </w:p>
    <w:p>
      <w:pPr>
        <w:autoSpaceDE w:val="0"/>
        <w:autoSpaceDN w:val="0"/>
        <w:adjustRightInd w:val="0"/>
        <w:snapToGrid w:val="0"/>
        <w:spacing w:line="360" w:lineRule="auto"/>
        <w:jc w:val="left"/>
        <w:rPr>
          <w:rFonts w:ascii="宋体" w:hAnsi="宋体"/>
          <w:kern w:val="0"/>
        </w:rPr>
      </w:pPr>
    </w:p>
    <w:p>
      <w:pPr>
        <w:autoSpaceDE w:val="0"/>
        <w:autoSpaceDN w:val="0"/>
        <w:adjustRightInd w:val="0"/>
        <w:snapToGrid w:val="0"/>
        <w:spacing w:line="360" w:lineRule="auto"/>
        <w:jc w:val="left"/>
        <w:rPr>
          <w:rFonts w:ascii="宋体" w:hAnsi="宋体"/>
          <w:kern w:val="0"/>
        </w:rPr>
      </w:pPr>
    </w:p>
    <w:p>
      <w:pPr>
        <w:tabs>
          <w:tab w:val="left" w:pos="1680"/>
          <w:tab w:val="left" w:pos="4215"/>
          <w:tab w:val="left" w:pos="4305"/>
          <w:tab w:val="left" w:pos="8000"/>
        </w:tabs>
        <w:autoSpaceDE w:val="0"/>
        <w:autoSpaceDN w:val="0"/>
        <w:adjustRightInd w:val="0"/>
        <w:snapToGrid w:val="0"/>
        <w:spacing w:line="360" w:lineRule="auto"/>
        <w:ind w:firstLine="411" w:firstLineChars="196"/>
        <w:jc w:val="left"/>
        <w:rPr>
          <w:rFonts w:ascii="宋体" w:hAnsi="宋体"/>
          <w:kern w:val="0"/>
          <w:szCs w:val="21"/>
        </w:rPr>
      </w:pPr>
      <w:r>
        <w:rPr>
          <w:rFonts w:ascii="宋体" w:hAnsi="宋体"/>
        </w:rPr>
        <w:t>注：法定代表人身份证明需按上述格式填写完整，不可缺少内容。在此基础上增加内容的不影响其有效性</w:t>
      </w:r>
      <w:r>
        <w:rPr>
          <w:rFonts w:hint="eastAsia" w:ascii="宋体" w:hAnsi="宋体"/>
          <w:kern w:val="0"/>
          <w:szCs w:val="21"/>
        </w:rPr>
        <w:t>。</w:t>
      </w:r>
    </w:p>
    <w:p>
      <w:pPr>
        <w:tabs>
          <w:tab w:val="left" w:pos="1680"/>
          <w:tab w:val="left" w:pos="4215"/>
          <w:tab w:val="left" w:pos="4305"/>
          <w:tab w:val="left" w:pos="8000"/>
        </w:tabs>
        <w:autoSpaceDE w:val="0"/>
        <w:autoSpaceDN w:val="0"/>
        <w:adjustRightInd w:val="0"/>
        <w:snapToGrid w:val="0"/>
        <w:spacing w:line="360" w:lineRule="auto"/>
        <w:ind w:firstLine="411" w:firstLineChars="196"/>
        <w:jc w:val="left"/>
        <w:rPr>
          <w:rFonts w:ascii="宋体" w:hAnsi="宋体"/>
          <w:kern w:val="0"/>
          <w:szCs w:val="21"/>
        </w:rPr>
      </w:pPr>
    </w:p>
    <w:p>
      <w:pPr>
        <w:tabs>
          <w:tab w:val="left" w:pos="1680"/>
          <w:tab w:val="left" w:pos="4215"/>
          <w:tab w:val="left" w:pos="4305"/>
          <w:tab w:val="left" w:pos="8000"/>
        </w:tabs>
        <w:autoSpaceDE w:val="0"/>
        <w:autoSpaceDN w:val="0"/>
        <w:adjustRightInd w:val="0"/>
        <w:snapToGrid w:val="0"/>
        <w:spacing w:line="360" w:lineRule="auto"/>
        <w:jc w:val="center"/>
        <w:outlineLvl w:val="1"/>
        <w:rPr>
          <w:rFonts w:ascii="宋体" w:hAnsi="宋体"/>
          <w:kern w:val="0"/>
          <w:sz w:val="28"/>
          <w:szCs w:val="28"/>
        </w:rPr>
      </w:pPr>
      <w:r>
        <w:rPr>
          <w:rFonts w:ascii="宋体" w:hAnsi="宋体"/>
          <w:b/>
          <w:kern w:val="0"/>
          <w:sz w:val="28"/>
          <w:szCs w:val="28"/>
        </w:rPr>
        <w:br w:type="page"/>
      </w:r>
      <w:bookmarkStart w:id="2263" w:name="_Toc2778"/>
      <w:bookmarkStart w:id="2264" w:name="_Toc16713"/>
      <w:r>
        <w:rPr>
          <w:rFonts w:ascii="宋体" w:hAnsi="宋体"/>
          <w:snapToGrid w:val="0"/>
          <w:kern w:val="0"/>
          <w:sz w:val="32"/>
          <w:szCs w:val="32"/>
        </w:rPr>
        <w:t>授权委托书</w:t>
      </w:r>
      <w:bookmarkEnd w:id="2263"/>
      <w:bookmarkEnd w:id="2264"/>
    </w:p>
    <w:p>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本人</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系</w:t>
      </w:r>
      <w:r>
        <w:rPr>
          <w:rFonts w:hint="eastAsia" w:ascii="宋体" w:hAnsi="宋体"/>
          <w:w w:val="200"/>
          <w:kern w:val="0"/>
          <w:szCs w:val="21"/>
          <w:u w:val="single"/>
        </w:rPr>
        <w:t xml:space="preserve">        </w:t>
      </w:r>
      <w:r>
        <w:rPr>
          <w:rFonts w:ascii="宋体" w:hAnsi="宋体"/>
          <w:kern w:val="0"/>
          <w:szCs w:val="21"/>
          <w:u w:val="single"/>
        </w:rPr>
        <w:t>（</w:t>
      </w:r>
      <w:r>
        <w:rPr>
          <w:rFonts w:ascii="宋体" w:hAnsi="宋体"/>
          <w:spacing w:val="-1"/>
          <w:kern w:val="0"/>
          <w:szCs w:val="21"/>
          <w:u w:val="single"/>
        </w:rPr>
        <w:t>投</w:t>
      </w:r>
      <w:r>
        <w:rPr>
          <w:rFonts w:ascii="宋体" w:hAnsi="宋体"/>
          <w:kern w:val="0"/>
          <w:szCs w:val="21"/>
          <w:u w:val="single"/>
        </w:rPr>
        <w:t>标人名称</w:t>
      </w:r>
      <w:r>
        <w:rPr>
          <w:rFonts w:ascii="宋体" w:hAnsi="宋体"/>
          <w:spacing w:val="1"/>
          <w:kern w:val="0"/>
          <w:szCs w:val="21"/>
          <w:u w:val="single"/>
        </w:rPr>
        <w:t>）</w:t>
      </w:r>
      <w:r>
        <w:rPr>
          <w:rFonts w:ascii="宋体" w:hAnsi="宋体"/>
          <w:kern w:val="0"/>
          <w:szCs w:val="21"/>
        </w:rPr>
        <w:t>的法定代</w:t>
      </w:r>
      <w:r>
        <w:rPr>
          <w:rFonts w:ascii="宋体" w:hAnsi="宋体"/>
          <w:spacing w:val="1"/>
          <w:kern w:val="0"/>
          <w:szCs w:val="21"/>
        </w:rPr>
        <w:t>表</w:t>
      </w:r>
      <w:r>
        <w:rPr>
          <w:rFonts w:ascii="宋体" w:hAnsi="宋体"/>
          <w:kern w:val="0"/>
          <w:szCs w:val="21"/>
        </w:rPr>
        <w:t>人，现委托</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为我方代理人。代理人根据授权，以我方名义签署、澄清、说明、补正、递交、撤回、 修改</w:t>
      </w:r>
      <w:r>
        <w:rPr>
          <w:rFonts w:hint="eastAsia" w:ascii="宋体" w:hAnsi="宋体"/>
          <w:w w:val="200"/>
          <w:kern w:val="0"/>
          <w:szCs w:val="21"/>
          <w:u w:val="single"/>
        </w:rPr>
        <w:t xml:space="preserve">        </w:t>
      </w:r>
      <w:r>
        <w:rPr>
          <w:rFonts w:ascii="宋体" w:hAnsi="宋体"/>
          <w:kern w:val="0"/>
          <w:szCs w:val="21"/>
          <w:u w:val="single"/>
        </w:rPr>
        <w:t>（项</w:t>
      </w:r>
      <w:r>
        <w:rPr>
          <w:rFonts w:ascii="宋体" w:hAnsi="宋体"/>
          <w:spacing w:val="-1"/>
          <w:kern w:val="0"/>
          <w:szCs w:val="21"/>
          <w:u w:val="single"/>
        </w:rPr>
        <w:t>目</w:t>
      </w:r>
      <w:r>
        <w:rPr>
          <w:rFonts w:ascii="宋体" w:hAnsi="宋体"/>
          <w:kern w:val="0"/>
          <w:szCs w:val="21"/>
          <w:u w:val="single"/>
        </w:rPr>
        <w:t>名称）</w:t>
      </w:r>
      <w:r>
        <w:rPr>
          <w:rFonts w:ascii="宋体" w:hAnsi="宋体"/>
          <w:kern w:val="0"/>
          <w:szCs w:val="21"/>
        </w:rPr>
        <w:t>投标文件、签订合同和处理有关事宜， 其法律后果由我方承担。</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委托</w:t>
      </w:r>
      <w:r>
        <w:rPr>
          <w:rFonts w:ascii="宋体" w:hAnsi="宋体"/>
          <w:spacing w:val="-1"/>
          <w:kern w:val="0"/>
          <w:szCs w:val="21"/>
        </w:rPr>
        <w:t>期</w:t>
      </w:r>
      <w:r>
        <w:rPr>
          <w:rFonts w:ascii="宋体" w:hAnsi="宋体"/>
          <w:kern w:val="0"/>
          <w:szCs w:val="21"/>
        </w:rPr>
        <w:t>限：</w:t>
      </w:r>
      <w:r>
        <w:rPr>
          <w:rFonts w:hint="eastAsia" w:ascii="宋体" w:hAnsi="宋体"/>
          <w:w w:val="200"/>
          <w:kern w:val="0"/>
          <w:szCs w:val="21"/>
          <w:u w:val="single"/>
        </w:rPr>
        <w:t xml:space="preserve">        </w:t>
      </w:r>
      <w:r>
        <w:rPr>
          <w:rFonts w:ascii="宋体" w:hAnsi="宋体"/>
          <w:kern w:val="0"/>
          <w:szCs w:val="21"/>
        </w:rPr>
        <w:t xml:space="preserve">。 </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代理人无转委托权。</w:t>
      </w: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p>
    <w:p>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投  标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pPr>
        <w:tabs>
          <w:tab w:val="left" w:pos="630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pPr>
        <w:tabs>
          <w:tab w:val="left" w:pos="5260"/>
        </w:tabs>
        <w:autoSpaceDE w:val="0"/>
        <w:autoSpaceDN w:val="0"/>
        <w:adjustRightInd w:val="0"/>
        <w:snapToGrid w:val="0"/>
        <w:spacing w:line="480" w:lineRule="auto"/>
        <w:ind w:firstLine="420" w:firstLineChars="200"/>
        <w:jc w:val="left"/>
        <w:rPr>
          <w:rFonts w:ascii="宋体" w:hAnsi="宋体"/>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委托代理人：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hint="eastAsia" w:ascii="宋体" w:hAnsi="宋体"/>
          <w:spacing w:val="-1"/>
          <w:kern w:val="0"/>
          <w:szCs w:val="21"/>
        </w:rPr>
        <w:t>）</w:t>
      </w:r>
    </w:p>
    <w:p>
      <w:pPr>
        <w:tabs>
          <w:tab w:val="left" w:pos="6825"/>
        </w:tabs>
        <w:autoSpaceDE w:val="0"/>
        <w:autoSpaceDN w:val="0"/>
        <w:adjustRightInd w:val="0"/>
        <w:snapToGrid w:val="0"/>
        <w:spacing w:line="480" w:lineRule="auto"/>
        <w:ind w:firstLine="420" w:firstLineChars="200"/>
        <w:jc w:val="left"/>
        <w:rPr>
          <w:rFonts w:ascii="宋体" w:hAnsi="宋体"/>
          <w:w w:val="200"/>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pPr>
        <w:tabs>
          <w:tab w:val="left" w:pos="6825"/>
        </w:tabs>
        <w:autoSpaceDE w:val="0"/>
        <w:autoSpaceDN w:val="0"/>
        <w:adjustRightInd w:val="0"/>
        <w:snapToGrid w:val="0"/>
        <w:spacing w:line="480" w:lineRule="auto"/>
        <w:ind w:firstLine="420" w:firstLineChars="200"/>
        <w:jc w:val="left"/>
        <w:rPr>
          <w:rFonts w:ascii="宋体" w:hAnsi="宋体"/>
          <w:kern w:val="0"/>
          <w:szCs w:val="21"/>
          <w:u w:val="single"/>
        </w:rPr>
      </w:pPr>
      <w:r>
        <w:rPr>
          <w:rFonts w:hint="eastAsia" w:ascii="宋体" w:hAnsi="宋体"/>
          <w:kern w:val="0"/>
          <w:szCs w:val="21"/>
        </w:rPr>
        <w:t>单位电话（座机）：</w:t>
      </w:r>
      <w:r>
        <w:rPr>
          <w:rFonts w:hint="eastAsia" w:ascii="宋体" w:hAnsi="宋体"/>
          <w:kern w:val="0"/>
          <w:szCs w:val="21"/>
          <w:u w:val="single"/>
        </w:rPr>
        <w:t xml:space="preserve">                              </w:t>
      </w:r>
    </w:p>
    <w:p>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hint="eastAsia" w:ascii="宋体" w:hAnsi="宋体"/>
          <w:kern w:val="0"/>
          <w:szCs w:val="21"/>
        </w:rPr>
        <w:t xml:space="preserve">委托代理人电话（手机）：                                          </w:t>
      </w:r>
    </w:p>
    <w:p>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附：法定代表人和委托代理人身份证扫描件（双面）</w:t>
      </w:r>
    </w:p>
    <w:p>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pPr>
        <w:tabs>
          <w:tab w:val="left" w:pos="6825"/>
        </w:tabs>
        <w:autoSpaceDE w:val="0"/>
        <w:autoSpaceDN w:val="0"/>
        <w:adjustRightInd w:val="0"/>
        <w:snapToGrid w:val="0"/>
        <w:spacing w:line="480" w:lineRule="auto"/>
        <w:ind w:firstLine="420" w:firstLineChars="200"/>
        <w:jc w:val="left"/>
        <w:rPr>
          <w:rFonts w:ascii="宋体" w:hAnsi="宋体"/>
          <w:kern w:val="0"/>
          <w:szCs w:val="21"/>
        </w:rPr>
      </w:pPr>
    </w:p>
    <w:p>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hint="eastAsia" w:ascii="宋体" w:hAnsi="宋体"/>
          <w:w w:val="200"/>
          <w:kern w:val="0"/>
          <w:szCs w:val="21"/>
          <w:u w:val="single"/>
        </w:rPr>
        <w:t xml:space="preserve">  </w:t>
      </w:r>
      <w:r>
        <w:rPr>
          <w:rFonts w:ascii="宋体" w:hAnsi="宋体"/>
          <w:kern w:val="0"/>
          <w:szCs w:val="21"/>
        </w:rPr>
        <w:t>月</w:t>
      </w:r>
      <w:r>
        <w:rPr>
          <w:rFonts w:hint="eastAsia" w:ascii="宋体" w:hAnsi="宋体"/>
          <w:w w:val="200"/>
          <w:kern w:val="0"/>
          <w:szCs w:val="21"/>
          <w:u w:val="single"/>
        </w:rPr>
        <w:t xml:space="preserve">  </w:t>
      </w:r>
      <w:r>
        <w:rPr>
          <w:rFonts w:ascii="宋体" w:hAnsi="宋体"/>
          <w:kern w:val="0"/>
          <w:szCs w:val="21"/>
        </w:rPr>
        <w:t>日</w:t>
      </w:r>
      <w:r>
        <w:rPr>
          <w:rFonts w:hint="eastAsia" w:ascii="宋体" w:hAnsi="宋体"/>
          <w:kern w:val="0"/>
          <w:szCs w:val="21"/>
        </w:rPr>
        <w:t xml:space="preserve"> </w:t>
      </w:r>
    </w:p>
    <w:p>
      <w:pPr>
        <w:tabs>
          <w:tab w:val="left" w:pos="4005"/>
          <w:tab w:val="left" w:pos="4100"/>
          <w:tab w:val="left" w:pos="5040"/>
        </w:tabs>
        <w:autoSpaceDE w:val="0"/>
        <w:autoSpaceDN w:val="0"/>
        <w:adjustRightInd w:val="0"/>
        <w:snapToGrid w:val="0"/>
        <w:spacing w:line="360" w:lineRule="auto"/>
        <w:ind w:firstLine="3780"/>
        <w:jc w:val="right"/>
        <w:rPr>
          <w:rFonts w:ascii="宋体" w:hAnsi="宋体"/>
          <w:kern w:val="0"/>
          <w:szCs w:val="21"/>
        </w:rPr>
      </w:pPr>
    </w:p>
    <w:p>
      <w:pPr>
        <w:tabs>
          <w:tab w:val="left" w:pos="5760"/>
        </w:tabs>
        <w:autoSpaceDE w:val="0"/>
        <w:autoSpaceDN w:val="0"/>
        <w:adjustRightInd w:val="0"/>
        <w:spacing w:line="360" w:lineRule="auto"/>
        <w:ind w:firstLine="420" w:firstLineChars="200"/>
        <w:rPr>
          <w:rFonts w:ascii="宋体" w:hAnsi="宋体"/>
          <w:kern w:val="0"/>
        </w:rPr>
      </w:pPr>
    </w:p>
    <w:p>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注：1、法定代表人参加投标活动并签署文件的不需要授权委托书，只需提供法定代表人身份证明；非法定代表人参加投标活动及签署文件的除提供法定代表人身份证明外还须提供授权委托书。</w:t>
      </w:r>
    </w:p>
    <w:p>
      <w:pPr>
        <w:autoSpaceDE w:val="0"/>
        <w:autoSpaceDN w:val="0"/>
        <w:adjustRightInd w:val="0"/>
        <w:snapToGrid w:val="0"/>
        <w:spacing w:line="360" w:lineRule="auto"/>
        <w:ind w:firstLine="420" w:firstLineChars="200"/>
        <w:rPr>
          <w:rFonts w:ascii="宋体" w:hAnsi="宋体"/>
        </w:rPr>
      </w:pPr>
      <w:r>
        <w:rPr>
          <w:rFonts w:hint="eastAsia" w:ascii="宋体" w:hAnsi="宋体"/>
          <w:kern w:val="0"/>
          <w:szCs w:val="21"/>
        </w:rPr>
        <w:t>2.</w:t>
      </w:r>
      <w:r>
        <w:rPr>
          <w:rFonts w:hint="eastAsia" w:ascii="宋体" w:hAnsi="宋体"/>
        </w:rPr>
        <w:t>授权委托书</w:t>
      </w:r>
      <w:r>
        <w:rPr>
          <w:rFonts w:ascii="宋体" w:hAnsi="宋体"/>
        </w:rPr>
        <w:t>需按上述格式填写完整，不可缺少内容。在此基础上增加内容的不影响其有效性。</w:t>
      </w:r>
    </w:p>
    <w:p>
      <w:pPr>
        <w:autoSpaceDE w:val="0"/>
        <w:autoSpaceDN w:val="0"/>
        <w:adjustRightInd w:val="0"/>
        <w:snapToGrid w:val="0"/>
        <w:jc w:val="center"/>
        <w:rPr>
          <w:rFonts w:ascii="宋体" w:hAnsi="宋体"/>
        </w:rPr>
      </w:pPr>
      <w:r>
        <w:rPr>
          <w:rFonts w:ascii="宋体" w:hAnsi="宋体"/>
        </w:rPr>
        <w:br w:type="page"/>
      </w:r>
    </w:p>
    <w:p>
      <w:pPr>
        <w:pStyle w:val="5"/>
        <w:spacing w:before="0" w:after="0" w:line="240" w:lineRule="auto"/>
        <w:jc w:val="center"/>
        <w:outlineLvl w:val="0"/>
        <w:rPr>
          <w:rFonts w:ascii="宋体" w:hAnsi="宋体"/>
          <w:b w:val="0"/>
          <w:bCs w:val="0"/>
        </w:rPr>
      </w:pPr>
      <w:bookmarkStart w:id="2265" w:name="_Toc430530547"/>
      <w:bookmarkStart w:id="2266" w:name="_Toc31423"/>
      <w:bookmarkStart w:id="2267" w:name="_Toc21961"/>
      <w:bookmarkStart w:id="2268" w:name="_Toc782"/>
      <w:bookmarkStart w:id="2269" w:name="_Toc287607884"/>
      <w:bookmarkStart w:id="2270" w:name="_Toc277082658"/>
      <w:bookmarkStart w:id="2271" w:name="_Toc287620831"/>
      <w:bookmarkStart w:id="2272" w:name="_Toc224103512"/>
      <w:r>
        <w:rPr>
          <w:rFonts w:hint="eastAsia" w:ascii="宋体" w:hAnsi="宋体"/>
          <w:b w:val="0"/>
          <w:bCs w:val="0"/>
        </w:rPr>
        <w:t>（二）联合体协议书</w:t>
      </w:r>
      <w:bookmarkEnd w:id="2265"/>
      <w:r>
        <w:rPr>
          <w:rFonts w:hint="eastAsia" w:ascii="宋体" w:hAnsi="宋体"/>
          <w:b w:val="0"/>
          <w:bCs w:val="0"/>
        </w:rPr>
        <w:t>（如有）</w:t>
      </w:r>
      <w:bookmarkEnd w:id="2266"/>
      <w:bookmarkEnd w:id="2267"/>
      <w:bookmarkEnd w:id="2268"/>
    </w:p>
    <w:bookmarkEnd w:id="2269"/>
    <w:bookmarkEnd w:id="2270"/>
    <w:bookmarkEnd w:id="2271"/>
    <w:bookmarkEnd w:id="2272"/>
    <w:p>
      <w:pPr>
        <w:autoSpaceDE w:val="0"/>
        <w:autoSpaceDN w:val="0"/>
        <w:adjustRightInd w:val="0"/>
        <w:snapToGrid w:val="0"/>
        <w:spacing w:line="500" w:lineRule="exact"/>
        <w:ind w:firstLine="420" w:firstLineChars="200"/>
        <w:rPr>
          <w:rFonts w:ascii="宋体" w:hAnsi="宋体"/>
          <w:snapToGrid w:val="0"/>
          <w:kern w:val="0"/>
          <w:szCs w:val="21"/>
        </w:rPr>
      </w:pPr>
      <w:bookmarkStart w:id="2273" w:name="_Toc277082659"/>
      <w:bookmarkStart w:id="2274" w:name="_Toc287607887"/>
      <w:r>
        <w:rPr>
          <w:rFonts w:ascii="宋体" w:hAnsi="宋体"/>
          <w:snapToGrid w:val="0"/>
          <w:kern w:val="0"/>
          <w:szCs w:val="21"/>
          <w:u w:val="single"/>
        </w:rPr>
        <w:tab/>
      </w:r>
      <w:r>
        <w:rPr>
          <w:rFonts w:hint="eastAsia" w:ascii="宋体" w:hAnsi="宋体"/>
          <w:snapToGrid w:val="0"/>
          <w:kern w:val="0"/>
          <w:szCs w:val="21"/>
          <w:u w:val="single"/>
        </w:rPr>
        <w:t xml:space="preserve">            </w:t>
      </w:r>
      <w:r>
        <w:rPr>
          <w:rFonts w:ascii="宋体" w:hAnsi="宋体"/>
          <w:snapToGrid w:val="0"/>
          <w:kern w:val="0"/>
          <w:szCs w:val="21"/>
          <w:u w:val="single"/>
        </w:rPr>
        <w:t>（所有成员单位名称）</w:t>
      </w:r>
      <w:r>
        <w:rPr>
          <w:rFonts w:ascii="宋体" w:hAnsi="宋体"/>
          <w:snapToGrid w:val="0"/>
          <w:kern w:val="0"/>
          <w:szCs w:val="21"/>
        </w:rPr>
        <w:t>自愿组成联合体，共同参加</w:t>
      </w:r>
      <w:r>
        <w:rPr>
          <w:rFonts w:ascii="宋体" w:hAnsi="宋体"/>
          <w:snapToGrid w:val="0"/>
          <w:kern w:val="0"/>
          <w:szCs w:val="21"/>
          <w:u w:val="single"/>
        </w:rPr>
        <w:tab/>
      </w:r>
      <w:r>
        <w:rPr>
          <w:rFonts w:hint="eastAsia" w:ascii="宋体" w:hAnsi="宋体"/>
          <w:snapToGrid w:val="0"/>
          <w:kern w:val="0"/>
          <w:szCs w:val="21"/>
          <w:u w:val="single"/>
        </w:rPr>
        <w:t xml:space="preserve">      </w:t>
      </w:r>
      <w:r>
        <w:rPr>
          <w:rFonts w:ascii="宋体" w:hAnsi="宋体"/>
          <w:snapToGrid w:val="0"/>
          <w:kern w:val="0"/>
          <w:szCs w:val="21"/>
          <w:u w:val="single"/>
        </w:rPr>
        <w:t>（项目名称）</w:t>
      </w:r>
      <w:r>
        <w:rPr>
          <w:rFonts w:ascii="宋体" w:hAnsi="宋体"/>
          <w:snapToGrid w:val="0"/>
          <w:kern w:val="0"/>
          <w:szCs w:val="21"/>
        </w:rPr>
        <w:t>投标。现就联合体投标事宜订立如下协议。</w:t>
      </w:r>
    </w:p>
    <w:p>
      <w:pPr>
        <w:tabs>
          <w:tab w:val="left" w:pos="3465"/>
          <w:tab w:val="left" w:pos="4200"/>
        </w:tabs>
        <w:autoSpaceDE w:val="0"/>
        <w:autoSpaceDN w:val="0"/>
        <w:adjustRightInd w:val="0"/>
        <w:snapToGrid w:val="0"/>
        <w:spacing w:line="500" w:lineRule="exact"/>
        <w:ind w:firstLine="405" w:firstLineChars="193"/>
        <w:jc w:val="left"/>
        <w:rPr>
          <w:rFonts w:ascii="宋体" w:hAnsi="宋体"/>
          <w:snapToGrid w:val="0"/>
          <w:kern w:val="0"/>
          <w:szCs w:val="21"/>
        </w:rPr>
      </w:pPr>
      <w:r>
        <w:rPr>
          <w:rFonts w:ascii="宋体" w:hAnsi="宋体"/>
          <w:snapToGrid w:val="0"/>
          <w:kern w:val="0"/>
          <w:szCs w:val="21"/>
        </w:rPr>
        <w:t>1.</w:t>
      </w:r>
      <w:r>
        <w:rPr>
          <w:rFonts w:ascii="宋体" w:hAnsi="宋体"/>
          <w:snapToGrid w:val="0"/>
          <w:kern w:val="0"/>
          <w:szCs w:val="21"/>
          <w:u w:val="single"/>
        </w:rPr>
        <w:tab/>
      </w:r>
      <w:r>
        <w:rPr>
          <w:rFonts w:ascii="宋体" w:hAnsi="宋体"/>
          <w:snapToGrid w:val="0"/>
          <w:kern w:val="0"/>
          <w:szCs w:val="21"/>
          <w:u w:val="single"/>
        </w:rPr>
        <w:t>（某成员单位名称）</w:t>
      </w:r>
      <w:r>
        <w:rPr>
          <w:rFonts w:hint="eastAsia" w:ascii="宋体" w:hAnsi="宋体"/>
          <w:snapToGrid w:val="0"/>
          <w:kern w:val="0"/>
          <w:szCs w:val="21"/>
        </w:rPr>
        <w:t>为</w:t>
      </w:r>
      <w:r>
        <w:rPr>
          <w:rFonts w:hint="eastAsia" w:ascii="宋体" w:hAnsi="宋体"/>
          <w:snapToGrid w:val="0"/>
          <w:kern w:val="0"/>
          <w:szCs w:val="21"/>
          <w:u w:val="single"/>
        </w:rPr>
        <w:tab/>
      </w:r>
      <w:r>
        <w:rPr>
          <w:rFonts w:hint="eastAsia" w:ascii="宋体" w:hAnsi="宋体"/>
          <w:snapToGrid w:val="0"/>
          <w:kern w:val="0"/>
          <w:szCs w:val="21"/>
          <w:u w:val="single"/>
        </w:rPr>
        <w:t xml:space="preserve">      （项目名称）</w:t>
      </w:r>
      <w:r>
        <w:rPr>
          <w:rFonts w:ascii="宋体" w:hAnsi="宋体"/>
          <w:snapToGrid w:val="0"/>
          <w:kern w:val="0"/>
          <w:szCs w:val="21"/>
        </w:rPr>
        <w:t>联合体牵头人。由联合体牵头人单位递交投标保证金。</w:t>
      </w:r>
    </w:p>
    <w:p>
      <w:pPr>
        <w:autoSpaceDE w:val="0"/>
        <w:autoSpaceDN w:val="0"/>
        <w:adjustRightInd w:val="0"/>
        <w:snapToGrid w:val="0"/>
        <w:spacing w:line="500" w:lineRule="exact"/>
        <w:ind w:firstLine="420"/>
        <w:rPr>
          <w:rFonts w:ascii="宋体" w:hAnsi="宋体"/>
          <w:snapToGrid w:val="0"/>
          <w:kern w:val="0"/>
          <w:szCs w:val="21"/>
        </w:rPr>
      </w:pPr>
      <w:r>
        <w:rPr>
          <w:rFonts w:ascii="宋体" w:hAnsi="宋体"/>
          <w:snapToGrid w:val="0"/>
          <w:kern w:val="0"/>
          <w:szCs w:val="21"/>
        </w:rPr>
        <w:t>2.联合体牵头人合法代表联合体各成员负责本招标项目投标文件编制和合同谈判活动， 并代表联合体提交和接收相关的资料、信息及指示，并处理与之有关的一切事务，负责合同 实施阶段的主办、组织和协调工作。</w:t>
      </w:r>
    </w:p>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3.联合体将严格按照招标文件的各项要求，递交投标文件，履行合同，并对外承担连带责任。</w:t>
      </w:r>
    </w:p>
    <w:p>
      <w:pPr>
        <w:autoSpaceDE w:val="0"/>
        <w:autoSpaceDN w:val="0"/>
        <w:adjustRightInd w:val="0"/>
        <w:spacing w:line="500" w:lineRule="exact"/>
        <w:ind w:firstLine="420" w:firstLineChars="200"/>
        <w:jc w:val="left"/>
        <w:rPr>
          <w:rFonts w:ascii="宋体" w:hAnsi="宋体"/>
          <w:kern w:val="0"/>
          <w:szCs w:val="21"/>
        </w:rPr>
      </w:pPr>
      <w:r>
        <w:rPr>
          <w:rFonts w:ascii="宋体" w:hAnsi="宋体"/>
          <w:kern w:val="0"/>
          <w:szCs w:val="21"/>
        </w:rPr>
        <w:t>4.联合体牵头人代表联合体签署投标文件</w:t>
      </w:r>
      <w:r>
        <w:rPr>
          <w:rFonts w:ascii="宋体" w:hAnsi="宋体"/>
          <w:spacing w:val="-19"/>
          <w:kern w:val="0"/>
          <w:szCs w:val="21"/>
        </w:rPr>
        <w:t>，</w:t>
      </w:r>
      <w:r>
        <w:rPr>
          <w:rFonts w:ascii="宋体" w:hAnsi="宋体"/>
          <w:kern w:val="0"/>
          <w:szCs w:val="21"/>
        </w:rPr>
        <w:t>联合体牵头人的所有承诺均认为代表了联合体各成员。</w:t>
      </w:r>
    </w:p>
    <w:p>
      <w:pPr>
        <w:autoSpaceDE w:val="0"/>
        <w:autoSpaceDN w:val="0"/>
        <w:adjustRightInd w:val="0"/>
        <w:spacing w:line="500" w:lineRule="exact"/>
        <w:ind w:firstLine="420" w:firstLineChars="200"/>
        <w:jc w:val="left"/>
        <w:rPr>
          <w:rFonts w:ascii="宋体" w:hAnsi="宋体"/>
          <w:kern w:val="0"/>
          <w:szCs w:val="21"/>
        </w:rPr>
      </w:pPr>
      <w:r>
        <w:rPr>
          <w:rFonts w:ascii="宋体" w:hAnsi="宋体"/>
          <w:snapToGrid w:val="0"/>
          <w:kern w:val="0"/>
          <w:szCs w:val="21"/>
        </w:rPr>
        <w:t>5.</w:t>
      </w:r>
      <w:r>
        <w:rPr>
          <w:rFonts w:ascii="宋体" w:hAnsi="宋体"/>
          <w:kern w:val="0"/>
          <w:szCs w:val="21"/>
        </w:rPr>
        <w:t>联合体各成员单位内部的职责分工如下：</w:t>
      </w:r>
    </w:p>
    <w:tbl>
      <w:tblPr>
        <w:tblStyle w:val="55"/>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2410"/>
        <w:gridCol w:w="2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jc w:val="center"/>
              <w:rPr>
                <w:rFonts w:ascii="宋体" w:hAnsi="宋体"/>
                <w:snapToGrid w:val="0"/>
                <w:kern w:val="0"/>
                <w:szCs w:val="21"/>
              </w:rPr>
            </w:pPr>
            <w:r>
              <w:rPr>
                <w:rFonts w:hint="eastAsia" w:ascii="宋体" w:hAnsi="宋体"/>
                <w:snapToGrid w:val="0"/>
                <w:kern w:val="0"/>
                <w:szCs w:val="21"/>
              </w:rPr>
              <w:t>联合体成员</w:t>
            </w:r>
            <w:r>
              <w:rPr>
                <w:rFonts w:ascii="宋体" w:hAnsi="宋体"/>
                <w:snapToGrid w:val="0"/>
                <w:kern w:val="0"/>
                <w:szCs w:val="21"/>
              </w:rPr>
              <w:t>名称</w:t>
            </w:r>
          </w:p>
        </w:tc>
        <w:tc>
          <w:tcPr>
            <w:tcW w:w="2410"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社会信用代码</w:t>
            </w:r>
          </w:p>
        </w:tc>
        <w:tc>
          <w:tcPr>
            <w:tcW w:w="2885" w:type="dxa"/>
          </w:tcPr>
          <w:p>
            <w:pPr>
              <w:autoSpaceDE w:val="0"/>
              <w:autoSpaceDN w:val="0"/>
              <w:adjustRightInd w:val="0"/>
              <w:snapToGrid w:val="0"/>
              <w:spacing w:line="500" w:lineRule="exact"/>
              <w:jc w:val="center"/>
              <w:rPr>
                <w:rFonts w:ascii="宋体" w:hAnsi="宋体"/>
                <w:snapToGrid w:val="0"/>
                <w:kern w:val="0"/>
                <w:szCs w:val="21"/>
              </w:rPr>
            </w:pPr>
            <w:r>
              <w:rPr>
                <w:rFonts w:ascii="宋体" w:hAnsi="宋体"/>
                <w:snapToGrid w:val="0"/>
                <w:kern w:val="0"/>
                <w:szCs w:val="21"/>
              </w:rPr>
              <w:t>职责分工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联合体牵头人名称</w:t>
            </w:r>
          </w:p>
        </w:tc>
        <w:tc>
          <w:tcPr>
            <w:tcW w:w="2410"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社会信用代码</w:t>
            </w:r>
          </w:p>
        </w:tc>
        <w:tc>
          <w:tcPr>
            <w:tcW w:w="2885" w:type="dxa"/>
          </w:tcPr>
          <w:p>
            <w:pPr>
              <w:autoSpaceDE w:val="0"/>
              <w:autoSpaceDN w:val="0"/>
              <w:adjustRightInd w:val="0"/>
              <w:snapToGrid w:val="0"/>
              <w:spacing w:line="500" w:lineRule="exact"/>
              <w:ind w:firstLine="420"/>
              <w:jc w:val="left"/>
              <w:rPr>
                <w:rFonts w:ascii="宋体" w:hAns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联合体其他成员单位一名称</w:t>
            </w:r>
          </w:p>
        </w:tc>
        <w:tc>
          <w:tcPr>
            <w:tcW w:w="2410"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社会信用代码</w:t>
            </w:r>
          </w:p>
        </w:tc>
        <w:tc>
          <w:tcPr>
            <w:tcW w:w="2885" w:type="dxa"/>
          </w:tcPr>
          <w:p>
            <w:pPr>
              <w:autoSpaceDE w:val="0"/>
              <w:autoSpaceDN w:val="0"/>
              <w:adjustRightInd w:val="0"/>
              <w:snapToGrid w:val="0"/>
              <w:spacing w:line="500" w:lineRule="exact"/>
              <w:ind w:firstLine="420"/>
              <w:jc w:val="left"/>
              <w:rPr>
                <w:rFonts w:ascii="宋体" w:hAns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联合体其他成员单位二名称</w:t>
            </w:r>
          </w:p>
        </w:tc>
        <w:tc>
          <w:tcPr>
            <w:tcW w:w="2410"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社会信用代码</w:t>
            </w:r>
          </w:p>
        </w:tc>
        <w:tc>
          <w:tcPr>
            <w:tcW w:w="2885" w:type="dxa"/>
          </w:tcPr>
          <w:p>
            <w:pPr>
              <w:autoSpaceDE w:val="0"/>
              <w:autoSpaceDN w:val="0"/>
              <w:adjustRightInd w:val="0"/>
              <w:snapToGrid w:val="0"/>
              <w:spacing w:line="500" w:lineRule="exact"/>
              <w:ind w:firstLine="420"/>
              <w:jc w:val="left"/>
              <w:rPr>
                <w:rFonts w:ascii="宋体" w:hAns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ascii="宋体" w:hAnsi="宋体"/>
                <w:snapToGrid w:val="0"/>
                <w:kern w:val="0"/>
                <w:szCs w:val="21"/>
              </w:rPr>
            </w:pPr>
            <w:r>
              <w:rPr>
                <w:rFonts w:ascii="宋体" w:hAnsi="宋体"/>
                <w:snapToGrid w:val="0"/>
                <w:kern w:val="0"/>
                <w:szCs w:val="21"/>
              </w:rPr>
              <w:t>……</w:t>
            </w:r>
          </w:p>
        </w:tc>
        <w:tc>
          <w:tcPr>
            <w:tcW w:w="2410" w:type="dxa"/>
          </w:tcPr>
          <w:p>
            <w:pPr>
              <w:autoSpaceDE w:val="0"/>
              <w:autoSpaceDN w:val="0"/>
              <w:adjustRightInd w:val="0"/>
              <w:snapToGrid w:val="0"/>
              <w:spacing w:line="500" w:lineRule="exact"/>
              <w:ind w:firstLine="420"/>
              <w:jc w:val="left"/>
              <w:rPr>
                <w:rFonts w:ascii="宋体" w:hAnsi="宋体"/>
                <w:snapToGrid w:val="0"/>
                <w:kern w:val="0"/>
                <w:szCs w:val="21"/>
              </w:rPr>
            </w:pPr>
          </w:p>
        </w:tc>
        <w:tc>
          <w:tcPr>
            <w:tcW w:w="2885" w:type="dxa"/>
          </w:tcPr>
          <w:p>
            <w:pPr>
              <w:autoSpaceDE w:val="0"/>
              <w:autoSpaceDN w:val="0"/>
              <w:adjustRightInd w:val="0"/>
              <w:snapToGrid w:val="0"/>
              <w:spacing w:line="500" w:lineRule="exact"/>
              <w:ind w:firstLine="420"/>
              <w:jc w:val="left"/>
              <w:rPr>
                <w:rFonts w:ascii="宋体" w:hAnsi="宋体"/>
                <w:snapToGrid w:val="0"/>
                <w:kern w:val="0"/>
                <w:szCs w:val="21"/>
              </w:rPr>
            </w:pPr>
          </w:p>
        </w:tc>
      </w:tr>
    </w:tbl>
    <w:p>
      <w:pPr>
        <w:tabs>
          <w:tab w:val="left" w:pos="2020"/>
          <w:tab w:val="left" w:pos="4680"/>
          <w:tab w:val="left" w:pos="7640"/>
          <w:tab w:val="left" w:pos="7820"/>
        </w:tabs>
        <w:autoSpaceDE w:val="0"/>
        <w:autoSpaceDN w:val="0"/>
        <w:adjustRightInd w:val="0"/>
        <w:spacing w:line="500" w:lineRule="exact"/>
        <w:ind w:firstLine="420" w:firstLineChars="200"/>
        <w:jc w:val="left"/>
        <w:rPr>
          <w:rFonts w:ascii="宋体" w:hAnsi="宋体"/>
          <w:spacing w:val="7"/>
          <w:kern w:val="0"/>
          <w:szCs w:val="21"/>
        </w:rPr>
      </w:pPr>
      <w:r>
        <w:rPr>
          <w:rFonts w:ascii="宋体" w:hAnsi="宋体"/>
          <w:kern w:val="0"/>
          <w:szCs w:val="21"/>
        </w:rPr>
        <w:t>6</w:t>
      </w:r>
      <w:r>
        <w:rPr>
          <w:rFonts w:ascii="宋体" w:hAnsi="宋体"/>
          <w:spacing w:val="7"/>
          <w:kern w:val="0"/>
          <w:szCs w:val="21"/>
        </w:rPr>
        <w:t>.</w:t>
      </w:r>
      <w:r>
        <w:rPr>
          <w:rFonts w:hint="eastAsia" w:ascii="宋体" w:hAnsi="宋体"/>
          <w:spacing w:val="7"/>
          <w:kern w:val="0"/>
          <w:szCs w:val="21"/>
        </w:rPr>
        <w:t>由联合体牵头人委派本项目的委托代理人。</w:t>
      </w:r>
    </w:p>
    <w:p>
      <w:pPr>
        <w:autoSpaceDE w:val="0"/>
        <w:autoSpaceDN w:val="0"/>
        <w:adjustRightInd w:val="0"/>
        <w:spacing w:line="500" w:lineRule="exact"/>
        <w:ind w:firstLine="448" w:firstLineChars="200"/>
        <w:jc w:val="left"/>
        <w:rPr>
          <w:rFonts w:ascii="宋体" w:hAnsi="宋体"/>
          <w:kern w:val="0"/>
          <w:szCs w:val="21"/>
        </w:rPr>
      </w:pPr>
      <w:r>
        <w:rPr>
          <w:rFonts w:hint="eastAsia" w:ascii="宋体" w:hAnsi="宋体"/>
          <w:spacing w:val="7"/>
          <w:kern w:val="0"/>
          <w:szCs w:val="21"/>
        </w:rPr>
        <w:t>7.</w:t>
      </w:r>
      <w:r>
        <w:rPr>
          <w:rFonts w:ascii="宋体" w:hAnsi="宋体"/>
          <w:spacing w:val="7"/>
          <w:kern w:val="0"/>
          <w:szCs w:val="21"/>
        </w:rPr>
        <w:t>投标工作和联合体</w:t>
      </w:r>
      <w:r>
        <w:rPr>
          <w:rFonts w:ascii="宋体" w:hAnsi="宋体"/>
          <w:spacing w:val="5"/>
          <w:kern w:val="0"/>
          <w:szCs w:val="21"/>
        </w:rPr>
        <w:t>在</w:t>
      </w:r>
      <w:r>
        <w:rPr>
          <w:rFonts w:ascii="宋体" w:hAnsi="宋体"/>
          <w:spacing w:val="7"/>
          <w:kern w:val="0"/>
          <w:szCs w:val="21"/>
        </w:rPr>
        <w:t>中标后工程实施过</w:t>
      </w:r>
      <w:r>
        <w:rPr>
          <w:rFonts w:ascii="宋体" w:hAnsi="宋体"/>
          <w:spacing w:val="5"/>
          <w:kern w:val="0"/>
          <w:szCs w:val="21"/>
        </w:rPr>
        <w:t>程</w:t>
      </w:r>
      <w:r>
        <w:rPr>
          <w:rFonts w:ascii="宋体" w:hAnsi="宋体"/>
          <w:spacing w:val="7"/>
          <w:kern w:val="0"/>
          <w:szCs w:val="21"/>
        </w:rPr>
        <w:t>中的有关费用按各</w:t>
      </w:r>
      <w:r>
        <w:rPr>
          <w:rFonts w:ascii="宋体" w:hAnsi="宋体"/>
          <w:spacing w:val="5"/>
          <w:kern w:val="0"/>
          <w:szCs w:val="21"/>
        </w:rPr>
        <w:t>自</w:t>
      </w:r>
      <w:r>
        <w:rPr>
          <w:rFonts w:ascii="宋体" w:hAnsi="宋体"/>
          <w:spacing w:val="7"/>
          <w:kern w:val="0"/>
          <w:szCs w:val="21"/>
        </w:rPr>
        <w:t>承担的工作</w:t>
      </w:r>
      <w:r>
        <w:rPr>
          <w:rFonts w:ascii="宋体" w:hAnsi="宋体"/>
          <w:kern w:val="0"/>
          <w:szCs w:val="21"/>
        </w:rPr>
        <w:t>量分摊。</w:t>
      </w:r>
    </w:p>
    <w:p>
      <w:pPr>
        <w:tabs>
          <w:tab w:val="left" w:pos="6300"/>
          <w:tab w:val="left" w:pos="8295"/>
        </w:tabs>
        <w:autoSpaceDE w:val="0"/>
        <w:autoSpaceDN w:val="0"/>
        <w:adjustRightInd w:val="0"/>
        <w:snapToGrid w:val="0"/>
        <w:spacing w:line="500" w:lineRule="exact"/>
        <w:ind w:firstLine="420" w:firstLineChars="200"/>
        <w:jc w:val="left"/>
        <w:rPr>
          <w:rFonts w:ascii="宋体" w:hAnsi="宋体"/>
          <w:snapToGrid w:val="0"/>
          <w:kern w:val="0"/>
          <w:szCs w:val="21"/>
        </w:rPr>
      </w:pPr>
      <w:r>
        <w:rPr>
          <w:rFonts w:hint="eastAsia" w:ascii="宋体" w:hAnsi="宋体"/>
          <w:snapToGrid w:val="0"/>
          <w:kern w:val="0"/>
          <w:szCs w:val="21"/>
        </w:rPr>
        <w:t>8</w:t>
      </w:r>
      <w:r>
        <w:rPr>
          <w:rFonts w:ascii="宋体" w:hAnsi="宋体"/>
          <w:snapToGrid w:val="0"/>
          <w:kern w:val="0"/>
          <w:szCs w:val="21"/>
        </w:rPr>
        <w:t>.本协议书自签署之日起生效，合同履行完毕后自动失效。</w:t>
      </w:r>
    </w:p>
    <w:p>
      <w:pPr>
        <w:autoSpaceDE w:val="0"/>
        <w:autoSpaceDN w:val="0"/>
        <w:adjustRightInd w:val="0"/>
        <w:snapToGrid w:val="0"/>
        <w:spacing w:line="500" w:lineRule="exact"/>
        <w:ind w:firstLine="390" w:firstLineChars="186"/>
        <w:jc w:val="left"/>
        <w:rPr>
          <w:rFonts w:ascii="宋体" w:hAnsi="宋体"/>
          <w:snapToGrid w:val="0"/>
          <w:kern w:val="0"/>
          <w:szCs w:val="21"/>
        </w:rPr>
      </w:pPr>
      <w:r>
        <w:rPr>
          <w:rFonts w:hint="eastAsia" w:ascii="宋体" w:hAnsi="宋体"/>
          <w:snapToGrid w:val="0"/>
          <w:kern w:val="0"/>
          <w:szCs w:val="21"/>
        </w:rPr>
        <w:t>9</w:t>
      </w:r>
      <w:r>
        <w:rPr>
          <w:rFonts w:ascii="宋体" w:hAnsi="宋体"/>
          <w:snapToGrid w:val="0"/>
          <w:kern w:val="0"/>
          <w:szCs w:val="21"/>
        </w:rPr>
        <w:t>.本协议书一式</w:t>
      </w:r>
      <w:r>
        <w:rPr>
          <w:rFonts w:hint="eastAsia" w:ascii="宋体" w:hAnsi="宋体"/>
          <w:snapToGrid w:val="0"/>
          <w:kern w:val="0"/>
          <w:szCs w:val="21"/>
          <w:u w:val="single"/>
        </w:rPr>
        <w:t xml:space="preserve">    </w:t>
      </w:r>
      <w:r>
        <w:rPr>
          <w:rFonts w:ascii="宋体" w:hAnsi="宋体"/>
          <w:snapToGrid w:val="0"/>
          <w:kern w:val="0"/>
          <w:szCs w:val="21"/>
        </w:rPr>
        <w:t>份，联合体成员和招标人各执</w:t>
      </w:r>
      <w:r>
        <w:rPr>
          <w:rFonts w:hint="eastAsia" w:ascii="宋体" w:hAnsi="宋体"/>
          <w:snapToGrid w:val="0"/>
          <w:kern w:val="0"/>
          <w:szCs w:val="21"/>
          <w:u w:val="single"/>
        </w:rPr>
        <w:t xml:space="preserve">    </w:t>
      </w:r>
      <w:r>
        <w:rPr>
          <w:rFonts w:ascii="宋体" w:hAnsi="宋体"/>
          <w:snapToGrid w:val="0"/>
          <w:kern w:val="0"/>
          <w:szCs w:val="21"/>
        </w:rPr>
        <w:t>份。</w:t>
      </w:r>
    </w:p>
    <w:p>
      <w:pPr>
        <w:autoSpaceDE w:val="0"/>
        <w:autoSpaceDN w:val="0"/>
        <w:adjustRightInd w:val="0"/>
        <w:snapToGrid w:val="0"/>
        <w:spacing w:line="500" w:lineRule="exact"/>
        <w:ind w:firstLine="390" w:firstLineChars="186"/>
        <w:jc w:val="left"/>
        <w:rPr>
          <w:rFonts w:ascii="宋体" w:hAnsi="宋体"/>
          <w:snapToGrid w:val="0"/>
          <w:kern w:val="0"/>
          <w:szCs w:val="21"/>
        </w:rPr>
      </w:pPr>
    </w:p>
    <w:p>
      <w:pPr>
        <w:tabs>
          <w:tab w:val="left" w:pos="4840"/>
        </w:tabs>
        <w:autoSpaceDE w:val="0"/>
        <w:autoSpaceDN w:val="0"/>
        <w:adjustRightInd w:val="0"/>
        <w:snapToGrid w:val="0"/>
        <w:spacing w:line="500" w:lineRule="exact"/>
        <w:ind w:firstLine="420" w:firstLineChars="200"/>
        <w:jc w:val="left"/>
        <w:rPr>
          <w:rFonts w:ascii="宋体" w:hAnsi="宋体"/>
          <w:snapToGrid w:val="0"/>
          <w:kern w:val="0"/>
          <w:szCs w:val="21"/>
        </w:rPr>
      </w:pPr>
      <w:r>
        <w:rPr>
          <w:rFonts w:ascii="宋体" w:hAnsi="宋体"/>
          <w:snapToGrid w:val="0"/>
          <w:kern w:val="0"/>
          <w:szCs w:val="21"/>
        </w:rPr>
        <w:t>牵头人名称：</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rPr>
        <w:t>（盖单位法人章）</w:t>
      </w:r>
    </w:p>
    <w:p>
      <w:pPr>
        <w:tabs>
          <w:tab w:val="left" w:pos="5260"/>
        </w:tabs>
        <w:autoSpaceDE w:val="0"/>
        <w:autoSpaceDN w:val="0"/>
        <w:adjustRightInd w:val="0"/>
        <w:snapToGrid w:val="0"/>
        <w:spacing w:line="500" w:lineRule="exact"/>
        <w:ind w:firstLine="420" w:firstLineChars="200"/>
        <w:jc w:val="left"/>
        <w:rPr>
          <w:rFonts w:ascii="宋体" w:hAnsi="宋体"/>
          <w:snapToGrid w:val="0"/>
          <w:kern w:val="0"/>
          <w:szCs w:val="21"/>
        </w:rPr>
      </w:pPr>
      <w:r>
        <w:rPr>
          <w:rFonts w:ascii="宋体" w:hAnsi="宋体"/>
          <w:snapToGrid w:val="0"/>
          <w:kern w:val="0"/>
          <w:position w:val="-2"/>
          <w:szCs w:val="21"/>
        </w:rPr>
        <w:t>法定代表人或其委托代理人：</w:t>
      </w:r>
      <w:r>
        <w:rPr>
          <w:rFonts w:hint="eastAsia" w:ascii="宋体" w:hAnsi="宋体"/>
          <w:snapToGrid w:val="0"/>
          <w:kern w:val="0"/>
          <w:position w:val="-2"/>
          <w:szCs w:val="21"/>
          <w:u w:val="single"/>
        </w:rPr>
        <w:t xml:space="preserve">                                    </w:t>
      </w:r>
      <w:r>
        <w:rPr>
          <w:rFonts w:ascii="宋体" w:hAnsi="宋体"/>
          <w:snapToGrid w:val="0"/>
          <w:kern w:val="0"/>
          <w:position w:val="-2"/>
          <w:szCs w:val="21"/>
        </w:rPr>
        <w:t>（</w:t>
      </w:r>
      <w:r>
        <w:rPr>
          <w:rFonts w:hint="eastAsia" w:ascii="宋体" w:hAnsi="宋体"/>
          <w:snapToGrid w:val="0"/>
          <w:kern w:val="0"/>
          <w:szCs w:val="21"/>
        </w:rPr>
        <w:t>签名</w:t>
      </w:r>
      <w:r>
        <w:rPr>
          <w:rFonts w:ascii="宋体" w:hAnsi="宋体"/>
          <w:snapToGrid w:val="0"/>
          <w:kern w:val="0"/>
          <w:szCs w:val="21"/>
        </w:rPr>
        <w:t>或盖章</w:t>
      </w:r>
      <w:r>
        <w:rPr>
          <w:rFonts w:ascii="宋体" w:hAnsi="宋体"/>
          <w:snapToGrid w:val="0"/>
          <w:kern w:val="0"/>
          <w:position w:val="-2"/>
          <w:szCs w:val="21"/>
        </w:rPr>
        <w:t>）</w:t>
      </w:r>
    </w:p>
    <w:p>
      <w:pPr>
        <w:tabs>
          <w:tab w:val="left" w:pos="7890"/>
        </w:tabs>
        <w:autoSpaceDE w:val="0"/>
        <w:autoSpaceDN w:val="0"/>
        <w:adjustRightInd w:val="0"/>
        <w:spacing w:line="500" w:lineRule="exact"/>
        <w:ind w:firstLine="420" w:firstLineChars="200"/>
        <w:jc w:val="left"/>
        <w:rPr>
          <w:rFonts w:ascii="宋体" w:hAnsi="宋体"/>
          <w:kern w:val="0"/>
          <w:szCs w:val="21"/>
        </w:rPr>
      </w:pPr>
      <w:r>
        <w:rPr>
          <w:rFonts w:hint="eastAsia" w:ascii="宋体" w:hAnsi="宋体"/>
          <w:kern w:val="0"/>
          <w:szCs w:val="21"/>
        </w:rPr>
        <w:t>联合体其他成员单位</w:t>
      </w:r>
      <w:r>
        <w:rPr>
          <w:rFonts w:ascii="宋体" w:hAnsi="宋体"/>
          <w:kern w:val="0"/>
          <w:szCs w:val="21"/>
        </w:rPr>
        <w:t>一名称：</w:t>
      </w:r>
      <w:r>
        <w:rPr>
          <w:rFonts w:hint="eastAsia" w:ascii="宋体" w:hAnsi="宋体"/>
          <w:kern w:val="0"/>
          <w:szCs w:val="21"/>
          <w:u w:val="single"/>
        </w:rPr>
        <w:t xml:space="preserve">                                    </w:t>
      </w:r>
      <w:r>
        <w:rPr>
          <w:rFonts w:hint="eastAsia" w:ascii="宋体" w:hAnsi="宋体"/>
          <w:kern w:val="0"/>
          <w:szCs w:val="21"/>
        </w:rPr>
        <w:t>（</w:t>
      </w:r>
      <w:r>
        <w:rPr>
          <w:rFonts w:ascii="宋体" w:hAnsi="宋体"/>
          <w:kern w:val="0"/>
          <w:szCs w:val="21"/>
        </w:rPr>
        <w:t>盖单位法人章）</w:t>
      </w:r>
    </w:p>
    <w:p>
      <w:pPr>
        <w:tabs>
          <w:tab w:val="left" w:pos="7740"/>
        </w:tabs>
        <w:autoSpaceDE w:val="0"/>
        <w:autoSpaceDN w:val="0"/>
        <w:adjustRightInd w:val="0"/>
        <w:spacing w:line="500" w:lineRule="exact"/>
        <w:ind w:firstLine="420" w:firstLineChars="200"/>
        <w:jc w:val="left"/>
        <w:rPr>
          <w:rFonts w:ascii="宋体" w:hAnsi="宋体"/>
          <w:kern w:val="0"/>
          <w:szCs w:val="21"/>
        </w:rPr>
      </w:pPr>
      <w:r>
        <w:rPr>
          <w:rFonts w:ascii="宋体" w:hAnsi="宋体"/>
          <w:kern w:val="0"/>
          <w:szCs w:val="21"/>
        </w:rPr>
        <w:t>法定代表人或其委托代理人</w:t>
      </w:r>
      <w:r>
        <w:rPr>
          <w:rFonts w:hint="eastAsia" w:ascii="宋体" w:hAnsi="宋体"/>
          <w:kern w:val="0"/>
          <w:szCs w:val="21"/>
        </w:rPr>
        <w:t>：</w:t>
      </w:r>
      <w:r>
        <w:rPr>
          <w:rFonts w:hint="eastAsia" w:ascii="宋体" w:hAnsi="宋体"/>
          <w:kern w:val="0"/>
          <w:szCs w:val="21"/>
          <w:u w:val="single"/>
        </w:rPr>
        <w:t xml:space="preserve">                                    </w:t>
      </w:r>
      <w:r>
        <w:rPr>
          <w:rFonts w:ascii="宋体" w:hAnsi="宋体"/>
          <w:spacing w:val="-1"/>
          <w:kern w:val="0"/>
          <w:szCs w:val="21"/>
        </w:rPr>
        <w:t>（</w:t>
      </w:r>
      <w:r>
        <w:rPr>
          <w:rFonts w:hint="eastAsia" w:ascii="宋体" w:hAnsi="宋体"/>
          <w:kern w:val="0"/>
          <w:szCs w:val="21"/>
        </w:rPr>
        <w:t>签名</w:t>
      </w:r>
      <w:r>
        <w:rPr>
          <w:rFonts w:ascii="宋体" w:hAnsi="宋体"/>
          <w:snapToGrid w:val="0"/>
          <w:kern w:val="0"/>
          <w:szCs w:val="21"/>
        </w:rPr>
        <w:t>或盖章</w:t>
      </w:r>
      <w:r>
        <w:rPr>
          <w:rFonts w:ascii="宋体" w:hAnsi="宋体"/>
          <w:kern w:val="0"/>
          <w:szCs w:val="21"/>
        </w:rPr>
        <w:t>）</w:t>
      </w:r>
    </w:p>
    <w:p>
      <w:pPr>
        <w:tabs>
          <w:tab w:val="left" w:pos="7890"/>
        </w:tabs>
        <w:autoSpaceDE w:val="0"/>
        <w:autoSpaceDN w:val="0"/>
        <w:adjustRightInd w:val="0"/>
        <w:spacing w:line="500" w:lineRule="exact"/>
        <w:ind w:firstLine="420" w:firstLineChars="200"/>
        <w:jc w:val="left"/>
        <w:rPr>
          <w:rFonts w:ascii="宋体" w:hAnsi="宋体"/>
          <w:kern w:val="0"/>
          <w:szCs w:val="21"/>
        </w:rPr>
      </w:pPr>
      <w:r>
        <w:rPr>
          <w:rFonts w:hint="eastAsia" w:ascii="宋体" w:hAnsi="宋体"/>
          <w:kern w:val="0"/>
          <w:szCs w:val="21"/>
        </w:rPr>
        <w:t>联合体其他成员单位二</w:t>
      </w:r>
      <w:r>
        <w:rPr>
          <w:rFonts w:ascii="宋体" w:hAnsi="宋体"/>
          <w:kern w:val="0"/>
          <w:szCs w:val="21"/>
        </w:rPr>
        <w:t>名称：</w:t>
      </w:r>
      <w:r>
        <w:rPr>
          <w:rFonts w:hint="eastAsia" w:ascii="宋体" w:hAnsi="宋体"/>
          <w:kern w:val="0"/>
          <w:szCs w:val="21"/>
          <w:u w:val="single"/>
        </w:rPr>
        <w:t xml:space="preserve">                                    </w:t>
      </w:r>
      <w:r>
        <w:rPr>
          <w:rFonts w:hint="eastAsia" w:ascii="宋体" w:hAnsi="宋体"/>
          <w:kern w:val="0"/>
          <w:szCs w:val="21"/>
        </w:rPr>
        <w:t>（</w:t>
      </w:r>
      <w:r>
        <w:rPr>
          <w:rFonts w:ascii="宋体" w:hAnsi="宋体"/>
          <w:kern w:val="0"/>
          <w:szCs w:val="21"/>
        </w:rPr>
        <w:t>盖单位法人章）</w:t>
      </w:r>
    </w:p>
    <w:p>
      <w:pPr>
        <w:tabs>
          <w:tab w:val="left" w:pos="5140"/>
          <w:tab w:val="left" w:pos="6100"/>
          <w:tab w:val="left" w:pos="6820"/>
        </w:tabs>
        <w:autoSpaceDE w:val="0"/>
        <w:autoSpaceDN w:val="0"/>
        <w:adjustRightInd w:val="0"/>
        <w:spacing w:line="500" w:lineRule="exact"/>
        <w:ind w:firstLine="420" w:firstLineChars="200"/>
        <w:jc w:val="left"/>
        <w:rPr>
          <w:rFonts w:ascii="宋体" w:hAnsi="宋体"/>
          <w:kern w:val="0"/>
          <w:szCs w:val="21"/>
        </w:rPr>
      </w:pPr>
      <w:r>
        <w:rPr>
          <w:rFonts w:ascii="宋体" w:hAnsi="宋体"/>
          <w:kern w:val="0"/>
          <w:szCs w:val="21"/>
        </w:rPr>
        <w:t>法定代表人或其委托代理人</w:t>
      </w:r>
      <w:r>
        <w:rPr>
          <w:rFonts w:hint="eastAsia" w:ascii="宋体" w:hAnsi="宋体"/>
          <w:kern w:val="0"/>
          <w:szCs w:val="21"/>
        </w:rPr>
        <w:t>：</w:t>
      </w:r>
      <w:r>
        <w:rPr>
          <w:rFonts w:hint="eastAsia" w:ascii="宋体" w:hAnsi="宋体"/>
          <w:kern w:val="0"/>
          <w:szCs w:val="21"/>
          <w:u w:val="single"/>
        </w:rPr>
        <w:t xml:space="preserve">                                    </w:t>
      </w:r>
      <w:r>
        <w:rPr>
          <w:rFonts w:ascii="宋体" w:hAnsi="宋体"/>
          <w:spacing w:val="-1"/>
          <w:kern w:val="0"/>
          <w:szCs w:val="21"/>
        </w:rPr>
        <w:t>（</w:t>
      </w:r>
      <w:r>
        <w:rPr>
          <w:rFonts w:hint="eastAsia" w:ascii="宋体" w:hAnsi="宋体"/>
          <w:kern w:val="0"/>
          <w:szCs w:val="21"/>
        </w:rPr>
        <w:t>签名</w:t>
      </w:r>
      <w:r>
        <w:rPr>
          <w:rFonts w:ascii="宋体" w:hAnsi="宋体"/>
          <w:snapToGrid w:val="0"/>
          <w:kern w:val="0"/>
          <w:szCs w:val="21"/>
        </w:rPr>
        <w:t>或盖章</w:t>
      </w:r>
      <w:r>
        <w:rPr>
          <w:rFonts w:ascii="宋体" w:hAnsi="宋体"/>
          <w:kern w:val="0"/>
          <w:szCs w:val="21"/>
        </w:rPr>
        <w:t>）</w:t>
      </w:r>
    </w:p>
    <w:p>
      <w:pPr>
        <w:tabs>
          <w:tab w:val="left" w:pos="5140"/>
          <w:tab w:val="left" w:pos="6100"/>
          <w:tab w:val="left" w:pos="6820"/>
        </w:tabs>
        <w:autoSpaceDE w:val="0"/>
        <w:autoSpaceDN w:val="0"/>
        <w:adjustRightInd w:val="0"/>
        <w:spacing w:line="500" w:lineRule="exact"/>
        <w:ind w:firstLine="420" w:firstLineChars="200"/>
        <w:jc w:val="left"/>
        <w:rPr>
          <w:rFonts w:ascii="宋体" w:hAnsi="宋体"/>
          <w:kern w:val="0"/>
          <w:szCs w:val="21"/>
        </w:rPr>
      </w:pPr>
      <w:r>
        <w:rPr>
          <w:rFonts w:ascii="宋体" w:hAnsi="宋体"/>
          <w:kern w:val="0"/>
          <w:szCs w:val="21"/>
        </w:rPr>
        <w:t>……</w:t>
      </w:r>
    </w:p>
    <w:p>
      <w:pPr>
        <w:tabs>
          <w:tab w:val="left" w:pos="3840"/>
          <w:tab w:val="left" w:pos="4780"/>
          <w:tab w:val="left" w:pos="5720"/>
        </w:tabs>
        <w:autoSpaceDE w:val="0"/>
        <w:autoSpaceDN w:val="0"/>
        <w:adjustRightInd w:val="0"/>
        <w:snapToGrid w:val="0"/>
        <w:spacing w:before="156" w:beforeLines="50" w:line="500" w:lineRule="exact"/>
        <w:ind w:right="420" w:firstLine="5565" w:firstLineChars="2650"/>
        <w:jc w:val="right"/>
        <w:rPr>
          <w:rFonts w:ascii="宋体" w:hAnsi="宋体"/>
          <w:snapToGrid w:val="0"/>
          <w:kern w:val="0"/>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pPr>
        <w:spacing w:line="360" w:lineRule="auto"/>
        <w:jc w:val="center"/>
        <w:rPr>
          <w:rFonts w:ascii="宋体" w:hAnsi="宋体"/>
          <w:snapToGrid w:val="0"/>
          <w:szCs w:val="21"/>
        </w:rPr>
      </w:pPr>
    </w:p>
    <w:p>
      <w:pPr>
        <w:spacing w:line="500" w:lineRule="exact"/>
        <w:ind w:firstLine="420" w:firstLineChars="200"/>
        <w:jc w:val="left"/>
        <w:rPr>
          <w:rFonts w:ascii="宋体" w:hAnsi="宋体"/>
          <w:snapToGrid w:val="0"/>
          <w:szCs w:val="21"/>
        </w:rPr>
      </w:pPr>
      <w:r>
        <w:rPr>
          <w:rFonts w:ascii="宋体" w:hAnsi="宋体"/>
          <w:snapToGrid w:val="0"/>
          <w:szCs w:val="21"/>
        </w:rPr>
        <w:t>注：</w:t>
      </w:r>
      <w:r>
        <w:rPr>
          <w:rFonts w:hint="eastAsia" w:ascii="宋体" w:hAnsi="宋体"/>
          <w:snapToGrid w:val="0"/>
          <w:szCs w:val="21"/>
        </w:rPr>
        <w:t>1.在联合体协议书第5条联合体各成员单位内部的职责分工中填写的联合体所有成员单位名称应与其营业执照、资质证书、安全生产许可证一致（依法变更名称的应提交相应证明材料），否则由评标委员会作否决投标处理。</w:t>
      </w:r>
    </w:p>
    <w:p>
      <w:pPr>
        <w:spacing w:line="500" w:lineRule="exact"/>
        <w:ind w:firstLine="420" w:firstLineChars="200"/>
        <w:jc w:val="left"/>
        <w:rPr>
          <w:rFonts w:ascii="宋体" w:hAnsi="宋体"/>
          <w:szCs w:val="21"/>
        </w:rPr>
      </w:pPr>
      <w:r>
        <w:rPr>
          <w:rFonts w:hint="eastAsia" w:ascii="宋体" w:hAnsi="宋体"/>
          <w:snapToGrid w:val="0"/>
          <w:szCs w:val="21"/>
        </w:rPr>
        <w:t>2.</w:t>
      </w:r>
      <w:r>
        <w:rPr>
          <w:rFonts w:ascii="宋体" w:hAnsi="宋体"/>
          <w:snapToGrid w:val="0"/>
          <w:szCs w:val="21"/>
        </w:rPr>
        <w:t>本协议书由委托代理人</w:t>
      </w:r>
      <w:r>
        <w:rPr>
          <w:rFonts w:hint="eastAsia" w:ascii="宋体" w:hAnsi="宋体"/>
          <w:snapToGrid w:val="0"/>
          <w:szCs w:val="21"/>
        </w:rPr>
        <w:t>签名</w:t>
      </w:r>
      <w:r>
        <w:rPr>
          <w:rFonts w:ascii="宋体" w:hAnsi="宋体"/>
          <w:snapToGrid w:val="0"/>
          <w:szCs w:val="21"/>
        </w:rPr>
        <w:t>或盖章的，应附法定代表人</w:t>
      </w:r>
      <w:r>
        <w:rPr>
          <w:rFonts w:hint="eastAsia" w:ascii="宋体" w:hAnsi="宋体"/>
          <w:snapToGrid w:val="0"/>
          <w:szCs w:val="21"/>
        </w:rPr>
        <w:t>签名</w:t>
      </w:r>
      <w:r>
        <w:rPr>
          <w:rFonts w:ascii="宋体" w:hAnsi="宋体"/>
          <w:snapToGrid w:val="0"/>
          <w:szCs w:val="21"/>
        </w:rPr>
        <w:t>或盖章的授权委托书。</w:t>
      </w:r>
    </w:p>
    <w:p>
      <w:pPr>
        <w:spacing w:line="20" w:lineRule="exact"/>
        <w:jc w:val="center"/>
        <w:rPr>
          <w:rFonts w:ascii="宋体" w:hAnsi="宋体"/>
          <w:szCs w:val="21"/>
        </w:rPr>
      </w:pPr>
    </w:p>
    <w:p>
      <w:pPr>
        <w:pStyle w:val="5"/>
        <w:spacing w:before="0" w:after="0" w:line="240" w:lineRule="auto"/>
        <w:jc w:val="center"/>
        <w:outlineLvl w:val="0"/>
        <w:rPr>
          <w:rFonts w:ascii="宋体" w:hAnsi="宋体"/>
        </w:rPr>
      </w:pPr>
      <w:r>
        <w:rPr>
          <w:rFonts w:ascii="宋体" w:hAnsi="宋体"/>
          <w:szCs w:val="21"/>
        </w:rPr>
        <w:br w:type="page"/>
      </w:r>
      <w:bookmarkStart w:id="2275" w:name="_Toc26816"/>
      <w:bookmarkStart w:id="2276" w:name="_Toc24773"/>
      <w:bookmarkStart w:id="2277" w:name="_Toc17754"/>
      <w:r>
        <w:rPr>
          <w:rFonts w:hint="eastAsia" w:ascii="宋体" w:hAnsi="宋体"/>
          <w:b w:val="0"/>
          <w:bCs w:val="0"/>
        </w:rPr>
        <w:t>（三）投标人基本情况表</w:t>
      </w:r>
      <w:bookmarkEnd w:id="2275"/>
      <w:bookmarkEnd w:id="2276"/>
      <w:bookmarkEnd w:id="2277"/>
    </w:p>
    <w:tbl>
      <w:tblPr>
        <w:tblStyle w:val="54"/>
        <w:tblW w:w="9469"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862"/>
        <w:gridCol w:w="967"/>
        <w:gridCol w:w="1024"/>
        <w:gridCol w:w="904"/>
        <w:gridCol w:w="452"/>
        <w:gridCol w:w="103"/>
        <w:gridCol w:w="1392"/>
        <w:gridCol w:w="529"/>
        <w:gridCol w:w="925"/>
        <w:gridCol w:w="131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投标人名称</w:t>
            </w:r>
          </w:p>
        </w:tc>
        <w:tc>
          <w:tcPr>
            <w:tcW w:w="7607" w:type="dxa"/>
            <w:gridSpan w:val="9"/>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注册地址</w:t>
            </w:r>
          </w:p>
        </w:tc>
        <w:tc>
          <w:tcPr>
            <w:tcW w:w="3450" w:type="dxa"/>
            <w:gridSpan w:val="5"/>
            <w:vAlign w:val="center"/>
          </w:tcPr>
          <w:p>
            <w:pPr>
              <w:autoSpaceDE w:val="0"/>
              <w:autoSpaceDN w:val="0"/>
              <w:adjustRightInd w:val="0"/>
              <w:snapToGrid w:val="0"/>
              <w:jc w:val="center"/>
              <w:rPr>
                <w:rFonts w:ascii="宋体" w:hAnsi="宋体"/>
                <w:kern w:val="0"/>
                <w:szCs w:val="21"/>
              </w:rPr>
            </w:pPr>
          </w:p>
        </w:tc>
        <w:tc>
          <w:tcPr>
            <w:tcW w:w="139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邮政编码</w:t>
            </w:r>
          </w:p>
        </w:tc>
        <w:tc>
          <w:tcPr>
            <w:tcW w:w="2765" w:type="dxa"/>
            <w:gridSpan w:val="3"/>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Merge w:val="restart"/>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联系方式</w:t>
            </w:r>
          </w:p>
        </w:tc>
        <w:tc>
          <w:tcPr>
            <w:tcW w:w="967"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联系人</w:t>
            </w:r>
          </w:p>
        </w:tc>
        <w:tc>
          <w:tcPr>
            <w:tcW w:w="2483" w:type="dxa"/>
            <w:gridSpan w:val="4"/>
            <w:vAlign w:val="center"/>
          </w:tcPr>
          <w:p>
            <w:pPr>
              <w:autoSpaceDE w:val="0"/>
              <w:autoSpaceDN w:val="0"/>
              <w:adjustRightInd w:val="0"/>
              <w:snapToGrid w:val="0"/>
              <w:jc w:val="center"/>
              <w:rPr>
                <w:rFonts w:ascii="宋体" w:hAnsi="宋体"/>
                <w:kern w:val="0"/>
                <w:szCs w:val="21"/>
              </w:rPr>
            </w:pPr>
          </w:p>
        </w:tc>
        <w:tc>
          <w:tcPr>
            <w:tcW w:w="139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电话</w:t>
            </w:r>
          </w:p>
        </w:tc>
        <w:tc>
          <w:tcPr>
            <w:tcW w:w="2765" w:type="dxa"/>
            <w:gridSpan w:val="3"/>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Merge w:val="continue"/>
            <w:vAlign w:val="center"/>
          </w:tcPr>
          <w:p>
            <w:pPr>
              <w:autoSpaceDE w:val="0"/>
              <w:autoSpaceDN w:val="0"/>
              <w:adjustRightInd w:val="0"/>
              <w:snapToGrid w:val="0"/>
              <w:jc w:val="center"/>
              <w:rPr>
                <w:rFonts w:ascii="宋体" w:hAnsi="宋体"/>
                <w:kern w:val="0"/>
                <w:szCs w:val="21"/>
              </w:rPr>
            </w:pPr>
          </w:p>
        </w:tc>
        <w:tc>
          <w:tcPr>
            <w:tcW w:w="967" w:type="dxa"/>
            <w:vAlign w:val="center"/>
          </w:tcPr>
          <w:p>
            <w:pPr>
              <w:tabs>
                <w:tab w:val="left" w:pos="540"/>
              </w:tabs>
              <w:autoSpaceDE w:val="0"/>
              <w:autoSpaceDN w:val="0"/>
              <w:adjustRightInd w:val="0"/>
              <w:snapToGrid w:val="0"/>
              <w:jc w:val="center"/>
              <w:rPr>
                <w:rFonts w:ascii="宋体" w:hAnsi="宋体"/>
                <w:kern w:val="0"/>
                <w:szCs w:val="21"/>
              </w:rPr>
            </w:pPr>
            <w:r>
              <w:rPr>
                <w:rFonts w:hint="eastAsia" w:ascii="宋体" w:hAnsi="宋体" w:cs="MingLiU"/>
                <w:kern w:val="0"/>
                <w:szCs w:val="21"/>
              </w:rPr>
              <w:t>传  真</w:t>
            </w:r>
          </w:p>
        </w:tc>
        <w:tc>
          <w:tcPr>
            <w:tcW w:w="2483" w:type="dxa"/>
            <w:gridSpan w:val="4"/>
            <w:vAlign w:val="center"/>
          </w:tcPr>
          <w:p>
            <w:pPr>
              <w:autoSpaceDE w:val="0"/>
              <w:autoSpaceDN w:val="0"/>
              <w:adjustRightInd w:val="0"/>
              <w:snapToGrid w:val="0"/>
              <w:jc w:val="center"/>
              <w:rPr>
                <w:rFonts w:ascii="宋体" w:hAnsi="宋体"/>
                <w:kern w:val="0"/>
                <w:szCs w:val="21"/>
              </w:rPr>
            </w:pPr>
          </w:p>
        </w:tc>
        <w:tc>
          <w:tcPr>
            <w:tcW w:w="139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网址</w:t>
            </w:r>
          </w:p>
        </w:tc>
        <w:tc>
          <w:tcPr>
            <w:tcW w:w="2765" w:type="dxa"/>
            <w:gridSpan w:val="3"/>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组织结构</w:t>
            </w:r>
          </w:p>
        </w:tc>
        <w:tc>
          <w:tcPr>
            <w:tcW w:w="7607" w:type="dxa"/>
            <w:gridSpan w:val="9"/>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法定代表人</w:t>
            </w:r>
          </w:p>
        </w:tc>
        <w:tc>
          <w:tcPr>
            <w:tcW w:w="967"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姓  名</w:t>
            </w:r>
          </w:p>
        </w:tc>
        <w:tc>
          <w:tcPr>
            <w:tcW w:w="1024" w:type="dxa"/>
            <w:vAlign w:val="center"/>
          </w:tcPr>
          <w:p>
            <w:pPr>
              <w:autoSpaceDE w:val="0"/>
              <w:autoSpaceDN w:val="0"/>
              <w:adjustRightInd w:val="0"/>
              <w:snapToGrid w:val="0"/>
              <w:jc w:val="center"/>
              <w:rPr>
                <w:rFonts w:ascii="宋体" w:hAnsi="宋体"/>
                <w:kern w:val="0"/>
                <w:szCs w:val="21"/>
              </w:rPr>
            </w:pPr>
          </w:p>
        </w:tc>
        <w:tc>
          <w:tcPr>
            <w:tcW w:w="1356" w:type="dxa"/>
            <w:gridSpan w:val="2"/>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技术职称</w:t>
            </w:r>
          </w:p>
        </w:tc>
        <w:tc>
          <w:tcPr>
            <w:tcW w:w="2024" w:type="dxa"/>
            <w:gridSpan w:val="3"/>
            <w:vAlign w:val="center"/>
          </w:tcPr>
          <w:p>
            <w:pPr>
              <w:autoSpaceDE w:val="0"/>
              <w:autoSpaceDN w:val="0"/>
              <w:adjustRightInd w:val="0"/>
              <w:snapToGrid w:val="0"/>
              <w:jc w:val="center"/>
              <w:rPr>
                <w:rFonts w:ascii="宋体" w:hAnsi="宋体"/>
                <w:kern w:val="0"/>
                <w:szCs w:val="21"/>
              </w:rPr>
            </w:pPr>
          </w:p>
        </w:tc>
        <w:tc>
          <w:tcPr>
            <w:tcW w:w="925"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电  话</w:t>
            </w:r>
          </w:p>
        </w:tc>
        <w:tc>
          <w:tcPr>
            <w:tcW w:w="1311"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技术负责人</w:t>
            </w:r>
          </w:p>
        </w:tc>
        <w:tc>
          <w:tcPr>
            <w:tcW w:w="967"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姓  名</w:t>
            </w:r>
          </w:p>
        </w:tc>
        <w:tc>
          <w:tcPr>
            <w:tcW w:w="1024" w:type="dxa"/>
            <w:vAlign w:val="center"/>
          </w:tcPr>
          <w:p>
            <w:pPr>
              <w:autoSpaceDE w:val="0"/>
              <w:autoSpaceDN w:val="0"/>
              <w:adjustRightInd w:val="0"/>
              <w:snapToGrid w:val="0"/>
              <w:jc w:val="center"/>
              <w:rPr>
                <w:rFonts w:ascii="宋体" w:hAnsi="宋体"/>
                <w:kern w:val="0"/>
                <w:szCs w:val="21"/>
              </w:rPr>
            </w:pPr>
          </w:p>
        </w:tc>
        <w:tc>
          <w:tcPr>
            <w:tcW w:w="1356" w:type="dxa"/>
            <w:gridSpan w:val="2"/>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技术职称</w:t>
            </w:r>
          </w:p>
        </w:tc>
        <w:tc>
          <w:tcPr>
            <w:tcW w:w="2024" w:type="dxa"/>
            <w:gridSpan w:val="3"/>
            <w:vAlign w:val="center"/>
          </w:tcPr>
          <w:p>
            <w:pPr>
              <w:autoSpaceDE w:val="0"/>
              <w:autoSpaceDN w:val="0"/>
              <w:adjustRightInd w:val="0"/>
              <w:snapToGrid w:val="0"/>
              <w:jc w:val="center"/>
              <w:rPr>
                <w:rFonts w:ascii="宋体" w:hAnsi="宋体"/>
                <w:kern w:val="0"/>
                <w:szCs w:val="21"/>
              </w:rPr>
            </w:pPr>
          </w:p>
        </w:tc>
        <w:tc>
          <w:tcPr>
            <w:tcW w:w="925"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电  话</w:t>
            </w:r>
          </w:p>
        </w:tc>
        <w:tc>
          <w:tcPr>
            <w:tcW w:w="1311"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成立时间</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5616" w:type="dxa"/>
            <w:gridSpan w:val="7"/>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员工总人数：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企业资质等级</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904" w:type="dxa"/>
            <w:vMerge w:val="restart"/>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其中</w:t>
            </w:r>
          </w:p>
        </w:tc>
        <w:tc>
          <w:tcPr>
            <w:tcW w:w="2476" w:type="dxa"/>
            <w:gridSpan w:val="4"/>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项目经理</w:t>
            </w:r>
          </w:p>
        </w:tc>
        <w:tc>
          <w:tcPr>
            <w:tcW w:w="223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统一社会信用代码</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904" w:type="dxa"/>
            <w:vMerge w:val="continue"/>
            <w:vAlign w:val="center"/>
          </w:tcPr>
          <w:p>
            <w:pPr>
              <w:autoSpaceDE w:val="0"/>
              <w:autoSpaceDN w:val="0"/>
              <w:adjustRightInd w:val="0"/>
              <w:snapToGrid w:val="0"/>
              <w:jc w:val="center"/>
              <w:rPr>
                <w:rFonts w:ascii="宋体" w:hAnsi="宋体"/>
                <w:kern w:val="0"/>
                <w:szCs w:val="21"/>
              </w:rPr>
            </w:pPr>
          </w:p>
        </w:tc>
        <w:tc>
          <w:tcPr>
            <w:tcW w:w="2476" w:type="dxa"/>
            <w:gridSpan w:val="4"/>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高级职称人员</w:t>
            </w:r>
          </w:p>
        </w:tc>
        <w:tc>
          <w:tcPr>
            <w:tcW w:w="223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注册资金</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904" w:type="dxa"/>
            <w:vMerge w:val="continue"/>
            <w:vAlign w:val="center"/>
          </w:tcPr>
          <w:p>
            <w:pPr>
              <w:autoSpaceDE w:val="0"/>
              <w:autoSpaceDN w:val="0"/>
              <w:adjustRightInd w:val="0"/>
              <w:snapToGrid w:val="0"/>
              <w:jc w:val="center"/>
              <w:rPr>
                <w:rFonts w:ascii="宋体" w:hAnsi="宋体"/>
                <w:kern w:val="0"/>
                <w:szCs w:val="21"/>
              </w:rPr>
            </w:pPr>
          </w:p>
        </w:tc>
        <w:tc>
          <w:tcPr>
            <w:tcW w:w="2476" w:type="dxa"/>
            <w:gridSpan w:val="4"/>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中级职称人员</w:t>
            </w:r>
          </w:p>
        </w:tc>
        <w:tc>
          <w:tcPr>
            <w:tcW w:w="223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开户银行</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904" w:type="dxa"/>
            <w:vMerge w:val="continue"/>
            <w:vAlign w:val="center"/>
          </w:tcPr>
          <w:p>
            <w:pPr>
              <w:autoSpaceDE w:val="0"/>
              <w:autoSpaceDN w:val="0"/>
              <w:adjustRightInd w:val="0"/>
              <w:snapToGrid w:val="0"/>
              <w:jc w:val="center"/>
              <w:rPr>
                <w:rFonts w:ascii="宋体" w:hAnsi="宋体"/>
                <w:kern w:val="0"/>
                <w:szCs w:val="21"/>
              </w:rPr>
            </w:pPr>
          </w:p>
        </w:tc>
        <w:tc>
          <w:tcPr>
            <w:tcW w:w="2476" w:type="dxa"/>
            <w:gridSpan w:val="4"/>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初级职称人员</w:t>
            </w:r>
          </w:p>
        </w:tc>
        <w:tc>
          <w:tcPr>
            <w:tcW w:w="223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kern w:val="0"/>
                <w:szCs w:val="21"/>
              </w:rPr>
              <w:t>账号</w:t>
            </w:r>
          </w:p>
        </w:tc>
        <w:tc>
          <w:tcPr>
            <w:tcW w:w="1991" w:type="dxa"/>
            <w:gridSpan w:val="2"/>
            <w:vAlign w:val="center"/>
          </w:tcPr>
          <w:p>
            <w:pPr>
              <w:autoSpaceDE w:val="0"/>
              <w:autoSpaceDN w:val="0"/>
              <w:adjustRightInd w:val="0"/>
              <w:snapToGrid w:val="0"/>
              <w:jc w:val="center"/>
              <w:rPr>
                <w:rFonts w:ascii="宋体" w:hAnsi="宋体"/>
                <w:kern w:val="0"/>
                <w:szCs w:val="21"/>
              </w:rPr>
            </w:pPr>
          </w:p>
        </w:tc>
        <w:tc>
          <w:tcPr>
            <w:tcW w:w="904" w:type="dxa"/>
            <w:vMerge w:val="continue"/>
            <w:vAlign w:val="center"/>
          </w:tcPr>
          <w:p>
            <w:pPr>
              <w:autoSpaceDE w:val="0"/>
              <w:autoSpaceDN w:val="0"/>
              <w:adjustRightInd w:val="0"/>
              <w:snapToGrid w:val="0"/>
              <w:jc w:val="center"/>
              <w:rPr>
                <w:rFonts w:ascii="宋体" w:hAnsi="宋体"/>
                <w:kern w:val="0"/>
                <w:szCs w:val="21"/>
              </w:rPr>
            </w:pPr>
          </w:p>
        </w:tc>
        <w:tc>
          <w:tcPr>
            <w:tcW w:w="2476" w:type="dxa"/>
            <w:gridSpan w:val="4"/>
            <w:vAlign w:val="center"/>
          </w:tcPr>
          <w:p>
            <w:pPr>
              <w:tabs>
                <w:tab w:val="left" w:pos="1240"/>
              </w:tabs>
              <w:autoSpaceDE w:val="0"/>
              <w:autoSpaceDN w:val="0"/>
              <w:adjustRightInd w:val="0"/>
              <w:snapToGrid w:val="0"/>
              <w:jc w:val="center"/>
              <w:rPr>
                <w:rFonts w:ascii="宋体" w:hAnsi="宋体"/>
                <w:kern w:val="0"/>
                <w:szCs w:val="21"/>
              </w:rPr>
            </w:pPr>
            <w:r>
              <w:rPr>
                <w:rFonts w:hint="eastAsia" w:ascii="宋体" w:hAnsi="宋体" w:cs="MingLiU"/>
                <w:kern w:val="0"/>
                <w:szCs w:val="21"/>
              </w:rPr>
              <w:t>技</w:t>
            </w:r>
            <w:r>
              <w:rPr>
                <w:rFonts w:ascii="宋体" w:hAnsi="宋体"/>
                <w:kern w:val="0"/>
                <w:szCs w:val="21"/>
              </w:rPr>
              <w:tab/>
            </w:r>
            <w:r>
              <w:rPr>
                <w:rFonts w:hint="eastAsia" w:ascii="宋体" w:hAnsi="宋体" w:cs="MingLiU"/>
                <w:kern w:val="0"/>
                <w:szCs w:val="21"/>
              </w:rPr>
              <w:t>工</w:t>
            </w:r>
          </w:p>
        </w:tc>
        <w:tc>
          <w:tcPr>
            <w:tcW w:w="223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经营范围</w:t>
            </w:r>
          </w:p>
        </w:tc>
        <w:tc>
          <w:tcPr>
            <w:tcW w:w="7607" w:type="dxa"/>
            <w:gridSpan w:val="9"/>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51" w:hRule="exact"/>
        </w:trPr>
        <w:tc>
          <w:tcPr>
            <w:tcW w:w="1862"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备注</w:t>
            </w:r>
          </w:p>
        </w:tc>
        <w:tc>
          <w:tcPr>
            <w:tcW w:w="7607" w:type="dxa"/>
            <w:gridSpan w:val="9"/>
            <w:vAlign w:val="center"/>
          </w:tcPr>
          <w:p>
            <w:pPr>
              <w:autoSpaceDE w:val="0"/>
              <w:autoSpaceDN w:val="0"/>
              <w:adjustRightInd w:val="0"/>
              <w:snapToGrid w:val="0"/>
              <w:jc w:val="center"/>
              <w:rPr>
                <w:rFonts w:ascii="宋体" w:hAnsi="宋体"/>
                <w:kern w:val="0"/>
                <w:szCs w:val="21"/>
              </w:rPr>
            </w:pPr>
          </w:p>
        </w:tc>
      </w:tr>
    </w:tbl>
    <w:p>
      <w:pPr>
        <w:spacing w:line="360" w:lineRule="auto"/>
        <w:jc w:val="center"/>
        <w:rPr>
          <w:rFonts w:ascii="宋体" w:hAnsi="宋体"/>
          <w:szCs w:val="21"/>
        </w:rPr>
      </w:pPr>
    </w:p>
    <w:p>
      <w:pPr>
        <w:pStyle w:val="5"/>
        <w:spacing w:before="0" w:after="0" w:line="240" w:lineRule="auto"/>
        <w:jc w:val="center"/>
        <w:outlineLvl w:val="0"/>
        <w:rPr>
          <w:rFonts w:ascii="宋体" w:hAnsi="宋体"/>
          <w:b w:val="0"/>
          <w:bCs w:val="0"/>
        </w:rPr>
      </w:pPr>
      <w:r>
        <w:rPr>
          <w:rFonts w:ascii="宋体" w:hAnsi="宋体"/>
          <w:szCs w:val="21"/>
        </w:rPr>
        <w:br w:type="page"/>
      </w:r>
      <w:bookmarkStart w:id="2278" w:name="_Toc605"/>
      <w:bookmarkStart w:id="2279" w:name="_Toc509218863"/>
      <w:bookmarkStart w:id="2280" w:name="_Toc534185840"/>
      <w:bookmarkStart w:id="2281" w:name="_Toc30960"/>
      <w:bookmarkStart w:id="2282" w:name="_Toc20009"/>
      <w:r>
        <w:rPr>
          <w:rFonts w:hint="eastAsia" w:ascii="宋体" w:hAnsi="宋体"/>
          <w:b w:val="0"/>
          <w:bCs w:val="0"/>
        </w:rPr>
        <w:t>（四）项目管理机构</w:t>
      </w:r>
      <w:bookmarkEnd w:id="2278"/>
      <w:bookmarkEnd w:id="2279"/>
      <w:bookmarkEnd w:id="2280"/>
      <w:bookmarkEnd w:id="2281"/>
      <w:bookmarkEnd w:id="2282"/>
    </w:p>
    <w:p>
      <w:pPr>
        <w:spacing w:line="360" w:lineRule="auto"/>
        <w:rPr>
          <w:rFonts w:ascii="宋体" w:hAnsi="宋体"/>
        </w:rPr>
      </w:pPr>
    </w:p>
    <w:p>
      <w:pPr>
        <w:autoSpaceDE w:val="0"/>
        <w:autoSpaceDN w:val="0"/>
        <w:adjustRightInd w:val="0"/>
        <w:snapToGrid w:val="0"/>
        <w:spacing w:line="360" w:lineRule="auto"/>
        <w:jc w:val="center"/>
        <w:outlineLvl w:val="1"/>
        <w:rPr>
          <w:rFonts w:ascii="宋体" w:hAnsi="宋体" w:cs="MingLiU"/>
          <w:kern w:val="0"/>
          <w:sz w:val="28"/>
          <w:szCs w:val="28"/>
        </w:rPr>
      </w:pPr>
      <w:bookmarkStart w:id="2283" w:name="_Toc12893"/>
      <w:bookmarkStart w:id="2284" w:name="_Toc9706"/>
      <w:r>
        <w:rPr>
          <w:rFonts w:hint="eastAsia" w:ascii="宋体" w:hAnsi="宋体" w:cs="MingLiU"/>
          <w:kern w:val="0"/>
          <w:sz w:val="28"/>
          <w:szCs w:val="28"/>
        </w:rPr>
        <w:t>项目管理机构组成表</w:t>
      </w:r>
      <w:bookmarkEnd w:id="2283"/>
      <w:bookmarkEnd w:id="2284"/>
    </w:p>
    <w:tbl>
      <w:tblPr>
        <w:tblStyle w:val="54"/>
        <w:tblW w:w="9482" w:type="dxa"/>
        <w:tblInd w:w="-5"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856"/>
        <w:gridCol w:w="734"/>
        <w:gridCol w:w="776"/>
        <w:gridCol w:w="1167"/>
        <w:gridCol w:w="776"/>
        <w:gridCol w:w="778"/>
        <w:gridCol w:w="776"/>
        <w:gridCol w:w="2723"/>
        <w:gridCol w:w="89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vMerge w:val="restart"/>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职务</w:t>
            </w:r>
          </w:p>
        </w:tc>
        <w:tc>
          <w:tcPr>
            <w:tcW w:w="734" w:type="dxa"/>
            <w:vMerge w:val="restart"/>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姓名</w:t>
            </w:r>
          </w:p>
        </w:tc>
        <w:tc>
          <w:tcPr>
            <w:tcW w:w="776" w:type="dxa"/>
            <w:vMerge w:val="restart"/>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职称</w:t>
            </w:r>
          </w:p>
        </w:tc>
        <w:tc>
          <w:tcPr>
            <w:tcW w:w="6220" w:type="dxa"/>
            <w:gridSpan w:val="5"/>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执业或职业资格证明</w:t>
            </w:r>
          </w:p>
        </w:tc>
        <w:tc>
          <w:tcPr>
            <w:tcW w:w="896"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vMerge w:val="continue"/>
          </w:tcPr>
          <w:p>
            <w:pPr>
              <w:autoSpaceDE w:val="0"/>
              <w:autoSpaceDN w:val="0"/>
              <w:adjustRightInd w:val="0"/>
              <w:snapToGrid w:val="0"/>
              <w:jc w:val="left"/>
              <w:rPr>
                <w:rFonts w:ascii="宋体" w:hAnsi="宋体"/>
                <w:kern w:val="0"/>
                <w:szCs w:val="21"/>
              </w:rPr>
            </w:pPr>
          </w:p>
        </w:tc>
        <w:tc>
          <w:tcPr>
            <w:tcW w:w="734" w:type="dxa"/>
            <w:vMerge w:val="continue"/>
          </w:tcPr>
          <w:p>
            <w:pPr>
              <w:autoSpaceDE w:val="0"/>
              <w:autoSpaceDN w:val="0"/>
              <w:adjustRightInd w:val="0"/>
              <w:snapToGrid w:val="0"/>
              <w:jc w:val="left"/>
              <w:rPr>
                <w:rFonts w:ascii="宋体" w:hAnsi="宋体"/>
                <w:kern w:val="0"/>
                <w:szCs w:val="21"/>
              </w:rPr>
            </w:pPr>
          </w:p>
        </w:tc>
        <w:tc>
          <w:tcPr>
            <w:tcW w:w="776" w:type="dxa"/>
            <w:vMerge w:val="continue"/>
          </w:tcPr>
          <w:p>
            <w:pPr>
              <w:autoSpaceDE w:val="0"/>
              <w:autoSpaceDN w:val="0"/>
              <w:adjustRightInd w:val="0"/>
              <w:snapToGrid w:val="0"/>
              <w:jc w:val="left"/>
              <w:rPr>
                <w:rFonts w:ascii="宋体" w:hAnsi="宋体"/>
                <w:kern w:val="0"/>
                <w:szCs w:val="21"/>
              </w:rPr>
            </w:pPr>
          </w:p>
        </w:tc>
        <w:tc>
          <w:tcPr>
            <w:tcW w:w="1167"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证书名称</w:t>
            </w:r>
          </w:p>
        </w:tc>
        <w:tc>
          <w:tcPr>
            <w:tcW w:w="776"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级别</w:t>
            </w:r>
          </w:p>
        </w:tc>
        <w:tc>
          <w:tcPr>
            <w:tcW w:w="778"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证号</w:t>
            </w:r>
          </w:p>
        </w:tc>
        <w:tc>
          <w:tcPr>
            <w:tcW w:w="776"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专业</w:t>
            </w:r>
          </w:p>
        </w:tc>
        <w:tc>
          <w:tcPr>
            <w:tcW w:w="2723" w:type="dxa"/>
            <w:vAlign w:val="center"/>
          </w:tcPr>
          <w:p>
            <w:pPr>
              <w:autoSpaceDE w:val="0"/>
              <w:autoSpaceDN w:val="0"/>
              <w:adjustRightInd w:val="0"/>
              <w:snapToGrid w:val="0"/>
              <w:jc w:val="center"/>
              <w:rPr>
                <w:rFonts w:ascii="宋体" w:hAnsi="宋体"/>
                <w:kern w:val="0"/>
                <w:szCs w:val="21"/>
              </w:rPr>
            </w:pPr>
            <w:r>
              <w:rPr>
                <w:rFonts w:hint="eastAsia" w:ascii="宋体" w:hAnsi="宋体" w:cs="MingLiU"/>
                <w:kern w:val="0"/>
                <w:szCs w:val="21"/>
              </w:rPr>
              <w:t>养老保险</w:t>
            </w: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vAlign w:val="center"/>
          </w:tcPr>
          <w:p>
            <w:pPr>
              <w:autoSpaceDE w:val="0"/>
              <w:autoSpaceDN w:val="0"/>
              <w:adjustRightInd w:val="0"/>
              <w:snapToGrid w:val="0"/>
              <w:jc w:val="center"/>
              <w:rPr>
                <w:rFonts w:ascii="宋体" w:hAnsi="宋体"/>
                <w:kern w:val="0"/>
                <w:szCs w:val="21"/>
              </w:rPr>
            </w:pPr>
            <w:r>
              <w:rPr>
                <w:rFonts w:hint="eastAsia" w:ascii="宋体" w:hAnsi="宋体"/>
                <w:kern w:val="0"/>
                <w:szCs w:val="21"/>
              </w:rPr>
              <w:t>项目经理</w:t>
            </w: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03" w:hRule="exact"/>
        </w:trPr>
        <w:tc>
          <w:tcPr>
            <w:tcW w:w="856" w:type="dxa"/>
            <w:vAlign w:val="center"/>
          </w:tcPr>
          <w:p>
            <w:pPr>
              <w:autoSpaceDE w:val="0"/>
              <w:autoSpaceDN w:val="0"/>
              <w:adjustRightInd w:val="0"/>
              <w:snapToGrid w:val="0"/>
              <w:jc w:val="center"/>
              <w:rPr>
                <w:rFonts w:ascii="宋体" w:hAnsi="宋体"/>
                <w:kern w:val="0"/>
                <w:szCs w:val="21"/>
              </w:rPr>
            </w:pPr>
            <w:r>
              <w:rPr>
                <w:rFonts w:hint="eastAsia" w:ascii="宋体" w:hAnsi="宋体"/>
                <w:kern w:val="0"/>
                <w:szCs w:val="21"/>
              </w:rPr>
              <w:t>项目技术负责人</w:t>
            </w: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508" w:hRule="exact"/>
        </w:trPr>
        <w:tc>
          <w:tcPr>
            <w:tcW w:w="856" w:type="dxa"/>
          </w:tcPr>
          <w:p>
            <w:pPr>
              <w:autoSpaceDE w:val="0"/>
              <w:autoSpaceDN w:val="0"/>
              <w:adjustRightInd w:val="0"/>
              <w:snapToGrid w:val="0"/>
              <w:jc w:val="left"/>
              <w:rPr>
                <w:rFonts w:ascii="宋体" w:hAnsi="宋体"/>
                <w:kern w:val="0"/>
                <w:szCs w:val="21"/>
              </w:rPr>
            </w:pPr>
          </w:p>
        </w:tc>
        <w:tc>
          <w:tcPr>
            <w:tcW w:w="734"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1167"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778" w:type="dxa"/>
          </w:tcPr>
          <w:p>
            <w:pPr>
              <w:autoSpaceDE w:val="0"/>
              <w:autoSpaceDN w:val="0"/>
              <w:adjustRightInd w:val="0"/>
              <w:snapToGrid w:val="0"/>
              <w:jc w:val="left"/>
              <w:rPr>
                <w:rFonts w:ascii="宋体" w:hAnsi="宋体"/>
                <w:kern w:val="0"/>
                <w:szCs w:val="21"/>
              </w:rPr>
            </w:pPr>
          </w:p>
        </w:tc>
        <w:tc>
          <w:tcPr>
            <w:tcW w:w="776" w:type="dxa"/>
          </w:tcPr>
          <w:p>
            <w:pPr>
              <w:autoSpaceDE w:val="0"/>
              <w:autoSpaceDN w:val="0"/>
              <w:adjustRightInd w:val="0"/>
              <w:snapToGrid w:val="0"/>
              <w:jc w:val="left"/>
              <w:rPr>
                <w:rFonts w:ascii="宋体" w:hAnsi="宋体"/>
                <w:kern w:val="0"/>
                <w:szCs w:val="21"/>
              </w:rPr>
            </w:pPr>
          </w:p>
        </w:tc>
        <w:tc>
          <w:tcPr>
            <w:tcW w:w="2723" w:type="dxa"/>
          </w:tcPr>
          <w:p>
            <w:pPr>
              <w:autoSpaceDE w:val="0"/>
              <w:autoSpaceDN w:val="0"/>
              <w:adjustRightInd w:val="0"/>
              <w:snapToGrid w:val="0"/>
              <w:jc w:val="left"/>
              <w:rPr>
                <w:rFonts w:ascii="宋体" w:hAnsi="宋体"/>
                <w:kern w:val="0"/>
                <w:szCs w:val="21"/>
              </w:rPr>
            </w:pPr>
          </w:p>
        </w:tc>
        <w:tc>
          <w:tcPr>
            <w:tcW w:w="896" w:type="dxa"/>
          </w:tcPr>
          <w:p>
            <w:pPr>
              <w:autoSpaceDE w:val="0"/>
              <w:autoSpaceDN w:val="0"/>
              <w:adjustRightInd w:val="0"/>
              <w:snapToGrid w:val="0"/>
              <w:jc w:val="left"/>
              <w:rPr>
                <w:rFonts w:ascii="宋体" w:hAnsi="宋体"/>
                <w:kern w:val="0"/>
                <w:szCs w:val="21"/>
              </w:rPr>
            </w:pPr>
          </w:p>
        </w:tc>
      </w:tr>
    </w:tbl>
    <w:p>
      <w:pPr>
        <w:spacing w:line="20" w:lineRule="exact"/>
        <w:jc w:val="center"/>
        <w:rPr>
          <w:rFonts w:ascii="宋体" w:hAnsi="宋体"/>
          <w:szCs w:val="21"/>
        </w:rPr>
      </w:pPr>
    </w:p>
    <w:p>
      <w:pPr>
        <w:spacing w:line="360" w:lineRule="auto"/>
        <w:ind w:firstLine="420" w:firstLineChars="200"/>
        <w:jc w:val="left"/>
        <w:rPr>
          <w:rFonts w:ascii="宋体" w:hAnsi="宋体"/>
          <w:szCs w:val="21"/>
        </w:rPr>
      </w:pPr>
      <w:r>
        <w:rPr>
          <w:rFonts w:hint="eastAsia" w:ascii="宋体" w:hAnsi="宋体"/>
          <w:szCs w:val="21"/>
        </w:rPr>
        <w:t>备注：本表仅填项目经理、项目技术负责人相关信息</w:t>
      </w:r>
    </w:p>
    <w:p>
      <w:pPr>
        <w:spacing w:line="360" w:lineRule="auto"/>
        <w:ind w:firstLine="640"/>
        <w:jc w:val="center"/>
        <w:outlineLvl w:val="1"/>
        <w:rPr>
          <w:rFonts w:ascii="宋体" w:hAnsi="宋体"/>
          <w:sz w:val="32"/>
          <w:szCs w:val="32"/>
        </w:rPr>
      </w:pPr>
      <w:r>
        <w:rPr>
          <w:rFonts w:ascii="宋体" w:hAnsi="宋体"/>
          <w:sz w:val="32"/>
          <w:szCs w:val="32"/>
        </w:rPr>
        <w:br w:type="page"/>
      </w:r>
      <w:bookmarkStart w:id="2285" w:name="_Toc21763"/>
      <w:bookmarkStart w:id="2286" w:name="_Toc7692"/>
      <w:r>
        <w:rPr>
          <w:rFonts w:hint="eastAsia" w:ascii="宋体" w:hAnsi="宋体"/>
          <w:sz w:val="32"/>
          <w:szCs w:val="32"/>
        </w:rPr>
        <w:t>项目经理及项目技术负责人简历表</w:t>
      </w:r>
      <w:bookmarkEnd w:id="2273"/>
      <w:bookmarkEnd w:id="2274"/>
      <w:bookmarkEnd w:id="2285"/>
      <w:bookmarkEnd w:id="2286"/>
    </w:p>
    <w:tbl>
      <w:tblPr>
        <w:tblStyle w:val="54"/>
        <w:tblW w:w="9565"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306"/>
        <w:gridCol w:w="397"/>
        <w:gridCol w:w="793"/>
        <w:gridCol w:w="1020"/>
        <w:gridCol w:w="1175"/>
        <w:gridCol w:w="780"/>
        <w:gridCol w:w="1388"/>
        <w:gridCol w:w="178"/>
        <w:gridCol w:w="252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306" w:type="dxa"/>
            <w:vAlign w:val="center"/>
          </w:tcPr>
          <w:p>
            <w:pPr>
              <w:tabs>
                <w:tab w:val="left" w:pos="520"/>
              </w:tabs>
              <w:autoSpaceDE w:val="0"/>
              <w:autoSpaceDN w:val="0"/>
              <w:adjustRightInd w:val="0"/>
              <w:snapToGrid w:val="0"/>
              <w:jc w:val="center"/>
              <w:rPr>
                <w:rFonts w:ascii="宋体" w:hAnsi="宋体"/>
                <w:kern w:val="0"/>
                <w:szCs w:val="21"/>
              </w:rPr>
            </w:pPr>
            <w:r>
              <w:rPr>
                <w:rFonts w:ascii="宋体" w:hAnsi="宋体"/>
                <w:kern w:val="0"/>
                <w:szCs w:val="21"/>
              </w:rPr>
              <w:t>姓名</w:t>
            </w:r>
          </w:p>
        </w:tc>
        <w:tc>
          <w:tcPr>
            <w:tcW w:w="1190" w:type="dxa"/>
            <w:gridSpan w:val="2"/>
            <w:vAlign w:val="center"/>
          </w:tcPr>
          <w:p>
            <w:pPr>
              <w:autoSpaceDE w:val="0"/>
              <w:autoSpaceDN w:val="0"/>
              <w:adjustRightInd w:val="0"/>
              <w:snapToGrid w:val="0"/>
              <w:jc w:val="center"/>
              <w:rPr>
                <w:rFonts w:ascii="宋体" w:hAnsi="宋体"/>
                <w:kern w:val="0"/>
                <w:szCs w:val="21"/>
              </w:rPr>
            </w:pPr>
          </w:p>
        </w:tc>
        <w:tc>
          <w:tcPr>
            <w:tcW w:w="1020"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年龄</w:t>
            </w:r>
          </w:p>
        </w:tc>
        <w:tc>
          <w:tcPr>
            <w:tcW w:w="1175" w:type="dxa"/>
            <w:vAlign w:val="center"/>
          </w:tcPr>
          <w:p>
            <w:pPr>
              <w:autoSpaceDE w:val="0"/>
              <w:autoSpaceDN w:val="0"/>
              <w:adjustRightInd w:val="0"/>
              <w:snapToGrid w:val="0"/>
              <w:jc w:val="center"/>
              <w:rPr>
                <w:rFonts w:ascii="宋体" w:hAnsi="宋体"/>
                <w:kern w:val="0"/>
                <w:szCs w:val="21"/>
              </w:rPr>
            </w:pPr>
          </w:p>
        </w:tc>
        <w:tc>
          <w:tcPr>
            <w:tcW w:w="2346" w:type="dxa"/>
            <w:gridSpan w:val="3"/>
            <w:vAlign w:val="center"/>
          </w:tcPr>
          <w:p>
            <w:pPr>
              <w:autoSpaceDE w:val="0"/>
              <w:autoSpaceDN w:val="0"/>
              <w:adjustRightInd w:val="0"/>
              <w:snapToGrid w:val="0"/>
              <w:jc w:val="center"/>
              <w:rPr>
                <w:rFonts w:ascii="宋体" w:hAnsi="宋体"/>
                <w:kern w:val="0"/>
                <w:szCs w:val="21"/>
              </w:rPr>
            </w:pPr>
            <w:r>
              <w:rPr>
                <w:rFonts w:ascii="宋体" w:hAnsi="宋体"/>
                <w:kern w:val="0"/>
                <w:szCs w:val="21"/>
              </w:rPr>
              <w:t>学历</w:t>
            </w:r>
          </w:p>
        </w:tc>
        <w:tc>
          <w:tcPr>
            <w:tcW w:w="2528"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306" w:type="dxa"/>
            <w:vAlign w:val="center"/>
          </w:tcPr>
          <w:p>
            <w:pPr>
              <w:tabs>
                <w:tab w:val="left" w:pos="520"/>
              </w:tabs>
              <w:autoSpaceDE w:val="0"/>
              <w:autoSpaceDN w:val="0"/>
              <w:adjustRightInd w:val="0"/>
              <w:snapToGrid w:val="0"/>
              <w:jc w:val="center"/>
              <w:rPr>
                <w:rFonts w:ascii="宋体" w:hAnsi="宋体"/>
                <w:kern w:val="0"/>
                <w:szCs w:val="21"/>
              </w:rPr>
            </w:pPr>
            <w:r>
              <w:rPr>
                <w:rFonts w:ascii="宋体" w:hAnsi="宋体"/>
                <w:kern w:val="0"/>
                <w:szCs w:val="21"/>
              </w:rPr>
              <w:t>职称</w:t>
            </w:r>
          </w:p>
        </w:tc>
        <w:tc>
          <w:tcPr>
            <w:tcW w:w="1190" w:type="dxa"/>
            <w:gridSpan w:val="2"/>
            <w:vAlign w:val="center"/>
          </w:tcPr>
          <w:p>
            <w:pPr>
              <w:autoSpaceDE w:val="0"/>
              <w:autoSpaceDN w:val="0"/>
              <w:adjustRightInd w:val="0"/>
              <w:snapToGrid w:val="0"/>
              <w:jc w:val="center"/>
              <w:rPr>
                <w:rFonts w:ascii="宋体" w:hAnsi="宋体"/>
                <w:kern w:val="0"/>
                <w:szCs w:val="21"/>
              </w:rPr>
            </w:pPr>
          </w:p>
        </w:tc>
        <w:tc>
          <w:tcPr>
            <w:tcW w:w="1020"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职务</w:t>
            </w:r>
          </w:p>
        </w:tc>
        <w:tc>
          <w:tcPr>
            <w:tcW w:w="1175" w:type="dxa"/>
            <w:vAlign w:val="center"/>
          </w:tcPr>
          <w:p>
            <w:pPr>
              <w:autoSpaceDE w:val="0"/>
              <w:autoSpaceDN w:val="0"/>
              <w:adjustRightInd w:val="0"/>
              <w:snapToGrid w:val="0"/>
              <w:jc w:val="center"/>
              <w:rPr>
                <w:rFonts w:ascii="宋体" w:hAnsi="宋体"/>
                <w:kern w:val="0"/>
                <w:szCs w:val="21"/>
              </w:rPr>
            </w:pPr>
          </w:p>
        </w:tc>
        <w:tc>
          <w:tcPr>
            <w:tcW w:w="2346" w:type="dxa"/>
            <w:gridSpan w:val="3"/>
            <w:vAlign w:val="center"/>
          </w:tcPr>
          <w:p>
            <w:pPr>
              <w:autoSpaceDE w:val="0"/>
              <w:autoSpaceDN w:val="0"/>
              <w:adjustRightInd w:val="0"/>
              <w:snapToGrid w:val="0"/>
              <w:jc w:val="center"/>
              <w:rPr>
                <w:rFonts w:ascii="宋体" w:hAnsi="宋体"/>
                <w:kern w:val="0"/>
                <w:szCs w:val="21"/>
              </w:rPr>
            </w:pPr>
            <w:r>
              <w:rPr>
                <w:rFonts w:ascii="宋体" w:hAnsi="宋体"/>
                <w:kern w:val="0"/>
                <w:szCs w:val="21"/>
              </w:rPr>
              <w:t>拟在本合同任职</w:t>
            </w:r>
          </w:p>
        </w:tc>
        <w:tc>
          <w:tcPr>
            <w:tcW w:w="2528"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30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毕业学校</w:t>
            </w:r>
          </w:p>
        </w:tc>
        <w:tc>
          <w:tcPr>
            <w:tcW w:w="8259" w:type="dxa"/>
            <w:gridSpan w:val="8"/>
            <w:vAlign w:val="center"/>
          </w:tcPr>
          <w:p>
            <w:pPr>
              <w:tabs>
                <w:tab w:val="left" w:pos="2820"/>
                <w:tab w:val="left" w:pos="4080"/>
              </w:tabs>
              <w:autoSpaceDE w:val="0"/>
              <w:autoSpaceDN w:val="0"/>
              <w:adjustRightInd w:val="0"/>
              <w:snapToGrid w:val="0"/>
              <w:jc w:val="center"/>
              <w:rPr>
                <w:rFonts w:ascii="宋体" w:hAnsi="宋体"/>
                <w:kern w:val="0"/>
                <w:szCs w:val="21"/>
              </w:rPr>
            </w:pPr>
            <w:r>
              <w:rPr>
                <w:rFonts w:ascii="宋体" w:hAnsi="宋体"/>
                <w:kern w:val="0"/>
                <w:szCs w:val="21"/>
              </w:rPr>
              <w:t>年</w:t>
            </w:r>
            <w:r>
              <w:rPr>
                <w:rFonts w:ascii="宋体" w:hAnsi="宋体"/>
                <w:spacing w:val="-1"/>
                <w:kern w:val="0"/>
                <w:szCs w:val="21"/>
              </w:rPr>
              <w:t>毕</w:t>
            </w:r>
            <w:r>
              <w:rPr>
                <w:rFonts w:ascii="宋体" w:hAnsi="宋体"/>
                <w:kern w:val="0"/>
                <w:szCs w:val="21"/>
              </w:rPr>
              <w:t>业于</w:t>
            </w:r>
            <w:r>
              <w:rPr>
                <w:rFonts w:ascii="宋体" w:hAnsi="宋体"/>
                <w:kern w:val="0"/>
                <w:szCs w:val="21"/>
              </w:rPr>
              <w:tab/>
            </w:r>
            <w:r>
              <w:rPr>
                <w:rFonts w:ascii="宋体" w:hAnsi="宋体"/>
                <w:kern w:val="0"/>
                <w:szCs w:val="21"/>
              </w:rPr>
              <w:t>学校</w:t>
            </w:r>
            <w:r>
              <w:rPr>
                <w:rFonts w:ascii="宋体" w:hAnsi="宋体"/>
                <w:kern w:val="0"/>
                <w:szCs w:val="21"/>
              </w:rPr>
              <w:tab/>
            </w:r>
            <w:r>
              <w:rPr>
                <w:rFonts w:ascii="宋体" w:hAnsi="宋体"/>
                <w:kern w:val="0"/>
                <w:szCs w:val="21"/>
              </w:rPr>
              <w:t>专业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9565" w:type="dxa"/>
            <w:gridSpan w:val="9"/>
            <w:vAlign w:val="center"/>
          </w:tcPr>
          <w:p>
            <w:pPr>
              <w:autoSpaceDE w:val="0"/>
              <w:autoSpaceDN w:val="0"/>
              <w:adjustRightInd w:val="0"/>
              <w:snapToGrid w:val="0"/>
              <w:jc w:val="center"/>
              <w:rPr>
                <w:rFonts w:ascii="宋体" w:hAnsi="宋体"/>
                <w:kern w:val="0"/>
                <w:szCs w:val="21"/>
              </w:rPr>
            </w:pPr>
            <w:r>
              <w:rPr>
                <w:rFonts w:ascii="宋体" w:hAnsi="宋体"/>
                <w:kern w:val="0"/>
                <w:szCs w:val="21"/>
              </w:rPr>
              <w:t>主要工作经历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tabs>
                <w:tab w:val="left" w:pos="520"/>
              </w:tabs>
              <w:autoSpaceDE w:val="0"/>
              <w:autoSpaceDN w:val="0"/>
              <w:adjustRightInd w:val="0"/>
              <w:snapToGrid w:val="0"/>
              <w:jc w:val="center"/>
              <w:rPr>
                <w:rFonts w:ascii="宋体" w:hAnsi="宋体"/>
                <w:kern w:val="0"/>
                <w:szCs w:val="21"/>
              </w:rPr>
            </w:pPr>
            <w:r>
              <w:rPr>
                <w:rFonts w:ascii="宋体" w:hAnsi="宋体"/>
                <w:kern w:val="0"/>
                <w:szCs w:val="21"/>
              </w:rPr>
              <w:t>时间</w:t>
            </w:r>
          </w:p>
        </w:tc>
        <w:tc>
          <w:tcPr>
            <w:tcW w:w="3768" w:type="dxa"/>
            <w:gridSpan w:val="4"/>
            <w:vAlign w:val="center"/>
          </w:tcPr>
          <w:p>
            <w:pPr>
              <w:autoSpaceDE w:val="0"/>
              <w:autoSpaceDN w:val="0"/>
              <w:adjustRightInd w:val="0"/>
              <w:snapToGrid w:val="0"/>
              <w:jc w:val="center"/>
              <w:rPr>
                <w:rFonts w:ascii="宋体" w:hAnsi="宋体"/>
                <w:kern w:val="0"/>
                <w:szCs w:val="21"/>
              </w:rPr>
            </w:pPr>
            <w:r>
              <w:rPr>
                <w:rFonts w:ascii="宋体" w:hAnsi="宋体"/>
                <w:kern w:val="0"/>
                <w:szCs w:val="21"/>
              </w:rPr>
              <w:t>参加过的类似项目</w:t>
            </w:r>
          </w:p>
        </w:tc>
        <w:tc>
          <w:tcPr>
            <w:tcW w:w="1388"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担任职务</w:t>
            </w:r>
          </w:p>
        </w:tc>
        <w:tc>
          <w:tcPr>
            <w:tcW w:w="2706" w:type="dxa"/>
            <w:gridSpan w:val="2"/>
            <w:vAlign w:val="center"/>
          </w:tcPr>
          <w:p>
            <w:pPr>
              <w:autoSpaceDE w:val="0"/>
              <w:autoSpaceDN w:val="0"/>
              <w:adjustRightInd w:val="0"/>
              <w:snapToGrid w:val="0"/>
              <w:jc w:val="center"/>
              <w:rPr>
                <w:rFonts w:ascii="宋体" w:hAnsi="宋体"/>
                <w:kern w:val="0"/>
                <w:szCs w:val="21"/>
              </w:rPr>
            </w:pPr>
            <w:r>
              <w:rPr>
                <w:rFonts w:ascii="宋体" w:hAnsi="宋体"/>
                <w:kern w:val="0"/>
                <w:szCs w:val="21"/>
              </w:rPr>
              <w:t>发包人及联系电话</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712" w:hRule="exact"/>
        </w:trPr>
        <w:tc>
          <w:tcPr>
            <w:tcW w:w="1703" w:type="dxa"/>
            <w:gridSpan w:val="2"/>
            <w:vAlign w:val="center"/>
          </w:tcPr>
          <w:p>
            <w:pPr>
              <w:autoSpaceDE w:val="0"/>
              <w:autoSpaceDN w:val="0"/>
              <w:adjustRightInd w:val="0"/>
              <w:snapToGrid w:val="0"/>
              <w:jc w:val="center"/>
              <w:rPr>
                <w:rFonts w:ascii="宋体" w:hAnsi="宋体"/>
                <w:kern w:val="0"/>
                <w:szCs w:val="21"/>
              </w:rPr>
            </w:pPr>
          </w:p>
        </w:tc>
        <w:tc>
          <w:tcPr>
            <w:tcW w:w="3768" w:type="dxa"/>
            <w:gridSpan w:val="4"/>
            <w:vAlign w:val="center"/>
          </w:tcPr>
          <w:p>
            <w:pPr>
              <w:autoSpaceDE w:val="0"/>
              <w:autoSpaceDN w:val="0"/>
              <w:adjustRightInd w:val="0"/>
              <w:snapToGrid w:val="0"/>
              <w:jc w:val="center"/>
              <w:rPr>
                <w:rFonts w:ascii="宋体" w:hAnsi="宋体"/>
                <w:kern w:val="0"/>
                <w:szCs w:val="21"/>
              </w:rPr>
            </w:pPr>
          </w:p>
        </w:tc>
        <w:tc>
          <w:tcPr>
            <w:tcW w:w="1388" w:type="dxa"/>
            <w:vAlign w:val="center"/>
          </w:tcPr>
          <w:p>
            <w:pPr>
              <w:autoSpaceDE w:val="0"/>
              <w:autoSpaceDN w:val="0"/>
              <w:adjustRightInd w:val="0"/>
              <w:snapToGrid w:val="0"/>
              <w:jc w:val="center"/>
              <w:rPr>
                <w:rFonts w:ascii="宋体" w:hAnsi="宋体"/>
                <w:kern w:val="0"/>
                <w:szCs w:val="21"/>
              </w:rPr>
            </w:pPr>
          </w:p>
        </w:tc>
        <w:tc>
          <w:tcPr>
            <w:tcW w:w="2706" w:type="dxa"/>
            <w:gridSpan w:val="2"/>
            <w:vAlign w:val="center"/>
          </w:tcPr>
          <w:p>
            <w:pPr>
              <w:autoSpaceDE w:val="0"/>
              <w:autoSpaceDN w:val="0"/>
              <w:adjustRightInd w:val="0"/>
              <w:snapToGrid w:val="0"/>
              <w:jc w:val="center"/>
              <w:rPr>
                <w:rFonts w:ascii="宋体" w:hAnsi="宋体"/>
                <w:kern w:val="0"/>
                <w:szCs w:val="21"/>
              </w:rPr>
            </w:pPr>
          </w:p>
        </w:tc>
      </w:tr>
    </w:tbl>
    <w:p>
      <w:pPr>
        <w:spacing w:line="360" w:lineRule="auto"/>
        <w:rPr>
          <w:rFonts w:ascii="宋体" w:hAnsi="宋体"/>
        </w:rPr>
      </w:pPr>
      <w:bookmarkStart w:id="2287" w:name="_Toc224103515"/>
    </w:p>
    <w:p>
      <w:pPr>
        <w:pStyle w:val="5"/>
        <w:spacing w:before="0" w:line="240" w:lineRule="auto"/>
        <w:jc w:val="center"/>
        <w:outlineLvl w:val="0"/>
        <w:rPr>
          <w:rFonts w:ascii="宋体" w:hAnsi="宋体"/>
          <w:b w:val="0"/>
        </w:rPr>
      </w:pPr>
      <w:bookmarkStart w:id="2288" w:name="_Toc430530550"/>
      <w:bookmarkStart w:id="2289" w:name="_Toc25388"/>
      <w:bookmarkStart w:id="2290" w:name="_Toc23014"/>
      <w:bookmarkStart w:id="2291" w:name="_Toc534185841"/>
      <w:bookmarkStart w:id="2292" w:name="_Toc287607888"/>
      <w:bookmarkStart w:id="2293" w:name="_Toc277082660"/>
      <w:bookmarkStart w:id="2294" w:name="_Toc287620834"/>
      <w:bookmarkStart w:id="2295" w:name="_Toc509218864"/>
      <w:bookmarkStart w:id="2296" w:name="_Toc6544"/>
      <w:r>
        <w:rPr>
          <w:rFonts w:hint="eastAsia" w:ascii="宋体" w:hAnsi="宋体"/>
          <w:b w:val="0"/>
        </w:rPr>
        <w:t>（五）近年财务状况表</w:t>
      </w:r>
      <w:bookmarkEnd w:id="2287"/>
      <w:bookmarkEnd w:id="2288"/>
      <w:bookmarkEnd w:id="2289"/>
      <w:bookmarkEnd w:id="2290"/>
      <w:bookmarkEnd w:id="2291"/>
      <w:bookmarkEnd w:id="2292"/>
      <w:bookmarkEnd w:id="2293"/>
      <w:bookmarkEnd w:id="2294"/>
      <w:bookmarkEnd w:id="2295"/>
      <w:bookmarkEnd w:id="2296"/>
    </w:p>
    <w:p>
      <w:pPr>
        <w:adjustRightInd w:val="0"/>
        <w:snapToGrid w:val="0"/>
        <w:spacing w:line="360" w:lineRule="auto"/>
        <w:rPr>
          <w:rFonts w:ascii="宋体" w:hAnsi="宋体"/>
        </w:rPr>
      </w:pPr>
      <w:r>
        <w:rPr>
          <w:rFonts w:ascii="宋体" w:hAnsi="宋体"/>
        </w:rPr>
        <w:br w:type="page"/>
      </w:r>
    </w:p>
    <w:p>
      <w:pPr>
        <w:pStyle w:val="5"/>
        <w:spacing w:before="0" w:line="240" w:lineRule="auto"/>
        <w:jc w:val="center"/>
        <w:outlineLvl w:val="0"/>
        <w:rPr>
          <w:rFonts w:ascii="宋体" w:hAnsi="宋体"/>
          <w:b w:val="0"/>
        </w:rPr>
      </w:pPr>
      <w:bookmarkStart w:id="2297" w:name="_Toc4683"/>
      <w:bookmarkStart w:id="2298" w:name="_Toc6127"/>
      <w:bookmarkStart w:id="2299" w:name="_Toc277082661"/>
      <w:bookmarkStart w:id="2300" w:name="_Toc430530551"/>
      <w:bookmarkStart w:id="2301" w:name="_Toc224103516"/>
      <w:bookmarkStart w:id="2302" w:name="_Toc14626"/>
      <w:bookmarkStart w:id="2303" w:name="_Toc509218865"/>
      <w:bookmarkStart w:id="2304" w:name="_Toc287620835"/>
      <w:bookmarkStart w:id="2305" w:name="_Toc534185842"/>
      <w:bookmarkStart w:id="2306" w:name="_Toc287607889"/>
      <w:r>
        <w:rPr>
          <w:rFonts w:ascii="宋体" w:hAnsi="宋体"/>
          <w:b w:val="0"/>
        </w:rPr>
        <w:t>（六）类似项目情况表</w:t>
      </w:r>
      <w:bookmarkEnd w:id="2297"/>
      <w:bookmarkEnd w:id="2298"/>
      <w:bookmarkEnd w:id="2299"/>
      <w:bookmarkEnd w:id="2300"/>
      <w:bookmarkEnd w:id="2301"/>
      <w:bookmarkEnd w:id="2302"/>
      <w:bookmarkEnd w:id="2303"/>
      <w:bookmarkEnd w:id="2304"/>
      <w:bookmarkEnd w:id="2305"/>
      <w:bookmarkEnd w:id="2306"/>
    </w:p>
    <w:tbl>
      <w:tblPr>
        <w:tblStyle w:val="54"/>
        <w:tblW w:w="9483"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456"/>
        <w:gridCol w:w="802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43"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项目名称</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58"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项目所在地</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66"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发包人名称</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59"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发包人地址</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67"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发包人电话</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61"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合同价格</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55"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开工日期</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79"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竣工日期</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58"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承担的工作</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67"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工程质量</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59"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项目经理</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670"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技术负责人</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863"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总监理工程师及电话</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2367"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项目描述</w:t>
            </w:r>
          </w:p>
        </w:tc>
        <w:tc>
          <w:tcPr>
            <w:tcW w:w="8027" w:type="dxa"/>
            <w:vAlign w:val="center"/>
          </w:tcPr>
          <w:p>
            <w:pPr>
              <w:autoSpaceDE w:val="0"/>
              <w:autoSpaceDN w:val="0"/>
              <w:adjustRightInd w:val="0"/>
              <w:snapToGrid w:val="0"/>
              <w:jc w:val="center"/>
              <w:rPr>
                <w:rFonts w:ascii="宋体" w:hAnsi="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Ex>
        <w:trPr>
          <w:trHeight w:val="1048" w:hRule="exact"/>
          <w:jc w:val="center"/>
        </w:trPr>
        <w:tc>
          <w:tcPr>
            <w:tcW w:w="1456" w:type="dxa"/>
            <w:vAlign w:val="center"/>
          </w:tcPr>
          <w:p>
            <w:pPr>
              <w:autoSpaceDE w:val="0"/>
              <w:autoSpaceDN w:val="0"/>
              <w:adjustRightInd w:val="0"/>
              <w:snapToGrid w:val="0"/>
              <w:jc w:val="center"/>
              <w:rPr>
                <w:rFonts w:ascii="宋体" w:hAnsi="宋体"/>
                <w:kern w:val="0"/>
                <w:szCs w:val="21"/>
              </w:rPr>
            </w:pPr>
            <w:r>
              <w:rPr>
                <w:rFonts w:ascii="宋体" w:hAnsi="宋体"/>
                <w:kern w:val="0"/>
                <w:szCs w:val="21"/>
              </w:rPr>
              <w:t>备注</w:t>
            </w:r>
          </w:p>
        </w:tc>
        <w:tc>
          <w:tcPr>
            <w:tcW w:w="8027" w:type="dxa"/>
            <w:vAlign w:val="center"/>
          </w:tcPr>
          <w:p>
            <w:pPr>
              <w:autoSpaceDE w:val="0"/>
              <w:autoSpaceDN w:val="0"/>
              <w:adjustRightInd w:val="0"/>
              <w:snapToGrid w:val="0"/>
              <w:jc w:val="center"/>
              <w:rPr>
                <w:rFonts w:ascii="宋体" w:hAnsi="宋体"/>
                <w:kern w:val="0"/>
                <w:szCs w:val="21"/>
              </w:rPr>
            </w:pPr>
          </w:p>
        </w:tc>
      </w:tr>
    </w:tbl>
    <w:p>
      <w:pPr>
        <w:pStyle w:val="5"/>
        <w:spacing w:before="0" w:line="360" w:lineRule="auto"/>
        <w:jc w:val="center"/>
        <w:outlineLvl w:val="0"/>
        <w:rPr>
          <w:rFonts w:ascii="宋体" w:hAnsi="宋体"/>
          <w:b w:val="0"/>
        </w:rPr>
      </w:pPr>
      <w:bookmarkStart w:id="2307" w:name="_Toc277082663"/>
      <w:bookmarkStart w:id="2308" w:name="_Toc287607893"/>
      <w:bookmarkStart w:id="2309" w:name="_Toc509218866"/>
      <w:bookmarkStart w:id="2310" w:name="_Toc224103520"/>
      <w:bookmarkStart w:id="2311" w:name="_Toc534185843"/>
      <w:bookmarkStart w:id="2312" w:name="_Toc287620839"/>
      <w:bookmarkStart w:id="2313" w:name="_Toc430530552"/>
      <w:bookmarkStart w:id="2314" w:name="_Toc31408"/>
      <w:bookmarkStart w:id="2315" w:name="_Toc22514"/>
      <w:bookmarkStart w:id="2316" w:name="_Toc23342"/>
      <w:r>
        <w:rPr>
          <w:rFonts w:ascii="宋体" w:hAnsi="宋体"/>
          <w:b w:val="0"/>
        </w:rPr>
        <w:t>（七）</w:t>
      </w:r>
      <w:bookmarkEnd w:id="2307"/>
      <w:bookmarkEnd w:id="2308"/>
      <w:bookmarkEnd w:id="2309"/>
      <w:bookmarkEnd w:id="2310"/>
      <w:bookmarkEnd w:id="2311"/>
      <w:bookmarkEnd w:id="2312"/>
      <w:bookmarkEnd w:id="2313"/>
      <w:r>
        <w:rPr>
          <w:rFonts w:hint="eastAsia" w:ascii="宋体" w:hAnsi="宋体"/>
          <w:b w:val="0"/>
        </w:rPr>
        <w:t>承诺</w:t>
      </w:r>
      <w:bookmarkEnd w:id="2314"/>
      <w:bookmarkEnd w:id="2315"/>
      <w:bookmarkEnd w:id="2316"/>
    </w:p>
    <w:p>
      <w:pPr>
        <w:snapToGrid w:val="0"/>
        <w:spacing w:line="380" w:lineRule="exact"/>
        <w:rPr>
          <w:rFonts w:ascii="宋体" w:hAnsi="宋体"/>
          <w:szCs w:val="21"/>
          <w:u w:val="single"/>
        </w:rPr>
      </w:pPr>
      <w:r>
        <w:rPr>
          <w:rFonts w:hint="eastAsia" w:ascii="宋体" w:hAnsi="宋体"/>
          <w:szCs w:val="21"/>
          <w:u w:val="single"/>
        </w:rPr>
        <w:t xml:space="preserve">        （招标人名称）</w:t>
      </w:r>
      <w:r>
        <w:rPr>
          <w:rFonts w:hint="eastAsia" w:ascii="宋体" w:hAnsi="宋体"/>
          <w:szCs w:val="21"/>
        </w:rPr>
        <w:t>：</w:t>
      </w:r>
    </w:p>
    <w:p>
      <w:pPr>
        <w:snapToGrid w:val="0"/>
        <w:spacing w:line="380" w:lineRule="exact"/>
        <w:ind w:firstLine="420" w:firstLineChars="200"/>
        <w:rPr>
          <w:rFonts w:ascii="宋体" w:hAnsi="宋体"/>
          <w:szCs w:val="21"/>
        </w:rPr>
      </w:pPr>
      <w:r>
        <w:rPr>
          <w:rFonts w:hint="eastAsia" w:ascii="宋体" w:hAnsi="宋体"/>
          <w:szCs w:val="21"/>
        </w:rPr>
        <w:t>我公司</w:t>
      </w:r>
      <w:r>
        <w:rPr>
          <w:rFonts w:hint="eastAsia" w:ascii="宋体" w:hAnsi="宋体"/>
          <w:szCs w:val="21"/>
          <w:u w:val="single"/>
        </w:rPr>
        <w:t xml:space="preserve">        （投标人名称）</w:t>
      </w:r>
      <w:r>
        <w:rPr>
          <w:rFonts w:hint="eastAsia" w:ascii="宋体" w:hAnsi="宋体"/>
          <w:szCs w:val="21"/>
        </w:rPr>
        <w:t>参加了贵单位</w:t>
      </w:r>
      <w:r>
        <w:rPr>
          <w:rFonts w:hint="eastAsia" w:ascii="宋体" w:hAnsi="宋体"/>
          <w:szCs w:val="21"/>
          <w:u w:val="single"/>
        </w:rPr>
        <w:t xml:space="preserve">        （项目名称）</w:t>
      </w:r>
      <w:r>
        <w:rPr>
          <w:rFonts w:hint="eastAsia" w:ascii="宋体" w:hAnsi="宋体"/>
          <w:szCs w:val="21"/>
        </w:rPr>
        <w:t>的投标，自愿作出以下承诺：</w:t>
      </w:r>
    </w:p>
    <w:p>
      <w:pPr>
        <w:snapToGrid w:val="0"/>
        <w:spacing w:line="380" w:lineRule="exact"/>
        <w:ind w:firstLine="420" w:firstLineChars="200"/>
        <w:rPr>
          <w:rFonts w:ascii="宋体" w:hAnsi="宋体"/>
          <w:szCs w:val="21"/>
        </w:rPr>
      </w:pPr>
      <w:r>
        <w:rPr>
          <w:rFonts w:hint="eastAsia" w:ascii="宋体" w:hAnsi="宋体"/>
          <w:szCs w:val="21"/>
        </w:rPr>
        <w:t>1、我公司投标截止日投标资格情况不存在下列情形之一：</w:t>
      </w:r>
    </w:p>
    <w:p>
      <w:pPr>
        <w:snapToGrid w:val="0"/>
        <w:spacing w:line="380" w:lineRule="exact"/>
        <w:ind w:firstLine="420" w:firstLineChars="200"/>
        <w:jc w:val="left"/>
        <w:rPr>
          <w:rFonts w:ascii="宋体" w:hAnsi="宋体"/>
          <w:szCs w:val="21"/>
        </w:rPr>
      </w:pPr>
      <w:r>
        <w:rPr>
          <w:rFonts w:hint="eastAsia" w:ascii="宋体" w:hAnsi="宋体"/>
          <w:szCs w:val="21"/>
        </w:rPr>
        <w:t>（1）被人民法院列入失信被执行人名单且在被执行期内；</w:t>
      </w:r>
    </w:p>
    <w:p>
      <w:pPr>
        <w:snapToGrid w:val="0"/>
        <w:spacing w:line="380" w:lineRule="exact"/>
        <w:ind w:firstLine="420" w:firstLineChars="200"/>
        <w:rPr>
          <w:rFonts w:ascii="宋体" w:hAnsi="宋体"/>
          <w:szCs w:val="21"/>
        </w:rPr>
      </w:pPr>
      <w:r>
        <w:rPr>
          <w:rFonts w:hint="eastAsia" w:ascii="宋体" w:hAnsi="宋体"/>
          <w:szCs w:val="21"/>
        </w:rPr>
        <w:t>（2）被列入《重庆市工程建设领域招标投标信用管理暂行办法》规定的重点关注名单且记分达到12分且在记分有效期内；</w:t>
      </w:r>
    </w:p>
    <w:p>
      <w:pPr>
        <w:snapToGrid w:val="0"/>
        <w:spacing w:line="380" w:lineRule="exact"/>
        <w:ind w:firstLine="420" w:firstLineChars="200"/>
        <w:rPr>
          <w:rFonts w:ascii="宋体" w:hAnsi="宋体"/>
          <w:szCs w:val="21"/>
        </w:rPr>
      </w:pPr>
      <w:r>
        <w:rPr>
          <w:rFonts w:hint="eastAsia" w:ascii="宋体" w:hAnsi="宋体"/>
          <w:szCs w:val="21"/>
        </w:rPr>
        <w:t>（3）被列入《重庆市工程建设领域招标投标信用管理暂行办法》规定的黑名单且在记分有效期内；</w:t>
      </w:r>
    </w:p>
    <w:p>
      <w:pPr>
        <w:keepNext w:val="0"/>
        <w:keepLines w:val="0"/>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szCs w:val="21"/>
        </w:rPr>
        <w:t>（4）被国家、重庆市（含市或任意区县）有关行政部门处以暂停投标资格行政处罚</w:t>
      </w:r>
      <w:r>
        <w:rPr>
          <w:rFonts w:hint="eastAsia" w:ascii="宋体" w:hAnsi="宋体" w:eastAsia="宋体" w:cs="Times New Roman"/>
          <w:color w:val="auto"/>
          <w:sz w:val="21"/>
          <w:szCs w:val="21"/>
          <w:highlight w:val="none"/>
          <w:lang w:val="en-US" w:eastAsia="zh-CN"/>
        </w:rPr>
        <w:t>或暂停在渝承揽新业务，且在暂停期限内</w:t>
      </w:r>
      <w:r>
        <w:rPr>
          <w:rFonts w:hint="eastAsia" w:ascii="宋体" w:hAnsi="宋体"/>
          <w:color w:val="auto"/>
          <w:szCs w:val="21"/>
          <w:highlight w:val="none"/>
        </w:rPr>
        <w:t>。</w:t>
      </w:r>
    </w:p>
    <w:p>
      <w:pPr>
        <w:snapToGrid w:val="0"/>
        <w:spacing w:line="380" w:lineRule="exact"/>
        <w:ind w:firstLine="420" w:firstLineChars="200"/>
        <w:rPr>
          <w:rFonts w:ascii="宋体" w:hAnsi="宋体"/>
          <w:szCs w:val="21"/>
        </w:rPr>
      </w:pPr>
      <w:r>
        <w:rPr>
          <w:rFonts w:hint="eastAsia" w:ascii="宋体" w:hAnsi="宋体"/>
          <w:szCs w:val="21"/>
        </w:rPr>
        <w:t>2、我公司拟派的项目经理按注册建造师的相关规定到岗履职和未被禁止参与投标。</w:t>
      </w:r>
    </w:p>
    <w:p>
      <w:pPr>
        <w:snapToGrid w:val="0"/>
        <w:spacing w:line="380" w:lineRule="exact"/>
        <w:ind w:firstLine="420" w:firstLineChars="200"/>
        <w:rPr>
          <w:rFonts w:ascii="宋体" w:hAnsi="宋体"/>
          <w:szCs w:val="21"/>
        </w:rPr>
      </w:pPr>
      <w:r>
        <w:rPr>
          <w:rFonts w:hint="eastAsia" w:ascii="宋体" w:hAnsi="宋体"/>
          <w:szCs w:val="21"/>
        </w:rPr>
        <w:t>2.1拟派的项目经理中标后在本项目任职，签订合同时拟派的项目经理必须与投标文件中的项目经理一致，并满足办理施工许可手续的相关要求。不能按承诺到岗履</w:t>
      </w:r>
      <w:r>
        <w:rPr>
          <w:rFonts w:hint="eastAsia" w:ascii="宋体" w:hAnsi="宋体"/>
          <w:szCs w:val="21"/>
          <w:lang w:val="en-US" w:eastAsia="zh-CN"/>
        </w:rPr>
        <w:t>职</w:t>
      </w:r>
      <w:r>
        <w:rPr>
          <w:rFonts w:hint="eastAsia" w:ascii="宋体" w:hAnsi="宋体"/>
          <w:szCs w:val="21"/>
        </w:rPr>
        <w:t>的，</w:t>
      </w:r>
      <w:r>
        <w:rPr>
          <w:rFonts w:hint="eastAsia" w:ascii="宋体" w:hAnsi="宋体"/>
          <w:szCs w:val="21"/>
          <w:lang w:val="en-US" w:eastAsia="zh-CN"/>
        </w:rPr>
        <w:t>贵单位</w:t>
      </w:r>
      <w:r>
        <w:rPr>
          <w:rFonts w:hint="eastAsia" w:ascii="宋体" w:hAnsi="宋体"/>
          <w:szCs w:val="21"/>
        </w:rPr>
        <w:t>按合同相关条款</w:t>
      </w:r>
      <w:r>
        <w:rPr>
          <w:rFonts w:hint="eastAsia" w:ascii="宋体" w:hAnsi="宋体"/>
          <w:szCs w:val="21"/>
          <w:lang w:val="en-US" w:eastAsia="zh-CN"/>
        </w:rPr>
        <w:t>要求我公司承担责任</w:t>
      </w:r>
      <w:r>
        <w:rPr>
          <w:rFonts w:hint="eastAsia" w:ascii="宋体" w:hAnsi="宋体"/>
          <w:szCs w:val="21"/>
        </w:rPr>
        <w:t>并上报行政主管部门，给贵单位造成损失的，我公司依法承担违约赔偿责任。拟派的项目经理中标后不得随意更换。</w:t>
      </w:r>
    </w:p>
    <w:p>
      <w:pPr>
        <w:snapToGrid w:val="0"/>
        <w:spacing w:line="380" w:lineRule="exact"/>
        <w:ind w:firstLine="420" w:firstLineChars="200"/>
        <w:rPr>
          <w:rFonts w:ascii="宋体" w:hAnsi="宋体"/>
          <w:szCs w:val="21"/>
        </w:rPr>
      </w:pPr>
      <w:r>
        <w:rPr>
          <w:rFonts w:hint="eastAsia" w:ascii="宋体" w:hAnsi="宋体"/>
          <w:szCs w:val="21"/>
        </w:rPr>
        <w:t>2.2拟派的项目经理未被重庆市</w:t>
      </w:r>
      <w:r>
        <w:rPr>
          <w:rFonts w:hint="eastAsia" w:ascii="宋体" w:hAnsi="宋体"/>
          <w:szCs w:val="21"/>
          <w:lang w:val="en-US" w:eastAsia="zh-CN"/>
        </w:rPr>
        <w:t>(含市或任意区县)有关行业</w:t>
      </w:r>
      <w:r>
        <w:rPr>
          <w:rFonts w:hint="eastAsia" w:ascii="宋体" w:hAnsi="宋体"/>
          <w:szCs w:val="21"/>
        </w:rPr>
        <w:t>主管部门暂停</w:t>
      </w:r>
      <w:r>
        <w:rPr>
          <w:rFonts w:hint="eastAsia" w:ascii="宋体" w:hAnsi="宋体"/>
          <w:szCs w:val="21"/>
          <w:lang w:val="en-US" w:eastAsia="zh-CN"/>
        </w:rPr>
        <w:t>其</w:t>
      </w:r>
      <w:r>
        <w:rPr>
          <w:rFonts w:hint="eastAsia" w:ascii="宋体" w:hAnsi="宋体"/>
          <w:szCs w:val="21"/>
        </w:rPr>
        <w:t>在渝承揽</w:t>
      </w:r>
      <w:r>
        <w:rPr>
          <w:rFonts w:hint="eastAsia" w:ascii="宋体" w:hAnsi="宋体"/>
          <w:szCs w:val="21"/>
          <w:lang w:val="en-US" w:eastAsia="zh-CN"/>
        </w:rPr>
        <w:t>的</w:t>
      </w:r>
      <w:r>
        <w:rPr>
          <w:rFonts w:hint="eastAsia" w:ascii="宋体" w:hAnsi="宋体"/>
          <w:szCs w:val="21"/>
        </w:rPr>
        <w:t>新业务</w:t>
      </w:r>
      <w:r>
        <w:rPr>
          <w:rFonts w:hint="eastAsia" w:ascii="宋体" w:hAnsi="宋体"/>
          <w:szCs w:val="21"/>
          <w:lang w:val="en-US" w:eastAsia="zh-CN"/>
        </w:rPr>
        <w:t>中任职</w:t>
      </w:r>
      <w:r>
        <w:rPr>
          <w:rFonts w:hint="eastAsia" w:ascii="宋体" w:hAnsi="宋体"/>
          <w:szCs w:val="21"/>
        </w:rPr>
        <w:t>，若</w:t>
      </w:r>
      <w:r>
        <w:rPr>
          <w:rFonts w:hint="eastAsia" w:ascii="宋体" w:hAnsi="宋体"/>
          <w:szCs w:val="21"/>
          <w:lang w:val="en-US" w:eastAsia="zh-CN"/>
        </w:rPr>
        <w:t>其</w:t>
      </w:r>
      <w:r>
        <w:rPr>
          <w:rFonts w:hint="eastAsia" w:ascii="宋体" w:hAnsi="宋体"/>
          <w:szCs w:val="21"/>
        </w:rPr>
        <w:t>被暂停</w:t>
      </w:r>
      <w:r>
        <w:rPr>
          <w:rFonts w:hint="eastAsia" w:ascii="宋体" w:hAnsi="宋体"/>
          <w:szCs w:val="21"/>
          <w:lang w:val="en-US" w:eastAsia="zh-CN"/>
        </w:rPr>
        <w:t>在渝承揽的新业务中任职但</w:t>
      </w:r>
      <w:r>
        <w:rPr>
          <w:rFonts w:hint="eastAsia" w:ascii="宋体" w:hAnsi="宋体"/>
          <w:color w:val="auto"/>
          <w:szCs w:val="21"/>
          <w:highlight w:val="none"/>
        </w:rPr>
        <w:t>仍参加投标，将被否决投标</w:t>
      </w:r>
      <w:r>
        <w:rPr>
          <w:rFonts w:hint="eastAsia" w:ascii="宋体" w:hAnsi="宋体"/>
          <w:szCs w:val="21"/>
        </w:rPr>
        <w:t>；已取得中标候选人资格或中标资格的，贵单位有权取消我公司中标候选人资格或中标资格；给贵单位造成损失的，我公司依法承担违约赔偿责任。</w:t>
      </w:r>
    </w:p>
    <w:p>
      <w:pPr>
        <w:snapToGrid w:val="0"/>
        <w:spacing w:line="380" w:lineRule="exact"/>
        <w:ind w:firstLine="420" w:firstLineChars="200"/>
        <w:rPr>
          <w:rFonts w:ascii="宋体" w:hAnsi="宋体"/>
          <w:szCs w:val="21"/>
        </w:rPr>
      </w:pPr>
      <w:r>
        <w:rPr>
          <w:rFonts w:hint="eastAsia" w:ascii="宋体" w:hAnsi="宋体"/>
          <w:szCs w:val="21"/>
        </w:rPr>
        <w:t>2.3为保证我公司拟派的项目经理到本项目到岗履职，我公司还承诺：</w:t>
      </w:r>
    </w:p>
    <w:p>
      <w:pPr>
        <w:snapToGrid w:val="0"/>
        <w:spacing w:line="380" w:lineRule="exact"/>
        <w:ind w:firstLine="420" w:firstLineChars="200"/>
        <w:rPr>
          <w:rFonts w:ascii="宋体" w:hAnsi="宋体"/>
          <w:szCs w:val="21"/>
        </w:rPr>
      </w:pPr>
      <w:r>
        <w:rPr>
          <w:rFonts w:hint="eastAsia" w:ascii="宋体" w:hAnsi="宋体"/>
          <w:szCs w:val="21"/>
        </w:rPr>
        <w:t>若我公司拟派本项目的项目经理有在其他项目任职的情形的（或有在其他项目中标或拟中标的情形的），应在收到中标通知书后</w:t>
      </w:r>
      <w:r>
        <w:rPr>
          <w:rFonts w:hint="eastAsia" w:ascii="宋体" w:hAnsi="宋体"/>
          <w:szCs w:val="21"/>
          <w:u w:val="single"/>
        </w:rPr>
        <w:t xml:space="preserve"> 14 </w:t>
      </w:r>
      <w:r>
        <w:rPr>
          <w:rFonts w:hint="eastAsia" w:ascii="宋体" w:hAnsi="宋体"/>
          <w:szCs w:val="21"/>
        </w:rPr>
        <w:t>日</w:t>
      </w:r>
      <w:r>
        <w:rPr>
          <w:rFonts w:hint="eastAsia" w:ascii="宋体" w:hAnsi="宋体"/>
          <w:i/>
          <w:iCs/>
          <w:szCs w:val="21"/>
          <w:lang w:val="en-US" w:eastAsia="zh-CN"/>
        </w:rPr>
        <w:t>[提示：</w:t>
      </w:r>
      <w:r>
        <w:rPr>
          <w:rFonts w:hint="eastAsia" w:ascii="宋体" w:hAnsi="宋体"/>
          <w:i/>
          <w:iCs/>
          <w:szCs w:val="21"/>
        </w:rPr>
        <w:t>7～30日</w:t>
      </w:r>
      <w:r>
        <w:rPr>
          <w:rFonts w:hint="eastAsia" w:ascii="宋体" w:hAnsi="宋体"/>
          <w:i/>
          <w:iCs/>
          <w:szCs w:val="21"/>
          <w:lang w:val="en-US" w:eastAsia="zh-CN"/>
        </w:rPr>
        <w:t>]</w:t>
      </w:r>
      <w:r>
        <w:rPr>
          <w:rFonts w:hint="eastAsia" w:ascii="宋体" w:hAnsi="宋体"/>
          <w:szCs w:val="21"/>
        </w:rPr>
        <w:t>内，办理完成放弃在其他项目任职的手续（或办理完成放弃在其他项目中标或拟中标的手续），贵单位在合同签订前有权对我公司拟派项目经理在其他项目的任职情形（或在其他项目的中标或拟中标情形）进行核查，若与我公司承诺内容不符或我公司未在上述时间内按照招标文件规定递交放弃在其他项目任职、中标或拟中标的相关资料，我公司自愿放弃中标资格，贵单位不退还我公司的投标保证金。在合同签订时，我公司确保拟派项目经理符合《建筑施工企业项目经理资质管理办法》规定的项目经理任职条件，否则我公司自愿放弃中标资格，贵单位不退还我公司的投标保证金。</w:t>
      </w:r>
    </w:p>
    <w:p>
      <w:pPr>
        <w:snapToGrid w:val="0"/>
        <w:spacing w:line="380" w:lineRule="exact"/>
        <w:ind w:firstLine="420" w:firstLineChars="200"/>
        <w:rPr>
          <w:rFonts w:ascii="宋体" w:hAnsi="宋体"/>
          <w:szCs w:val="21"/>
        </w:rPr>
      </w:pPr>
      <w:r>
        <w:rPr>
          <w:rFonts w:hint="eastAsia" w:ascii="宋体" w:hAnsi="宋体"/>
          <w:szCs w:val="21"/>
        </w:rPr>
        <w:t>若我公司拟派项目经理放弃在其他项目任职的将提供：①经业主或建设单位同意任职变更的文件；②负责项目监管的行业行政主管部门出具同意任职变更的证明材料。</w:t>
      </w:r>
    </w:p>
    <w:p>
      <w:pPr>
        <w:snapToGrid w:val="0"/>
        <w:spacing w:line="380" w:lineRule="exact"/>
        <w:ind w:firstLine="420" w:firstLineChars="200"/>
        <w:rPr>
          <w:rFonts w:ascii="宋体" w:hAnsi="宋体"/>
          <w:szCs w:val="21"/>
        </w:rPr>
      </w:pPr>
      <w:r>
        <w:rPr>
          <w:rFonts w:hint="eastAsia" w:ascii="宋体" w:hAnsi="宋体"/>
          <w:szCs w:val="21"/>
        </w:rPr>
        <w:t>若我公司拟派项目经理放弃在其他项目中标或拟中标的将提供：①经中标或拟中标的其他项目建设单位同意的放弃中标函。</w:t>
      </w:r>
    </w:p>
    <w:p>
      <w:pPr>
        <w:snapToGrid w:val="0"/>
        <w:spacing w:line="380" w:lineRule="exact"/>
        <w:ind w:firstLine="420" w:firstLineChars="200"/>
        <w:rPr>
          <w:rFonts w:ascii="宋体" w:hAnsi="宋体"/>
          <w:szCs w:val="21"/>
        </w:rPr>
      </w:pPr>
      <w:r>
        <w:rPr>
          <w:rFonts w:hint="eastAsia" w:ascii="宋体" w:hAnsi="宋体"/>
          <w:szCs w:val="21"/>
        </w:rPr>
        <w:t>3、我公司若中标，在签订合同之前，将按照建设行政主管部门的要求组建施工项目部，配置项目管理班子，出具任命文件。任命文件应当明确施工项目部的职责、岗位设置、人员配备，并书面通知</w:t>
      </w:r>
      <w:r>
        <w:rPr>
          <w:rFonts w:hint="eastAsia" w:ascii="宋体" w:hAnsi="宋体"/>
          <w:szCs w:val="21"/>
          <w:lang w:eastAsia="zh-CN"/>
        </w:rPr>
        <w:t>贵单位</w:t>
      </w:r>
      <w:r>
        <w:rPr>
          <w:rFonts w:hint="eastAsia" w:ascii="宋体" w:hAnsi="宋体"/>
          <w:szCs w:val="21"/>
        </w:rPr>
        <w:t>。相关岗位管理人员应持有建设行政主管部门要求的岗位证书，并提供我公司为其缴纳的养老保险证明材料。中标后不能满足该要求的，</w:t>
      </w:r>
      <w:r>
        <w:rPr>
          <w:rFonts w:hint="eastAsia" w:ascii="宋体" w:hAnsi="宋体"/>
          <w:szCs w:val="21"/>
          <w:lang w:val="en-US" w:eastAsia="zh-CN"/>
        </w:rPr>
        <w:t>贵单位可</w:t>
      </w:r>
      <w:r>
        <w:rPr>
          <w:rFonts w:hint="eastAsia" w:ascii="宋体" w:hAnsi="宋体"/>
          <w:szCs w:val="21"/>
        </w:rPr>
        <w:t>取消我公司中标资格，给</w:t>
      </w:r>
      <w:r>
        <w:rPr>
          <w:rFonts w:hint="eastAsia" w:ascii="宋体" w:hAnsi="宋体"/>
          <w:szCs w:val="21"/>
          <w:lang w:eastAsia="zh-CN"/>
        </w:rPr>
        <w:t>贵单位</w:t>
      </w:r>
      <w:r>
        <w:rPr>
          <w:rFonts w:hint="eastAsia" w:ascii="宋体" w:hAnsi="宋体"/>
          <w:szCs w:val="21"/>
        </w:rPr>
        <w:t>造成损失的，我公司依法承担违约赔偿责任。</w:t>
      </w:r>
    </w:p>
    <w:p>
      <w:pPr>
        <w:snapToGrid w:val="0"/>
        <w:spacing w:line="380" w:lineRule="exact"/>
        <w:ind w:firstLine="420" w:firstLineChars="200"/>
        <w:rPr>
          <w:rFonts w:ascii="宋体" w:hAnsi="宋体"/>
          <w:szCs w:val="21"/>
        </w:rPr>
      </w:pPr>
      <w:r>
        <w:rPr>
          <w:rFonts w:hint="eastAsia" w:ascii="宋体" w:hAnsi="宋体"/>
          <w:szCs w:val="21"/>
        </w:rPr>
        <w:t>4、我公司在资格审查部分</w:t>
      </w:r>
      <w:r>
        <w:rPr>
          <w:rFonts w:hint="eastAsia" w:ascii="宋体" w:hAnsi="宋体"/>
          <w:szCs w:val="21"/>
          <w:lang w:val="en-US" w:eastAsia="zh-CN"/>
        </w:rPr>
        <w:t>和商务部分</w:t>
      </w:r>
      <w:r>
        <w:rPr>
          <w:rFonts w:hint="eastAsia" w:ascii="宋体" w:hAnsi="宋体"/>
          <w:szCs w:val="21"/>
        </w:rPr>
        <w:t>中提供的相关证明材料真实有效，不存在弄虚作假情形。</w:t>
      </w:r>
      <w:r>
        <w:rPr>
          <w:rFonts w:hint="eastAsia" w:ascii="宋体" w:hAnsi="宋体"/>
          <w:szCs w:val="21"/>
          <w:u w:val="single"/>
        </w:rPr>
        <w:t>贵单位在合同签订前均有权对我公司提供的资料进行核实，若发现弄虚作假，按相关规定取消我公司中标资格，并按相关法律法规报招标投标监督部门，</w:t>
      </w:r>
      <w:r>
        <w:rPr>
          <w:rFonts w:hint="eastAsia" w:ascii="宋体" w:hAnsi="宋体"/>
          <w:szCs w:val="21"/>
          <w:highlight w:val="none"/>
          <w:u w:val="single"/>
        </w:rPr>
        <w:t>投标保证金</w:t>
      </w:r>
      <w:r>
        <w:rPr>
          <w:rFonts w:hint="eastAsia" w:ascii="宋体" w:hAnsi="宋体"/>
          <w:szCs w:val="21"/>
          <w:highlight w:val="none"/>
          <w:u w:val="single"/>
          <w:lang w:val="en-US" w:eastAsia="zh-CN"/>
        </w:rPr>
        <w:t>以现金形式交纳的</w:t>
      </w:r>
      <w:r>
        <w:rPr>
          <w:rFonts w:hint="eastAsia" w:ascii="宋体" w:hAnsi="宋体"/>
          <w:szCs w:val="21"/>
          <w:highlight w:val="none"/>
          <w:u w:val="single"/>
        </w:rPr>
        <w:t>不予退还，</w:t>
      </w:r>
      <w:r>
        <w:rPr>
          <w:rFonts w:hint="eastAsia" w:asciiTheme="minorEastAsia" w:hAnsiTheme="minorEastAsia" w:eastAsiaTheme="minorEastAsia" w:cstheme="minorEastAsia"/>
          <w:szCs w:val="21"/>
          <w:highlight w:val="none"/>
          <w:u w:val="single"/>
        </w:rPr>
        <w:t>以保函形式交纳的由保函开立人支付保函担保的与投标保证金等额的款项，</w:t>
      </w:r>
      <w:r>
        <w:rPr>
          <w:rFonts w:hint="eastAsia" w:ascii="宋体" w:hAnsi="宋体"/>
          <w:szCs w:val="21"/>
          <w:highlight w:val="none"/>
          <w:u w:val="single"/>
        </w:rPr>
        <w:t>我</w:t>
      </w:r>
      <w:r>
        <w:rPr>
          <w:rFonts w:hint="eastAsia" w:ascii="宋体" w:hAnsi="宋体"/>
          <w:szCs w:val="21"/>
          <w:u w:val="single"/>
        </w:rPr>
        <w:t>公司自愿承担因此造成的相关责任并赔偿相应损失</w:t>
      </w:r>
      <w:r>
        <w:rPr>
          <w:rFonts w:hint="eastAsia" w:ascii="宋体" w:hAnsi="宋体"/>
          <w:szCs w:val="21"/>
        </w:rPr>
        <w:t>。</w:t>
      </w:r>
    </w:p>
    <w:p>
      <w:pPr>
        <w:snapToGrid w:val="0"/>
        <w:spacing w:line="400" w:lineRule="exact"/>
        <w:ind w:firstLine="420" w:firstLineChars="200"/>
        <w:rPr>
          <w:rFonts w:ascii="宋体" w:hAnsi="宋体" w:cs="宋体"/>
          <w:kern w:val="0"/>
          <w:highlight w:val="none"/>
          <w:u w:val="single"/>
        </w:rPr>
      </w:pPr>
      <w:r>
        <w:rPr>
          <w:rFonts w:hint="eastAsia" w:ascii="宋体" w:hAnsi="宋体"/>
          <w:szCs w:val="21"/>
          <w:highlight w:val="none"/>
        </w:rPr>
        <w:t>5、</w:t>
      </w:r>
      <w:r>
        <w:rPr>
          <w:rFonts w:hint="eastAsia" w:ascii="宋体" w:hAnsi="宋体" w:cs="宋体"/>
          <w:kern w:val="0"/>
          <w:highlight w:val="none"/>
          <w:u w:val="single"/>
        </w:rPr>
        <w:t>已标价工程量清单满足第二章“投标人须知前附表”第3.2款第12条要求：</w:t>
      </w:r>
    </w:p>
    <w:p>
      <w:pPr>
        <w:snapToGrid w:val="0"/>
        <w:spacing w:line="400" w:lineRule="exact"/>
        <w:ind w:firstLine="420" w:firstLineChars="200"/>
        <w:rPr>
          <w:rFonts w:ascii="宋体" w:hAnsi="宋体" w:cs="宋体"/>
          <w:kern w:val="0"/>
          <w:highlight w:val="none"/>
          <w:u w:val="single"/>
        </w:rPr>
      </w:pPr>
      <w:r>
        <w:rPr>
          <w:rFonts w:hint="eastAsia" w:ascii="宋体" w:hAnsi="宋体" w:cs="宋体"/>
          <w:kern w:val="0"/>
          <w:highlight w:val="none"/>
          <w:u w:val="single"/>
        </w:rPr>
        <w:t>（1）按照招标文件第二章3.2“投标报价”、第五章“工程量清单”的规定进行报价。</w:t>
      </w:r>
    </w:p>
    <w:p>
      <w:pPr>
        <w:snapToGrid w:val="0"/>
        <w:spacing w:line="400" w:lineRule="exact"/>
        <w:ind w:firstLine="420" w:firstLineChars="200"/>
        <w:rPr>
          <w:rFonts w:ascii="宋体" w:hAnsi="宋体" w:cs="宋体"/>
          <w:kern w:val="0"/>
          <w:highlight w:val="none"/>
          <w:u w:val="single"/>
        </w:rPr>
      </w:pPr>
      <w:r>
        <w:rPr>
          <w:rFonts w:hint="eastAsia" w:ascii="宋体" w:hAnsi="宋体" w:cs="宋体"/>
          <w:kern w:val="0"/>
          <w:highlight w:val="none"/>
          <w:u w:val="single"/>
        </w:rPr>
        <w:t>（2）招标文件中规定工程量清单不允许修改的内容不得修改。</w:t>
      </w:r>
    </w:p>
    <w:p>
      <w:pPr>
        <w:snapToGrid w:val="0"/>
        <w:spacing w:line="400" w:lineRule="exact"/>
        <w:ind w:firstLine="420" w:firstLineChars="200"/>
        <w:rPr>
          <w:rFonts w:ascii="宋体" w:hAnsi="宋体" w:cs="宋体"/>
          <w:szCs w:val="21"/>
          <w:highlight w:val="none"/>
          <w:u w:val="single"/>
        </w:rPr>
      </w:pPr>
      <w:r>
        <w:rPr>
          <w:rFonts w:hint="eastAsia" w:ascii="宋体" w:hAnsi="宋体" w:cs="宋体"/>
          <w:kern w:val="0"/>
          <w:highlight w:val="none"/>
          <w:u w:val="single"/>
        </w:rPr>
        <w:t>（</w:t>
      </w:r>
      <w:r>
        <w:rPr>
          <w:rFonts w:ascii="宋体" w:hAnsi="宋体" w:cs="宋体"/>
          <w:kern w:val="0"/>
          <w:highlight w:val="none"/>
          <w:u w:val="single"/>
        </w:rPr>
        <w:t>3</w:t>
      </w:r>
      <w:r>
        <w:rPr>
          <w:rFonts w:hint="eastAsia" w:ascii="宋体" w:hAnsi="宋体" w:cs="宋体"/>
          <w:kern w:val="0"/>
          <w:highlight w:val="none"/>
          <w:u w:val="single"/>
        </w:rPr>
        <w:t>）若出现差错，按招标文件第二章投标人须知前附表第3.2款的第11条规定的原则进行处理（或结算）。</w:t>
      </w:r>
    </w:p>
    <w:p>
      <w:pPr>
        <w:snapToGrid w:val="0"/>
        <w:spacing w:line="380" w:lineRule="exact"/>
        <w:ind w:firstLine="420" w:firstLineChars="200"/>
        <w:rPr>
          <w:rFonts w:ascii="宋体" w:hAnsi="宋体"/>
          <w:szCs w:val="21"/>
        </w:rPr>
      </w:pPr>
      <w:r>
        <w:rPr>
          <w:rFonts w:hint="eastAsia" w:ascii="宋体" w:hAnsi="宋体"/>
          <w:szCs w:val="21"/>
        </w:rPr>
        <w:t>6、我公司不存在第二章 投标人须知第 1.4.3 项规定的任何一种情形。</w:t>
      </w:r>
    </w:p>
    <w:p>
      <w:pPr>
        <w:snapToGrid w:val="0"/>
        <w:spacing w:line="380" w:lineRule="exact"/>
        <w:ind w:firstLine="420" w:firstLineChars="200"/>
        <w:rPr>
          <w:rFonts w:ascii="宋体" w:hAnsi="宋体"/>
          <w:szCs w:val="21"/>
        </w:rPr>
      </w:pPr>
      <w:r>
        <w:rPr>
          <w:rFonts w:hint="eastAsia" w:ascii="宋体" w:hAnsi="宋体"/>
          <w:szCs w:val="21"/>
        </w:rPr>
        <w:t>7、我公司的投标文件符合第二章 投标人须知第 1.3.1 项的规定。</w:t>
      </w:r>
    </w:p>
    <w:p>
      <w:pPr>
        <w:snapToGrid w:val="0"/>
        <w:spacing w:line="380" w:lineRule="exact"/>
        <w:ind w:firstLine="420" w:firstLineChars="200"/>
        <w:rPr>
          <w:rFonts w:ascii="宋体" w:hAnsi="宋体"/>
          <w:szCs w:val="21"/>
        </w:rPr>
      </w:pPr>
      <w:r>
        <w:rPr>
          <w:rFonts w:hint="eastAsia" w:ascii="宋体" w:hAnsi="宋体"/>
          <w:szCs w:val="21"/>
        </w:rPr>
        <w:t>8、我公司的投标文件符合第四章 合同条款及格式规定，投标文件中没有贵单位不能接受的条件。</w:t>
      </w:r>
    </w:p>
    <w:p>
      <w:pPr>
        <w:snapToGrid w:val="0"/>
        <w:spacing w:line="380" w:lineRule="exact"/>
        <w:ind w:firstLine="420" w:firstLineChars="200"/>
        <w:rPr>
          <w:rFonts w:ascii="宋体" w:hAnsi="宋体"/>
          <w:szCs w:val="21"/>
        </w:rPr>
      </w:pPr>
      <w:r>
        <w:rPr>
          <w:rFonts w:hint="eastAsia" w:ascii="宋体" w:hAnsi="宋体"/>
          <w:szCs w:val="21"/>
        </w:rPr>
        <w:t>9、我公司的投标文件符合第七章 技术标准和要求（如有）。</w:t>
      </w:r>
    </w:p>
    <w:p>
      <w:pPr>
        <w:snapToGrid w:val="0"/>
        <w:spacing w:line="380" w:lineRule="exact"/>
        <w:ind w:firstLine="420" w:firstLineChars="200"/>
      </w:pPr>
      <w:r>
        <w:rPr>
          <w:rFonts w:hint="eastAsia" w:ascii="宋体" w:hAnsi="宋体"/>
          <w:szCs w:val="21"/>
        </w:rPr>
        <w:t>10、我公司接受招标文件中关于“不平衡报价”的相关约定（如有）。</w:t>
      </w:r>
    </w:p>
    <w:p>
      <w:pPr>
        <w:snapToGrid w:val="0"/>
        <w:spacing w:line="380" w:lineRule="exact"/>
        <w:ind w:firstLine="420" w:firstLineChars="200"/>
        <w:rPr>
          <w:rFonts w:ascii="宋体" w:hAnsi="宋体"/>
          <w:szCs w:val="21"/>
        </w:rPr>
      </w:pPr>
      <w:r>
        <w:rPr>
          <w:rFonts w:hint="eastAsia" w:ascii="宋体" w:hAnsi="宋体"/>
          <w:szCs w:val="21"/>
        </w:rPr>
        <w:t>11、我公司接受招标文件中关于“不允许负数报价”的相关要求（如有）。</w:t>
      </w:r>
    </w:p>
    <w:p>
      <w:pPr>
        <w:snapToGrid w:val="0"/>
        <w:spacing w:line="380" w:lineRule="exact"/>
        <w:ind w:firstLine="420" w:firstLineChars="200"/>
        <w:rPr>
          <w:rFonts w:ascii="宋体" w:hAnsi="宋体"/>
          <w:szCs w:val="21"/>
        </w:rPr>
      </w:pPr>
    </w:p>
    <w:p>
      <w:pPr>
        <w:tabs>
          <w:tab w:val="left" w:pos="4200"/>
          <w:tab w:val="left" w:pos="4620"/>
        </w:tabs>
        <w:autoSpaceDE w:val="0"/>
        <w:autoSpaceDN w:val="0"/>
        <w:adjustRightInd w:val="0"/>
        <w:snapToGrid w:val="0"/>
        <w:spacing w:line="380" w:lineRule="exact"/>
        <w:ind w:firstLine="420" w:firstLineChars="200"/>
        <w:jc w:val="left"/>
        <w:rPr>
          <w:rFonts w:ascii="宋体" w:hAnsi="宋体"/>
          <w:kern w:val="0"/>
          <w:szCs w:val="21"/>
        </w:rPr>
      </w:pPr>
      <w:r>
        <w:rPr>
          <w:rFonts w:ascii="宋体" w:hAnsi="宋体"/>
          <w:kern w:val="0"/>
          <w:szCs w:val="21"/>
        </w:rPr>
        <w:t>投  标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pPr>
        <w:tabs>
          <w:tab w:val="left" w:pos="6300"/>
        </w:tabs>
        <w:autoSpaceDE w:val="0"/>
        <w:autoSpaceDN w:val="0"/>
        <w:adjustRightInd w:val="0"/>
        <w:snapToGrid w:val="0"/>
        <w:spacing w:line="380" w:lineRule="exact"/>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pPr>
        <w:snapToGrid w:val="0"/>
        <w:spacing w:line="380" w:lineRule="exact"/>
        <w:ind w:firstLine="420" w:firstLineChars="200"/>
        <w:jc w:val="right"/>
        <w:rPr>
          <w:rFonts w:ascii="宋体" w:hAnsi="宋体"/>
          <w:kern w:val="0"/>
          <w:szCs w:val="21"/>
          <w:u w:val="single"/>
        </w:rPr>
      </w:pPr>
    </w:p>
    <w:p>
      <w:pPr>
        <w:snapToGrid w:val="0"/>
        <w:spacing w:line="380" w:lineRule="exact"/>
        <w:ind w:firstLine="420" w:firstLineChars="200"/>
        <w:jc w:val="right"/>
        <w:rPr>
          <w:rFonts w:ascii="宋体" w:hAnsi="宋体"/>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p>
      <w:r>
        <w:br w:type="page"/>
      </w:r>
    </w:p>
    <w:p>
      <w:pPr>
        <w:pStyle w:val="5"/>
        <w:spacing w:before="0" w:line="360" w:lineRule="auto"/>
        <w:jc w:val="center"/>
        <w:outlineLvl w:val="0"/>
        <w:rPr>
          <w:rFonts w:ascii="宋体" w:hAnsi="宋体"/>
        </w:rPr>
      </w:pPr>
      <w:bookmarkStart w:id="2317" w:name="_Toc23911"/>
      <w:bookmarkStart w:id="2318" w:name="_Toc18559"/>
      <w:bookmarkStart w:id="2319" w:name="_Toc4851"/>
      <w:r>
        <w:rPr>
          <w:rFonts w:hint="eastAsia" w:ascii="宋体" w:hAnsi="宋体"/>
          <w:b w:val="0"/>
        </w:rPr>
        <w:t>（八）其他资料</w:t>
      </w:r>
      <w:bookmarkEnd w:id="2317"/>
      <w:bookmarkEnd w:id="2318"/>
      <w:bookmarkEnd w:id="2319"/>
    </w:p>
    <w:bookmarkEnd w:id="747"/>
    <w:bookmarkEnd w:id="748"/>
    <w:bookmarkEnd w:id="749"/>
    <w:p>
      <w:pPr>
        <w:spacing w:line="360" w:lineRule="auto"/>
        <w:ind w:firstLine="420" w:firstLineChars="200"/>
        <w:outlineLvl w:val="1"/>
        <w:rPr>
          <w:rFonts w:ascii="宋体" w:hAnsi="宋体"/>
          <w:szCs w:val="21"/>
        </w:rPr>
      </w:pPr>
      <w:bookmarkStart w:id="2320" w:name="_Toc26250"/>
      <w:bookmarkStart w:id="2321" w:name="_Toc3596"/>
      <w:r>
        <w:rPr>
          <w:rFonts w:hint="eastAsia" w:ascii="宋体" w:hAnsi="宋体"/>
          <w:szCs w:val="21"/>
        </w:rPr>
        <w:t>1. 投标保证金</w:t>
      </w:r>
      <w:bookmarkEnd w:id="2320"/>
      <w:bookmarkEnd w:id="2321"/>
    </w:p>
    <w:p>
      <w:pPr>
        <w:spacing w:line="360" w:lineRule="auto"/>
        <w:ind w:firstLine="420" w:firstLineChars="200"/>
        <w:rPr>
          <w:rFonts w:hint="eastAsia" w:ascii="宋体" w:hAnsi="宋体"/>
          <w:i/>
          <w:szCs w:val="21"/>
          <w:lang w:val="en-US" w:eastAsia="zh-CN"/>
        </w:rPr>
      </w:pPr>
      <w:r>
        <w:rPr>
          <w:rFonts w:hint="eastAsia" w:ascii="宋体" w:hAnsi="宋体"/>
          <w:i/>
          <w:szCs w:val="21"/>
          <w:lang w:val="en-US" w:eastAsia="zh-CN"/>
        </w:rPr>
        <w:t>(注</w:t>
      </w:r>
      <w:r>
        <w:rPr>
          <w:rFonts w:hint="eastAsia" w:ascii="宋体" w:hAnsi="宋体"/>
          <w:i/>
          <w:szCs w:val="21"/>
        </w:rPr>
        <w:t>：以转账支票或电汇形式交纳投标保证金的提供以下资料</w:t>
      </w:r>
      <w:r>
        <w:rPr>
          <w:rFonts w:hint="eastAsia" w:ascii="宋体" w:hAnsi="宋体"/>
          <w:i/>
          <w:szCs w:val="21"/>
          <w:lang w:val="en-US" w:eastAsia="zh-CN"/>
        </w:rPr>
        <w:t>)</w:t>
      </w:r>
    </w:p>
    <w:p>
      <w:pPr>
        <w:spacing w:line="360" w:lineRule="auto"/>
        <w:ind w:firstLine="420" w:firstLineChars="200"/>
        <w:rPr>
          <w:rFonts w:ascii="宋体" w:hAnsi="宋体"/>
          <w:szCs w:val="21"/>
        </w:rPr>
      </w:pPr>
      <w:r>
        <w:rPr>
          <w:rFonts w:hint="eastAsia" w:ascii="宋体" w:hAnsi="宋体"/>
          <w:szCs w:val="21"/>
        </w:rPr>
        <w:t>（1）企业基本账户开户证明文件。</w:t>
      </w:r>
    </w:p>
    <w:p>
      <w:pPr>
        <w:rPr>
          <w:rFonts w:ascii="宋体" w:hAnsi="宋体"/>
          <w:i/>
          <w:szCs w:val="21"/>
        </w:rPr>
      </w:pPr>
      <w:r>
        <w:rPr>
          <w:rFonts w:hint="eastAsia" w:ascii="宋体" w:hAnsi="宋体"/>
          <w:i/>
          <w:szCs w:val="21"/>
        </w:rPr>
        <w:br w:type="page"/>
      </w:r>
    </w:p>
    <w:p>
      <w:pPr>
        <w:spacing w:line="360" w:lineRule="auto"/>
        <w:ind w:firstLine="420" w:firstLineChars="200"/>
        <w:rPr>
          <w:rFonts w:hint="eastAsia" w:ascii="宋体" w:hAnsi="宋体"/>
          <w:i/>
          <w:szCs w:val="21"/>
          <w:lang w:val="en-US" w:eastAsia="zh-CN"/>
        </w:rPr>
      </w:pPr>
      <w:r>
        <w:rPr>
          <w:rFonts w:hint="eastAsia" w:ascii="宋体" w:hAnsi="宋体"/>
          <w:i/>
          <w:szCs w:val="21"/>
          <w:lang w:val="en-US" w:eastAsia="zh-CN"/>
        </w:rPr>
        <w:t>(注</w:t>
      </w:r>
      <w:r>
        <w:rPr>
          <w:rFonts w:hint="eastAsia" w:ascii="宋体" w:hAnsi="宋体"/>
          <w:i/>
          <w:szCs w:val="21"/>
        </w:rPr>
        <w:t>：以纸质投标保函形式交纳投标保证金的提供以下资料</w:t>
      </w:r>
      <w:r>
        <w:rPr>
          <w:rFonts w:hint="eastAsia" w:ascii="宋体" w:hAnsi="宋体"/>
          <w:i/>
          <w:szCs w:val="21"/>
          <w:lang w:val="en-US" w:eastAsia="zh-CN"/>
        </w:rPr>
        <w:t>)</w:t>
      </w:r>
    </w:p>
    <w:p>
      <w:pPr>
        <w:spacing w:line="360" w:lineRule="auto"/>
        <w:ind w:firstLine="420" w:firstLineChars="200"/>
        <w:rPr>
          <w:rFonts w:ascii="宋体" w:hAnsi="宋体" w:cs="宋体"/>
          <w:szCs w:val="21"/>
        </w:rPr>
      </w:pPr>
      <w:r>
        <w:rPr>
          <w:rFonts w:hint="eastAsia" w:ascii="宋体" w:hAnsi="宋体"/>
          <w:szCs w:val="21"/>
        </w:rPr>
        <w:t>（1）纸质投标保函（如有）；</w:t>
      </w:r>
    </w:p>
    <w:p>
      <w:pPr>
        <w:spacing w:line="580" w:lineRule="exact"/>
        <w:jc w:val="center"/>
        <w:rPr>
          <w:rFonts w:ascii="宋体" w:hAnsi="宋体" w:cs="宋体"/>
          <w:b/>
          <w:bCs/>
          <w:szCs w:val="21"/>
        </w:rPr>
      </w:pPr>
      <w:r>
        <w:rPr>
          <w:rFonts w:hint="eastAsia" w:ascii="宋体" w:hAnsi="宋体" w:cs="宋体"/>
          <w:b/>
          <w:bCs/>
          <w:szCs w:val="21"/>
        </w:rPr>
        <w:t>投标保函示范文本</w:t>
      </w:r>
    </w:p>
    <w:p>
      <w:pPr>
        <w:rPr>
          <w:rFonts w:ascii="宋体" w:hAnsi="宋体" w:cs="宋体"/>
          <w:b/>
          <w:bCs/>
          <w:szCs w:val="21"/>
        </w:rPr>
      </w:pPr>
    </w:p>
    <w:p>
      <w:pPr>
        <w:overflowPunct w:val="0"/>
        <w:spacing w:line="360" w:lineRule="auto"/>
        <w:ind w:firstLine="420" w:firstLineChars="200"/>
        <w:rPr>
          <w:rFonts w:ascii="宋体" w:hAnsi="宋体" w:cs="宋体"/>
          <w:szCs w:val="21"/>
        </w:rPr>
      </w:pPr>
      <w:r>
        <w:rPr>
          <w:rFonts w:hint="eastAsia" w:ascii="宋体" w:hAnsi="宋体" w:cs="宋体"/>
          <w:szCs w:val="21"/>
        </w:rPr>
        <w:t>申请人：</w:t>
      </w:r>
    </w:p>
    <w:p>
      <w:pPr>
        <w:overflowPunct w:val="0"/>
        <w:spacing w:line="360" w:lineRule="auto"/>
        <w:ind w:firstLine="420" w:firstLineChars="200"/>
        <w:rPr>
          <w:rFonts w:ascii="宋体" w:hAnsi="宋体" w:cs="宋体"/>
          <w:szCs w:val="21"/>
        </w:rPr>
      </w:pPr>
      <w:r>
        <w:rPr>
          <w:rFonts w:hint="eastAsia" w:ascii="宋体" w:hAnsi="宋体" w:cs="宋体"/>
          <w:szCs w:val="21"/>
        </w:rPr>
        <w:t>地  址：</w:t>
      </w:r>
    </w:p>
    <w:p>
      <w:pPr>
        <w:overflowPunct w:val="0"/>
        <w:spacing w:line="360" w:lineRule="auto"/>
        <w:ind w:firstLine="420" w:firstLineChars="200"/>
        <w:rPr>
          <w:rFonts w:ascii="宋体" w:hAnsi="宋体" w:cs="宋体"/>
          <w:szCs w:val="21"/>
        </w:rPr>
      </w:pPr>
      <w:r>
        <w:rPr>
          <w:rFonts w:hint="eastAsia" w:ascii="宋体" w:hAnsi="宋体" w:cs="宋体"/>
          <w:szCs w:val="21"/>
        </w:rPr>
        <w:t>受益人：</w:t>
      </w:r>
    </w:p>
    <w:p>
      <w:pPr>
        <w:overflowPunct w:val="0"/>
        <w:spacing w:line="360" w:lineRule="auto"/>
        <w:ind w:firstLine="420" w:firstLineChars="200"/>
        <w:rPr>
          <w:rFonts w:ascii="宋体" w:hAnsi="宋体" w:cs="宋体"/>
          <w:szCs w:val="21"/>
        </w:rPr>
      </w:pPr>
      <w:r>
        <w:rPr>
          <w:rFonts w:hint="eastAsia" w:ascii="宋体" w:hAnsi="宋体" w:cs="宋体"/>
          <w:szCs w:val="21"/>
        </w:rPr>
        <w:t>地  址：</w:t>
      </w:r>
    </w:p>
    <w:p>
      <w:pPr>
        <w:overflowPunct w:val="0"/>
        <w:spacing w:line="360" w:lineRule="auto"/>
        <w:ind w:firstLine="420" w:firstLineChars="200"/>
        <w:rPr>
          <w:rFonts w:ascii="宋体" w:hAnsi="宋体" w:cs="宋体"/>
          <w:szCs w:val="21"/>
        </w:rPr>
      </w:pPr>
      <w:r>
        <w:rPr>
          <w:rFonts w:hint="eastAsia" w:ascii="宋体" w:hAnsi="宋体" w:cs="宋体"/>
          <w:szCs w:val="21"/>
        </w:rPr>
        <w:t>开立人：</w:t>
      </w:r>
    </w:p>
    <w:p>
      <w:pPr>
        <w:overflowPunct w:val="0"/>
        <w:spacing w:line="360" w:lineRule="auto"/>
        <w:ind w:firstLine="420" w:firstLineChars="200"/>
        <w:rPr>
          <w:rFonts w:ascii="宋体" w:hAnsi="宋体" w:cs="宋体"/>
          <w:szCs w:val="21"/>
        </w:rPr>
      </w:pPr>
      <w:r>
        <w:rPr>
          <w:rFonts w:hint="eastAsia" w:ascii="宋体" w:hAnsi="宋体" w:cs="宋体"/>
          <w:szCs w:val="21"/>
        </w:rPr>
        <w:t>地  址：</w:t>
      </w:r>
    </w:p>
    <w:p>
      <w:pPr>
        <w:overflowPunct w:val="0"/>
        <w:spacing w:line="360" w:lineRule="auto"/>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（受益人名称）：</w:t>
      </w:r>
    </w:p>
    <w:p>
      <w:pPr>
        <w:overflowPunct w:val="0"/>
        <w:spacing w:line="360" w:lineRule="auto"/>
        <w:ind w:firstLine="396" w:firstLineChars="200"/>
        <w:rPr>
          <w:rFonts w:ascii="宋体" w:hAnsi="宋体" w:cs="宋体"/>
          <w:spacing w:val="-6"/>
          <w:kern w:val="0"/>
          <w:szCs w:val="21"/>
        </w:rPr>
      </w:pPr>
      <w:r>
        <w:rPr>
          <w:rFonts w:hint="eastAsia" w:ascii="宋体" w:hAnsi="宋体" w:cs="宋体"/>
          <w:spacing w:val="-6"/>
          <w:kern w:val="0"/>
          <w:szCs w:val="21"/>
        </w:rPr>
        <w:t>我方（即“开立人”）已获得通知，本保函申请人（即“投标人”）已响应贵方于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pacing w:val="-6"/>
          <w:kern w:val="0"/>
          <w:szCs w:val="21"/>
        </w:rPr>
        <w:t>就</w:t>
      </w:r>
      <w:r>
        <w:rPr>
          <w:rFonts w:hint="eastAsia" w:ascii="宋体" w:hAnsi="宋体" w:cs="宋体"/>
          <w:spacing w:val="-6"/>
          <w:kern w:val="0"/>
          <w:szCs w:val="21"/>
          <w:u w:val="single"/>
        </w:rPr>
        <w:t xml:space="preserve">                   </w:t>
      </w:r>
      <w:r>
        <w:rPr>
          <w:rFonts w:hint="eastAsia" w:ascii="宋体" w:hAnsi="宋体" w:cs="宋体"/>
          <w:spacing w:val="-6"/>
          <w:kern w:val="0"/>
          <w:szCs w:val="21"/>
        </w:rPr>
        <w:t>（以下简称“本工程”）发出的招标文件以及后续发布的答疑补遗文件，并拟向招标人（即“受益人”）提交投标文件（即“基础交易”）。</w:t>
      </w:r>
    </w:p>
    <w:p>
      <w:pPr>
        <w:overflowPunct w:val="0"/>
        <w:spacing w:line="360" w:lineRule="auto"/>
        <w:ind w:firstLine="420" w:firstLineChars="200"/>
        <w:rPr>
          <w:rFonts w:ascii="宋体" w:hAnsi="宋体" w:cs="宋体"/>
          <w:kern w:val="0"/>
          <w:szCs w:val="21"/>
        </w:rPr>
      </w:pPr>
      <w:r>
        <w:rPr>
          <w:rFonts w:hint="eastAsia" w:ascii="宋体" w:hAnsi="宋体" w:cs="宋体"/>
          <w:kern w:val="0"/>
          <w:szCs w:val="21"/>
        </w:rPr>
        <w:t>一、我方理解根据招标条件，投标人必须提交一份投标保函（以下简称“本保函”），以担保投标人诚信履行其在上述基础交易中承担的投标人义务。鉴此，应申请人要求，我方在此同意向贵方出具此投标保函，本保函担保金额为人民币（大写）</w:t>
      </w:r>
      <w:r>
        <w:rPr>
          <w:rFonts w:hint="eastAsia" w:ascii="宋体" w:hAnsi="宋体" w:cs="宋体"/>
          <w:kern w:val="0"/>
          <w:szCs w:val="21"/>
          <w:u w:val="single"/>
        </w:rPr>
        <w:t xml:space="preserve">    </w:t>
      </w:r>
      <w:r>
        <w:rPr>
          <w:rFonts w:hint="eastAsia" w:ascii="宋体" w:hAnsi="宋体" w:cs="宋体"/>
          <w:kern w:val="0"/>
          <w:szCs w:val="21"/>
        </w:rPr>
        <w:t>元（¥</w:t>
      </w:r>
      <w:r>
        <w:rPr>
          <w:rFonts w:hint="eastAsia" w:ascii="宋体" w:hAnsi="宋体" w:cs="宋体"/>
          <w:kern w:val="0"/>
          <w:szCs w:val="21"/>
          <w:u w:val="single"/>
        </w:rPr>
        <w:t xml:space="preserve">        </w:t>
      </w:r>
      <w:r>
        <w:rPr>
          <w:rFonts w:hint="eastAsia" w:ascii="宋体" w:hAnsi="宋体" w:cs="宋体"/>
          <w:kern w:val="0"/>
          <w:szCs w:val="21"/>
        </w:rPr>
        <w:t>）。</w:t>
      </w:r>
    </w:p>
    <w:p>
      <w:pPr>
        <w:overflowPunct w:val="0"/>
        <w:spacing w:line="360" w:lineRule="auto"/>
        <w:ind w:firstLine="420" w:firstLineChars="200"/>
        <w:rPr>
          <w:rFonts w:ascii="宋体" w:hAnsi="宋体" w:cs="宋体"/>
          <w:szCs w:val="21"/>
        </w:rPr>
      </w:pPr>
      <w:r>
        <w:rPr>
          <w:rFonts w:hint="eastAsia" w:ascii="宋体" w:hAnsi="宋体" w:cs="宋体"/>
          <w:szCs w:val="21"/>
        </w:rPr>
        <w:t>二、我方在投标人发生以下情形时承担保证担保责任：</w:t>
      </w:r>
    </w:p>
    <w:p>
      <w:pPr>
        <w:overflowPunct w:val="0"/>
        <w:spacing w:line="360" w:lineRule="auto"/>
        <w:ind w:firstLine="420" w:firstLineChars="200"/>
        <w:rPr>
          <w:rFonts w:ascii="宋体" w:hAnsi="宋体" w:cs="宋体"/>
          <w:szCs w:val="21"/>
        </w:rPr>
      </w:pPr>
      <w:r>
        <w:rPr>
          <w:rFonts w:hint="eastAsia" w:ascii="宋体" w:hAnsi="宋体" w:cs="宋体"/>
          <w:szCs w:val="21"/>
        </w:rPr>
        <w:t xml:space="preserve">（1）投标人在开标后至投标有效期满之前撤销投标的； </w:t>
      </w:r>
    </w:p>
    <w:p>
      <w:pPr>
        <w:overflowPunct w:val="0"/>
        <w:spacing w:line="360" w:lineRule="auto"/>
        <w:ind w:firstLine="420" w:firstLineChars="200"/>
        <w:rPr>
          <w:rFonts w:ascii="宋体" w:hAnsi="宋体" w:cs="宋体"/>
          <w:szCs w:val="21"/>
        </w:rPr>
      </w:pPr>
      <w:r>
        <w:rPr>
          <w:rFonts w:hint="eastAsia" w:ascii="宋体" w:hAnsi="宋体" w:cs="宋体"/>
          <w:szCs w:val="21"/>
        </w:rPr>
        <w:t xml:space="preserve">（2）投标人在收到中标通知后，不能或拒绝在中标通知书规定的时间内与贵方签订合同； </w:t>
      </w:r>
    </w:p>
    <w:p>
      <w:pPr>
        <w:overflowPunct w:val="0"/>
        <w:spacing w:line="360" w:lineRule="auto"/>
        <w:ind w:firstLine="420" w:firstLineChars="200"/>
        <w:rPr>
          <w:rFonts w:ascii="宋体" w:hAnsi="宋体" w:cs="宋体"/>
          <w:szCs w:val="21"/>
        </w:rPr>
      </w:pPr>
      <w:r>
        <w:rPr>
          <w:rFonts w:hint="eastAsia" w:ascii="宋体" w:hAnsi="宋体" w:cs="宋体"/>
          <w:szCs w:val="21"/>
        </w:rPr>
        <w:t>（3）投标人在与贵方签订合同前，未在规定的时间内提交符合招标文件要求的履约担保；</w:t>
      </w:r>
    </w:p>
    <w:p>
      <w:pPr>
        <w:overflowPunct w:val="0"/>
        <w:spacing w:line="360" w:lineRule="auto"/>
        <w:ind w:firstLine="420" w:firstLineChars="200"/>
        <w:rPr>
          <w:rFonts w:ascii="宋体" w:hAnsi="宋体" w:cs="宋体"/>
          <w:szCs w:val="21"/>
        </w:rPr>
      </w:pPr>
      <w:r>
        <w:rPr>
          <w:rFonts w:hint="eastAsia" w:ascii="宋体" w:hAnsi="宋体" w:cs="宋体"/>
          <w:szCs w:val="21"/>
        </w:rPr>
        <w:t>（4）投标人违反招标文件规定的其他情形。</w:t>
      </w:r>
    </w:p>
    <w:p>
      <w:pPr>
        <w:overflowPunct w:val="0"/>
        <w:spacing w:line="360" w:lineRule="auto"/>
        <w:ind w:firstLine="420" w:firstLineChars="200"/>
        <w:rPr>
          <w:rFonts w:ascii="宋体" w:hAnsi="宋体" w:cs="宋体"/>
          <w:szCs w:val="21"/>
        </w:rPr>
      </w:pPr>
      <w:r>
        <w:rPr>
          <w:rFonts w:hint="eastAsia" w:ascii="宋体" w:hAnsi="宋体" w:cs="宋体"/>
          <w:szCs w:val="21"/>
        </w:rPr>
        <w:t>三、本保函为不可撤销、不可转让的见索即付保函。本保函有效期自开立之日起至投标有效期届满之日后的</w:t>
      </w:r>
      <w:r>
        <w:rPr>
          <w:rFonts w:hint="eastAsia" w:ascii="宋体" w:hAnsi="宋体" w:cs="宋体"/>
          <w:szCs w:val="21"/>
          <w:u w:val="single"/>
        </w:rPr>
        <w:t xml:space="preserve">    </w:t>
      </w:r>
      <w:r>
        <w:rPr>
          <w:rFonts w:hint="eastAsia" w:ascii="宋体" w:hAnsi="宋体" w:cs="宋体"/>
          <w:szCs w:val="21"/>
        </w:rPr>
        <w:t>日止（提示：建议30日）。投标有效期延长的，本保函有效期相应顺延，最迟不超过</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日（提示：建议按保函有效期不超过270日考虑）。</w:t>
      </w:r>
    </w:p>
    <w:p>
      <w:pPr>
        <w:overflowPunct w:val="0"/>
        <w:spacing w:line="360" w:lineRule="auto"/>
        <w:ind w:firstLine="420" w:firstLineChars="200"/>
        <w:rPr>
          <w:rFonts w:ascii="宋体" w:hAnsi="宋体" w:cs="宋体"/>
          <w:szCs w:val="21"/>
        </w:rPr>
      </w:pPr>
      <w:r>
        <w:rPr>
          <w:rFonts w:hint="eastAsia" w:ascii="宋体" w:hAnsi="宋体" w:cs="宋体"/>
          <w:szCs w:val="21"/>
        </w:rPr>
        <w:t>四、我方承诺，在收到受益人发来的书面索赔通知后的</w:t>
      </w:r>
      <w:r>
        <w:rPr>
          <w:rFonts w:hint="eastAsia" w:ascii="宋体" w:hAnsi="宋体" w:cs="宋体"/>
          <w:szCs w:val="21"/>
          <w:u w:val="single"/>
        </w:rPr>
        <w:t xml:space="preserve">   </w:t>
      </w:r>
      <w:r>
        <w:rPr>
          <w:rFonts w:hint="eastAsia" w:ascii="宋体" w:hAnsi="宋体" w:cs="宋体"/>
          <w:szCs w:val="21"/>
        </w:rPr>
        <w:t>个工作日（提示：建议10—15个工作日）内无条件支付，前述书面索赔通知即为付款要求之单据，且应满足以下要求：</w:t>
      </w:r>
    </w:p>
    <w:p>
      <w:pPr>
        <w:overflowPunct w:val="0"/>
        <w:spacing w:line="360" w:lineRule="auto"/>
        <w:ind w:firstLine="420" w:firstLineChars="200"/>
        <w:rPr>
          <w:rFonts w:ascii="宋体" w:hAnsi="宋体" w:cs="宋体"/>
          <w:szCs w:val="21"/>
        </w:rPr>
      </w:pPr>
      <w:r>
        <w:rPr>
          <w:rFonts w:hint="eastAsia" w:ascii="宋体" w:hAnsi="宋体" w:cs="宋体"/>
          <w:szCs w:val="21"/>
        </w:rPr>
        <w:t>（1）索赔通知到达的日期在本保函的有效期内；</w:t>
      </w:r>
    </w:p>
    <w:p>
      <w:pPr>
        <w:overflowPunct w:val="0"/>
        <w:spacing w:line="360" w:lineRule="auto"/>
        <w:ind w:firstLine="420" w:firstLineChars="200"/>
        <w:rPr>
          <w:rFonts w:ascii="宋体" w:hAnsi="宋体" w:cs="宋体"/>
          <w:szCs w:val="21"/>
        </w:rPr>
      </w:pPr>
      <w:r>
        <w:rPr>
          <w:rFonts w:hint="eastAsia" w:ascii="宋体" w:hAnsi="宋体" w:cs="宋体"/>
          <w:szCs w:val="21"/>
        </w:rPr>
        <w:t>（2）载明要求支付的金额；</w:t>
      </w:r>
    </w:p>
    <w:p>
      <w:pPr>
        <w:overflowPunct w:val="0"/>
        <w:spacing w:line="360" w:lineRule="auto"/>
        <w:ind w:firstLine="420" w:firstLineChars="200"/>
        <w:rPr>
          <w:rFonts w:ascii="宋体" w:hAnsi="宋体" w:cs="宋体"/>
          <w:szCs w:val="21"/>
        </w:rPr>
      </w:pPr>
      <w:r>
        <w:rPr>
          <w:rFonts w:hint="eastAsia" w:ascii="宋体" w:hAnsi="宋体" w:cs="宋体"/>
          <w:szCs w:val="21"/>
        </w:rPr>
        <w:t>（3）载明申请人违反招投标文件规定的义务内容和具体条款；</w:t>
      </w:r>
    </w:p>
    <w:p>
      <w:pPr>
        <w:overflowPunct w:val="0"/>
        <w:spacing w:line="360" w:lineRule="auto"/>
        <w:ind w:firstLine="420" w:firstLineChars="200"/>
        <w:rPr>
          <w:rFonts w:ascii="宋体" w:hAnsi="宋体" w:cs="宋体"/>
          <w:szCs w:val="21"/>
        </w:rPr>
      </w:pPr>
      <w:r>
        <w:rPr>
          <w:rFonts w:hint="eastAsia" w:ascii="宋体" w:hAnsi="宋体" w:cs="宋体"/>
          <w:szCs w:val="21"/>
        </w:rPr>
        <w:t>（4）声明不存在招标文件规定免除申请人或我方支付责任的情形；</w:t>
      </w:r>
    </w:p>
    <w:p>
      <w:pPr>
        <w:overflowPunct w:val="0"/>
        <w:spacing w:line="360" w:lineRule="auto"/>
        <w:ind w:firstLine="420" w:firstLineChars="200"/>
        <w:rPr>
          <w:rFonts w:ascii="宋体" w:hAnsi="宋体" w:cs="宋体"/>
          <w:szCs w:val="21"/>
        </w:rPr>
      </w:pPr>
      <w:r>
        <w:rPr>
          <w:rFonts w:hint="eastAsia" w:ascii="宋体" w:hAnsi="宋体" w:cs="宋体"/>
          <w:szCs w:val="21"/>
        </w:rPr>
        <w:t>（5）索赔通知应在本保函有效期内到达的地址是：</w:t>
      </w:r>
      <w:r>
        <w:rPr>
          <w:rFonts w:hint="eastAsia" w:ascii="宋体" w:hAnsi="宋体" w:cs="宋体"/>
          <w:szCs w:val="21"/>
          <w:u w:val="single"/>
        </w:rPr>
        <w:t xml:space="preserve">       </w:t>
      </w:r>
      <w:r>
        <w:rPr>
          <w:rFonts w:hint="eastAsia" w:ascii="宋体" w:hAnsi="宋体" w:cs="宋体"/>
          <w:szCs w:val="21"/>
        </w:rPr>
        <w:t>。</w:t>
      </w:r>
    </w:p>
    <w:p>
      <w:pPr>
        <w:overflowPunct w:val="0"/>
        <w:spacing w:line="360" w:lineRule="auto"/>
        <w:ind w:firstLine="420" w:firstLineChars="200"/>
        <w:rPr>
          <w:rFonts w:ascii="宋体" w:hAnsi="宋体" w:cs="宋体"/>
          <w:szCs w:val="21"/>
        </w:rPr>
      </w:pPr>
      <w:r>
        <w:rPr>
          <w:rFonts w:hint="eastAsia" w:ascii="宋体" w:hAnsi="宋体" w:cs="宋体"/>
          <w:szCs w:val="21"/>
        </w:rPr>
        <w:t>受益人发出的书面索赔通知应由其为鉴明受益人法定代表人或授权代理人签名并加盖公章。</w:t>
      </w:r>
    </w:p>
    <w:p>
      <w:pPr>
        <w:overflowPunct w:val="0"/>
        <w:spacing w:line="360" w:lineRule="auto"/>
        <w:ind w:firstLine="420" w:firstLineChars="200"/>
        <w:rPr>
          <w:rFonts w:ascii="宋体" w:hAnsi="宋体" w:cs="宋体"/>
          <w:szCs w:val="21"/>
        </w:rPr>
      </w:pPr>
      <w:r>
        <w:rPr>
          <w:rFonts w:hint="eastAsia" w:ascii="宋体" w:hAnsi="宋体" w:cs="宋体"/>
          <w:szCs w:val="21"/>
        </w:rPr>
        <w:t>五、本保函项下的权利不得转让，不得设定担保。贵方未经我方书面同意转让本保函或其项下任何权利，对我方不发生法律效力。</w:t>
      </w:r>
    </w:p>
    <w:p>
      <w:pPr>
        <w:overflowPunct w:val="0"/>
        <w:spacing w:line="360" w:lineRule="auto"/>
        <w:ind w:firstLine="420" w:firstLineChars="200"/>
        <w:rPr>
          <w:rFonts w:ascii="宋体" w:hAnsi="宋体" w:cs="宋体"/>
          <w:szCs w:val="21"/>
        </w:rPr>
      </w:pPr>
      <w:r>
        <w:rPr>
          <w:rFonts w:hint="eastAsia" w:ascii="宋体" w:hAnsi="宋体" w:cs="宋体"/>
          <w:szCs w:val="21"/>
        </w:rPr>
        <w:t xml:space="preserve">六、本保函项下的基础交易不成立、不生效、无效、被撤销、被解除，不影响本保函的独立有效。 </w:t>
      </w:r>
    </w:p>
    <w:p>
      <w:pPr>
        <w:overflowPunct w:val="0"/>
        <w:spacing w:line="360" w:lineRule="auto"/>
        <w:ind w:firstLine="420" w:firstLineChars="200"/>
        <w:rPr>
          <w:rFonts w:ascii="宋体" w:hAnsi="宋体" w:cs="宋体"/>
          <w:szCs w:val="21"/>
        </w:rPr>
      </w:pPr>
      <w:r>
        <w:rPr>
          <w:rFonts w:hint="eastAsia" w:ascii="宋体" w:hAnsi="宋体" w:cs="宋体"/>
          <w:szCs w:val="21"/>
        </w:rPr>
        <w:t>七、受益人应在本保函到期后的七个工作日内将本保函正本退回我方注销，但是不论受益人是否按此要求将本保函正本退回我方，我方在本保函项下的义务和责任均在保函有效期到期后自动消灭。</w:t>
      </w:r>
    </w:p>
    <w:p>
      <w:pPr>
        <w:overflowPunct w:val="0"/>
        <w:spacing w:line="360" w:lineRule="auto"/>
        <w:ind w:firstLine="420" w:firstLineChars="200"/>
        <w:rPr>
          <w:rFonts w:ascii="宋体" w:hAnsi="宋体" w:cs="宋体"/>
          <w:szCs w:val="21"/>
        </w:rPr>
      </w:pPr>
      <w:r>
        <w:rPr>
          <w:rFonts w:hint="eastAsia" w:ascii="宋体" w:hAnsi="宋体" w:cs="宋体"/>
          <w:szCs w:val="21"/>
        </w:rPr>
        <w:t>八、本保函的开具是我方真实意思表示，符合法律法规规定，我方同意遵守本保函约定并无条件承担担保责任。本保函与其他规定或条款不一致时，以本保函约定为准。</w:t>
      </w:r>
    </w:p>
    <w:p>
      <w:pPr>
        <w:overflowPunct w:val="0"/>
        <w:spacing w:line="360" w:lineRule="auto"/>
        <w:ind w:firstLine="420" w:firstLineChars="200"/>
        <w:rPr>
          <w:rFonts w:ascii="宋体" w:hAnsi="宋体" w:cs="宋体"/>
          <w:szCs w:val="21"/>
        </w:rPr>
      </w:pPr>
      <w:r>
        <w:rPr>
          <w:rFonts w:hint="eastAsia" w:ascii="宋体" w:hAnsi="宋体" w:cs="宋体"/>
          <w:szCs w:val="21"/>
        </w:rPr>
        <w:t>九、本保函适用的法律为中华人民共和国法律，争议裁判管辖地为中华人民共和国</w:t>
      </w:r>
      <w:r>
        <w:rPr>
          <w:rFonts w:hint="eastAsia" w:ascii="宋体" w:hAnsi="宋体" w:cs="宋体"/>
          <w:szCs w:val="21"/>
          <w:u w:val="single"/>
        </w:rPr>
        <w:t xml:space="preserve">              </w:t>
      </w:r>
      <w:r>
        <w:rPr>
          <w:rFonts w:hint="eastAsia" w:ascii="宋体" w:hAnsi="宋体" w:cs="宋体"/>
          <w:szCs w:val="21"/>
        </w:rPr>
        <w:t>。</w:t>
      </w:r>
    </w:p>
    <w:p>
      <w:pPr>
        <w:overflowPunct w:val="0"/>
        <w:spacing w:line="360" w:lineRule="auto"/>
        <w:ind w:firstLine="420" w:firstLineChars="200"/>
        <w:rPr>
          <w:rFonts w:ascii="宋体" w:hAnsi="宋体" w:cs="宋体"/>
          <w:szCs w:val="21"/>
        </w:rPr>
      </w:pPr>
      <w:r>
        <w:rPr>
          <w:rFonts w:hint="eastAsia" w:ascii="宋体" w:hAnsi="宋体" w:cs="宋体"/>
          <w:szCs w:val="21"/>
        </w:rPr>
        <w:t>十、本保函自我方法定代表人或授权代表签字并加盖公章之日起生效。</w:t>
      </w:r>
    </w:p>
    <w:p>
      <w:pPr>
        <w:overflowPunct w:val="0"/>
        <w:spacing w:line="360" w:lineRule="auto"/>
        <w:ind w:firstLine="420" w:firstLineChars="200"/>
        <w:rPr>
          <w:rFonts w:ascii="宋体" w:hAnsi="宋体" w:cs="宋体"/>
          <w:szCs w:val="21"/>
        </w:rPr>
      </w:pPr>
      <w:r>
        <w:rPr>
          <w:rFonts w:hint="eastAsia" w:ascii="宋体" w:hAnsi="宋体" w:cs="宋体"/>
          <w:szCs w:val="21"/>
        </w:rPr>
        <w:t>十一、本保函在重庆市辖区范围内的核验地点：</w:t>
      </w:r>
      <w:r>
        <w:rPr>
          <w:rFonts w:hint="eastAsia" w:ascii="宋体" w:hAnsi="宋体" w:cs="宋体"/>
          <w:szCs w:val="21"/>
          <w:u w:val="single"/>
        </w:rPr>
        <w:t xml:space="preserve">        </w:t>
      </w:r>
      <w:r>
        <w:rPr>
          <w:rFonts w:hint="eastAsia" w:ascii="宋体" w:hAnsi="宋体" w:cs="宋体"/>
          <w:szCs w:val="21"/>
        </w:rPr>
        <w:t>；核验方式：</w:t>
      </w:r>
      <w:r>
        <w:rPr>
          <w:rFonts w:hint="eastAsia" w:ascii="宋体" w:hAnsi="宋体" w:cs="宋体"/>
          <w:szCs w:val="21"/>
          <w:u w:val="single"/>
        </w:rPr>
        <w:t xml:space="preserve">        </w:t>
      </w:r>
      <w:r>
        <w:rPr>
          <w:rFonts w:hint="eastAsia" w:ascii="宋体" w:hAnsi="宋体" w:cs="宋体"/>
          <w:szCs w:val="21"/>
        </w:rPr>
        <w:t>。</w:t>
      </w:r>
    </w:p>
    <w:p>
      <w:pPr>
        <w:spacing w:line="360" w:lineRule="auto"/>
        <w:ind w:firstLine="420" w:firstLineChars="200"/>
        <w:rPr>
          <w:rFonts w:ascii="宋体" w:hAnsi="宋体" w:cs="宋体"/>
          <w:szCs w:val="21"/>
        </w:rPr>
      </w:pPr>
    </w:p>
    <w:p>
      <w:pPr>
        <w:overflowPunct w:val="0"/>
        <w:spacing w:line="360" w:lineRule="auto"/>
        <w:ind w:firstLine="420" w:firstLineChars="200"/>
        <w:rPr>
          <w:rFonts w:ascii="宋体" w:hAnsi="宋体" w:cs="宋体"/>
          <w:szCs w:val="21"/>
        </w:rPr>
      </w:pPr>
      <w:r>
        <w:rPr>
          <w:rFonts w:hint="eastAsia" w:ascii="宋体" w:hAnsi="宋体" w:cs="宋体"/>
          <w:szCs w:val="21"/>
        </w:rPr>
        <w:t xml:space="preserve">开 立 人： </w:t>
      </w:r>
      <w:r>
        <w:rPr>
          <w:rFonts w:hint="eastAsia" w:ascii="宋体" w:hAnsi="宋体" w:cs="宋体"/>
          <w:szCs w:val="21"/>
          <w:u w:val="single"/>
        </w:rPr>
        <w:t xml:space="preserve">                                  </w:t>
      </w:r>
      <w:r>
        <w:rPr>
          <w:rFonts w:hint="eastAsia" w:ascii="宋体" w:hAnsi="宋体" w:cs="宋体"/>
          <w:szCs w:val="21"/>
        </w:rPr>
        <w:t>（公章）</w:t>
      </w:r>
    </w:p>
    <w:p>
      <w:pPr>
        <w:overflowPunct w:val="0"/>
        <w:spacing w:line="360" w:lineRule="auto"/>
        <w:ind w:firstLine="420" w:firstLineChars="200"/>
        <w:rPr>
          <w:rFonts w:ascii="宋体" w:hAnsi="宋体" w:cs="宋体"/>
          <w:szCs w:val="21"/>
        </w:rPr>
      </w:pPr>
      <w:r>
        <w:rPr>
          <w:rFonts w:hint="eastAsia" w:ascii="宋体" w:hAnsi="宋体" w:cs="宋体"/>
          <w:szCs w:val="21"/>
        </w:rPr>
        <w:t>法定代表人（或授权代表）：</w:t>
      </w:r>
      <w:r>
        <w:rPr>
          <w:rFonts w:hint="eastAsia" w:ascii="宋体" w:hAnsi="宋体" w:cs="宋体"/>
          <w:szCs w:val="21"/>
          <w:u w:val="single"/>
        </w:rPr>
        <w:t xml:space="preserve">                     </w:t>
      </w:r>
      <w:r>
        <w:rPr>
          <w:rFonts w:hint="eastAsia" w:ascii="宋体" w:hAnsi="宋体" w:cs="宋体"/>
          <w:szCs w:val="21"/>
        </w:rPr>
        <w:t>（签字）</w:t>
      </w:r>
    </w:p>
    <w:p>
      <w:pPr>
        <w:overflowPunct w:val="0"/>
        <w:spacing w:line="360" w:lineRule="auto"/>
        <w:ind w:firstLine="420" w:firstLineChars="200"/>
        <w:rPr>
          <w:rFonts w:ascii="宋体" w:hAnsi="宋体" w:cs="宋体"/>
          <w:szCs w:val="21"/>
        </w:rPr>
      </w:pPr>
      <w:r>
        <w:rPr>
          <w:rFonts w:hint="eastAsia" w:ascii="宋体" w:hAnsi="宋体" w:cs="宋体"/>
          <w:szCs w:val="21"/>
        </w:rPr>
        <w:t>地    址：</w:t>
      </w:r>
      <w:r>
        <w:rPr>
          <w:rFonts w:hint="eastAsia" w:ascii="宋体" w:hAnsi="宋体" w:cs="宋体"/>
          <w:szCs w:val="21"/>
          <w:u w:val="single"/>
        </w:rPr>
        <w:t xml:space="preserve">                                          </w:t>
      </w:r>
      <w:r>
        <w:rPr>
          <w:rFonts w:hint="eastAsia" w:ascii="宋体" w:hAnsi="宋体" w:cs="宋体"/>
          <w:szCs w:val="21"/>
        </w:rPr>
        <w:t xml:space="preserve"> </w:t>
      </w:r>
    </w:p>
    <w:p>
      <w:pPr>
        <w:overflowPunct w:val="0"/>
        <w:spacing w:line="360" w:lineRule="auto"/>
        <w:ind w:firstLine="420" w:firstLineChars="200"/>
        <w:rPr>
          <w:rFonts w:ascii="宋体" w:hAnsi="宋体" w:cs="宋体"/>
          <w:szCs w:val="21"/>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w:t>
      </w:r>
    </w:p>
    <w:p>
      <w:pPr>
        <w:overflowPunct w:val="0"/>
        <w:spacing w:line="360" w:lineRule="auto"/>
        <w:ind w:firstLine="420" w:firstLineChars="200"/>
        <w:rPr>
          <w:rFonts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w:t>
      </w:r>
    </w:p>
    <w:p>
      <w:pPr>
        <w:overflowPunct w:val="0"/>
        <w:spacing w:line="360" w:lineRule="auto"/>
        <w:ind w:firstLine="420" w:firstLineChars="200"/>
        <w:rPr>
          <w:rFonts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w:t>
      </w:r>
    </w:p>
    <w:p>
      <w:pPr>
        <w:overflowPunct w:val="0"/>
        <w:spacing w:line="360" w:lineRule="auto"/>
        <w:ind w:firstLine="420" w:firstLineChars="200"/>
        <w:jc w:val="right"/>
        <w:rPr>
          <w:rFonts w:ascii="宋体" w:hAnsi="宋体" w:cs="宋体"/>
          <w:szCs w:val="21"/>
        </w:rPr>
      </w:pPr>
      <w:r>
        <w:rPr>
          <w:rFonts w:hint="eastAsia" w:ascii="宋体" w:hAnsi="宋体" w:cs="宋体"/>
          <w:szCs w:val="21"/>
        </w:rPr>
        <w:t>开立时间：    年    月    日</w:t>
      </w:r>
    </w:p>
    <w:p>
      <w:pPr>
        <w:rPr>
          <w:rFonts w:ascii="宋体" w:hAnsi="宋体" w:cs="宋体"/>
          <w:szCs w:val="21"/>
        </w:rPr>
      </w:pPr>
    </w:p>
    <w:p>
      <w:pPr>
        <w:rPr>
          <w:rFonts w:eastAsia="方正黑体_GBK" w:cs="方正黑体_GBK"/>
          <w:sz w:val="32"/>
          <w:szCs w:val="32"/>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rPr>
          <w:rFonts w:ascii="宋体" w:hAnsi="宋体"/>
          <w:szCs w:val="21"/>
        </w:rPr>
      </w:pPr>
    </w:p>
    <w:p>
      <w:pPr>
        <w:spacing w:line="360" w:lineRule="auto"/>
        <w:ind w:firstLine="420" w:firstLineChars="200"/>
        <w:outlineLvl w:val="1"/>
        <w:rPr>
          <w:rFonts w:ascii="宋体" w:hAnsi="宋体"/>
          <w:szCs w:val="21"/>
        </w:rPr>
      </w:pPr>
      <w:bookmarkStart w:id="2322" w:name="_Toc252"/>
      <w:bookmarkStart w:id="2323" w:name="_Toc9365"/>
      <w:r>
        <w:rPr>
          <w:rFonts w:hint="eastAsia" w:ascii="宋体" w:hAnsi="宋体"/>
          <w:szCs w:val="21"/>
        </w:rPr>
        <w:t>2. 中小微企业声明函（示范格式）</w:t>
      </w:r>
      <w:bookmarkEnd w:id="2322"/>
      <w:bookmarkEnd w:id="2323"/>
    </w:p>
    <w:p>
      <w:pPr>
        <w:pStyle w:val="42"/>
        <w:spacing w:before="0" w:beforeAutospacing="0" w:after="0" w:afterAutospacing="0" w:line="540" w:lineRule="exact"/>
        <w:jc w:val="center"/>
        <w:outlineLvl w:val="0"/>
      </w:pPr>
      <w:bookmarkStart w:id="2324" w:name="_Toc15451"/>
      <w:bookmarkStart w:id="2325" w:name="_Toc29443"/>
      <w:r>
        <w:rPr>
          <w:rFonts w:hint="eastAsia"/>
        </w:rPr>
        <w:t>中小微企业声明函</w:t>
      </w:r>
      <w:bookmarkEnd w:id="2324"/>
      <w:bookmarkEnd w:id="2325"/>
    </w:p>
    <w:p>
      <w:pPr>
        <w:pStyle w:val="42"/>
        <w:spacing w:before="0" w:beforeAutospacing="0" w:after="0" w:afterAutospacing="0" w:line="360" w:lineRule="auto"/>
        <w:rPr>
          <w:sz w:val="21"/>
          <w:szCs w:val="21"/>
        </w:rPr>
      </w:pPr>
      <w:r>
        <w:rPr>
          <w:rFonts w:hint="eastAsia"/>
          <w:sz w:val="21"/>
          <w:szCs w:val="21"/>
        </w:rPr>
        <w:t>项目名称：</w:t>
      </w:r>
      <w:r>
        <w:rPr>
          <w:rFonts w:hint="eastAsia"/>
          <w:sz w:val="21"/>
          <w:szCs w:val="21"/>
          <w:u w:val="single"/>
        </w:rPr>
        <w:t xml:space="preserve">                                       </w:t>
      </w:r>
    </w:p>
    <w:p>
      <w:pPr>
        <w:pStyle w:val="42"/>
        <w:spacing w:before="0" w:beforeAutospacing="0" w:after="0" w:afterAutospacing="0" w:line="360" w:lineRule="auto"/>
        <w:rPr>
          <w:sz w:val="21"/>
          <w:szCs w:val="21"/>
        </w:rPr>
      </w:pPr>
      <w:r>
        <w:rPr>
          <w:rFonts w:hint="eastAsia"/>
          <w:sz w:val="21"/>
          <w:szCs w:val="21"/>
        </w:rPr>
        <w:t>致：</w:t>
      </w:r>
      <w:r>
        <w:rPr>
          <w:rFonts w:hint="eastAsia"/>
          <w:sz w:val="21"/>
          <w:szCs w:val="21"/>
          <w:u w:val="single"/>
        </w:rPr>
        <w:t xml:space="preserve">                   </w:t>
      </w:r>
      <w:r>
        <w:rPr>
          <w:rFonts w:hint="eastAsia"/>
          <w:sz w:val="21"/>
          <w:szCs w:val="21"/>
        </w:rPr>
        <w:t>（招标人名称）</w:t>
      </w:r>
    </w:p>
    <w:p>
      <w:pPr>
        <w:spacing w:line="360" w:lineRule="auto"/>
        <w:ind w:firstLine="420" w:firstLineChars="200"/>
        <w:rPr>
          <w:rFonts w:ascii="宋体" w:hAnsi="宋体" w:cs="宋体"/>
          <w:szCs w:val="21"/>
        </w:rPr>
      </w:pPr>
      <w:r>
        <w:rPr>
          <w:rFonts w:hint="eastAsia" w:ascii="宋体" w:hAnsi="宋体" w:cs="宋体"/>
          <w:szCs w:val="21"/>
        </w:rPr>
        <w:t>本企业郑重声明：</w:t>
      </w:r>
    </w:p>
    <w:p>
      <w:pPr>
        <w:spacing w:line="360" w:lineRule="auto"/>
        <w:ind w:firstLine="420" w:firstLineChars="200"/>
        <w:rPr>
          <w:rFonts w:ascii="宋体" w:hAnsi="宋体" w:cs="宋体"/>
          <w:szCs w:val="21"/>
        </w:rPr>
      </w:pPr>
      <w:r>
        <w:rPr>
          <w:rFonts w:hint="eastAsia" w:ascii="宋体" w:hAnsi="宋体" w:cs="宋体"/>
          <w:szCs w:val="21"/>
        </w:rPr>
        <w:t>根据工业和信息化部、国家统计局、国家发展和改革委员会以及财政部联合印发的《关于印发中小企业划型标准规定的通知》（工信部联企业〔2011〕300号）划分标准，本企业为</w:t>
      </w:r>
      <w:r>
        <w:rPr>
          <w:rFonts w:hint="eastAsia" w:ascii="宋体" w:hAnsi="宋体" w:cs="宋体"/>
          <w:szCs w:val="21"/>
          <w:u w:val="single"/>
        </w:rPr>
        <w:t xml:space="preserve">        </w:t>
      </w:r>
      <w:r>
        <w:rPr>
          <w:rFonts w:hint="eastAsia" w:ascii="宋体" w:hAnsi="宋体" w:cs="宋体"/>
          <w:szCs w:val="21"/>
        </w:rPr>
        <w:t>行业（行业类别）的中小微企业。</w:t>
      </w:r>
    </w:p>
    <w:p>
      <w:pPr>
        <w:pStyle w:val="42"/>
        <w:spacing w:before="0" w:beforeAutospacing="0" w:after="0" w:afterAutospacing="0" w:line="540" w:lineRule="exact"/>
        <w:jc w:val="center"/>
        <w:rPr>
          <w:sz w:val="21"/>
          <w:szCs w:val="21"/>
        </w:rPr>
      </w:pPr>
      <w:r>
        <w:rPr>
          <w:rFonts w:hint="eastAsia"/>
          <w:sz w:val="21"/>
          <w:szCs w:val="21"/>
        </w:rPr>
        <w:t>企业基本情况表</w:t>
      </w:r>
    </w:p>
    <w:tbl>
      <w:tblPr>
        <w:tblStyle w:val="54"/>
        <w:tblW w:w="8720" w:type="dxa"/>
        <w:jc w:val="center"/>
        <w:tblInd w:w="0" w:type="dxa"/>
        <w:tblLayout w:type="fixed"/>
        <w:tblCellMar>
          <w:top w:w="0" w:type="dxa"/>
          <w:left w:w="0" w:type="dxa"/>
          <w:bottom w:w="0" w:type="dxa"/>
          <w:right w:w="0" w:type="dxa"/>
        </w:tblCellMar>
      </w:tblPr>
      <w:tblGrid>
        <w:gridCol w:w="1520"/>
        <w:gridCol w:w="2494"/>
        <w:gridCol w:w="2288"/>
        <w:gridCol w:w="2418"/>
      </w:tblGrid>
      <w:tr>
        <w:tblPrEx>
          <w:tblLayout w:type="fixed"/>
          <w:tblCellMar>
            <w:top w:w="0" w:type="dxa"/>
            <w:left w:w="0" w:type="dxa"/>
            <w:bottom w:w="0" w:type="dxa"/>
            <w:right w:w="0" w:type="dxa"/>
          </w:tblCellMar>
        </w:tblPrEx>
        <w:trPr>
          <w:trHeight w:val="780" w:hRule="atLeast"/>
          <w:jc w:val="center"/>
        </w:trPr>
        <w:tc>
          <w:tcPr>
            <w:tcW w:w="152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42"/>
              <w:spacing w:before="0" w:beforeAutospacing="0" w:after="0" w:afterAutospacing="0" w:line="540" w:lineRule="exact"/>
              <w:jc w:val="center"/>
              <w:rPr>
                <w:sz w:val="21"/>
                <w:szCs w:val="21"/>
              </w:rPr>
            </w:pPr>
            <w:r>
              <w:rPr>
                <w:rFonts w:hint="eastAsia"/>
                <w:sz w:val="21"/>
                <w:szCs w:val="21"/>
              </w:rPr>
              <w:t>行业类别</w:t>
            </w:r>
          </w:p>
        </w:tc>
        <w:tc>
          <w:tcPr>
            <w:tcW w:w="2494"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42"/>
              <w:spacing w:before="0" w:beforeAutospacing="0" w:after="0" w:afterAutospacing="0" w:line="540" w:lineRule="exact"/>
              <w:jc w:val="center"/>
              <w:rPr>
                <w:sz w:val="21"/>
                <w:szCs w:val="21"/>
              </w:rPr>
            </w:pPr>
            <w:r>
              <w:rPr>
                <w:rFonts w:hint="eastAsia"/>
                <w:sz w:val="21"/>
                <w:szCs w:val="21"/>
              </w:rPr>
              <w:t>营业收入（万元）</w:t>
            </w:r>
          </w:p>
        </w:tc>
        <w:tc>
          <w:tcPr>
            <w:tcW w:w="22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42"/>
              <w:spacing w:before="0" w:beforeAutospacing="0" w:after="0" w:afterAutospacing="0" w:line="540" w:lineRule="exact"/>
              <w:jc w:val="center"/>
              <w:rPr>
                <w:sz w:val="21"/>
                <w:szCs w:val="21"/>
              </w:rPr>
            </w:pPr>
            <w:r>
              <w:rPr>
                <w:rFonts w:hint="eastAsia"/>
                <w:sz w:val="21"/>
                <w:szCs w:val="21"/>
              </w:rPr>
              <w:t>从业人员（人）</w:t>
            </w:r>
          </w:p>
        </w:tc>
        <w:tc>
          <w:tcPr>
            <w:tcW w:w="241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42"/>
              <w:spacing w:before="0" w:beforeAutospacing="0" w:after="0" w:afterAutospacing="0" w:line="540" w:lineRule="exact"/>
              <w:jc w:val="center"/>
              <w:rPr>
                <w:sz w:val="21"/>
                <w:szCs w:val="21"/>
              </w:rPr>
            </w:pPr>
            <w:r>
              <w:rPr>
                <w:rFonts w:hint="eastAsia"/>
                <w:sz w:val="21"/>
                <w:szCs w:val="21"/>
              </w:rPr>
              <w:t>资产总额（万元）</w:t>
            </w:r>
          </w:p>
        </w:tc>
      </w:tr>
      <w:tr>
        <w:tblPrEx>
          <w:tblLayout w:type="fixed"/>
          <w:tblCellMar>
            <w:top w:w="0" w:type="dxa"/>
            <w:left w:w="0" w:type="dxa"/>
            <w:bottom w:w="0" w:type="dxa"/>
            <w:right w:w="0" w:type="dxa"/>
          </w:tblCellMar>
        </w:tblPrEx>
        <w:trPr>
          <w:trHeight w:val="667" w:hRule="atLeast"/>
          <w:jc w:val="center"/>
        </w:trPr>
        <w:tc>
          <w:tcPr>
            <w:tcW w:w="152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widowControl/>
              <w:spacing w:line="540" w:lineRule="exact"/>
              <w:jc w:val="left"/>
              <w:rPr>
                <w:rFonts w:ascii="宋体" w:hAnsi="宋体" w:cs="宋体"/>
                <w:szCs w:val="21"/>
              </w:rPr>
            </w:pPr>
          </w:p>
        </w:tc>
        <w:tc>
          <w:tcPr>
            <w:tcW w:w="2494"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widowControl/>
              <w:spacing w:line="540" w:lineRule="exact"/>
              <w:jc w:val="left"/>
              <w:rPr>
                <w:rFonts w:ascii="宋体" w:hAnsi="宋体" w:cs="宋体"/>
                <w:szCs w:val="21"/>
              </w:rPr>
            </w:pPr>
          </w:p>
        </w:tc>
        <w:tc>
          <w:tcPr>
            <w:tcW w:w="22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widowControl/>
              <w:spacing w:line="540" w:lineRule="exact"/>
              <w:jc w:val="left"/>
              <w:rPr>
                <w:rFonts w:ascii="宋体" w:hAnsi="宋体" w:cs="宋体"/>
                <w:szCs w:val="21"/>
              </w:rPr>
            </w:pPr>
          </w:p>
        </w:tc>
        <w:tc>
          <w:tcPr>
            <w:tcW w:w="241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widowControl/>
              <w:spacing w:line="540" w:lineRule="exact"/>
              <w:jc w:val="left"/>
              <w:rPr>
                <w:rFonts w:ascii="宋体" w:hAnsi="宋体" w:cs="宋体"/>
                <w:szCs w:val="21"/>
              </w:rPr>
            </w:pPr>
          </w:p>
        </w:tc>
      </w:tr>
    </w:tbl>
    <w:p>
      <w:pPr>
        <w:spacing w:line="360" w:lineRule="auto"/>
        <w:ind w:firstLine="420" w:firstLineChars="200"/>
        <w:rPr>
          <w:rFonts w:ascii="宋体" w:hAnsi="宋体" w:cs="宋体"/>
          <w:szCs w:val="21"/>
        </w:rPr>
      </w:pPr>
      <w:r>
        <w:rPr>
          <w:rFonts w:hint="eastAsia" w:ascii="宋体" w:hAnsi="宋体" w:cs="宋体"/>
          <w:szCs w:val="21"/>
        </w:rPr>
        <w:t>注：1.行业类别由招标人在招标文件中明确。</w:t>
      </w:r>
    </w:p>
    <w:p>
      <w:pPr>
        <w:spacing w:line="360" w:lineRule="auto"/>
        <w:ind w:firstLine="420"/>
        <w:rPr>
          <w:rFonts w:ascii="宋体" w:hAnsi="宋体" w:cs="宋体"/>
          <w:szCs w:val="21"/>
        </w:rPr>
      </w:pPr>
      <w:r>
        <w:rPr>
          <w:rFonts w:hint="eastAsia" w:ascii="宋体" w:hAnsi="宋体" w:cs="宋体"/>
          <w:szCs w:val="21"/>
        </w:rPr>
        <w:t>2.从业人员、营业收入、资产总额以投标截止日上一年度（</w:t>
      </w:r>
      <w:r>
        <w:rPr>
          <w:rFonts w:hint="eastAsia" w:ascii="宋体" w:hAnsi="宋体" w:cs="宋体"/>
          <w:szCs w:val="21"/>
          <w:u w:val="single"/>
        </w:rPr>
        <w:t xml:space="preserve">    年</w:t>
      </w:r>
      <w:r>
        <w:rPr>
          <w:rFonts w:hint="eastAsia" w:ascii="宋体" w:hAnsi="宋体" w:cs="宋体"/>
          <w:szCs w:val="21"/>
        </w:rPr>
        <w:t>）向统计部门上报的统计数据为准，若未向统计部门上报数据，则以投标截止日上一年度（</w:t>
      </w:r>
      <w:r>
        <w:rPr>
          <w:rFonts w:hint="eastAsia" w:ascii="宋体" w:hAnsi="宋体" w:cs="宋体"/>
          <w:szCs w:val="21"/>
          <w:u w:val="single"/>
        </w:rPr>
        <w:t xml:space="preserve">    年</w:t>
      </w:r>
      <w:r>
        <w:rPr>
          <w:rFonts w:hint="eastAsia" w:ascii="宋体" w:hAnsi="宋体" w:cs="宋体"/>
          <w:szCs w:val="21"/>
        </w:rPr>
        <w:t>）经会计师事务所或审计机构出具的合法有效的财务审计报告数据为准。上报统计部门数据证明材料或财务审计报告附后。</w:t>
      </w:r>
    </w:p>
    <w:p>
      <w:pPr>
        <w:spacing w:line="360" w:lineRule="auto"/>
        <w:ind w:firstLine="420" w:firstLineChars="200"/>
        <w:rPr>
          <w:rFonts w:ascii="宋体" w:hAnsi="宋体" w:cs="宋体"/>
          <w:szCs w:val="21"/>
        </w:rPr>
      </w:pPr>
      <w:r>
        <w:rPr>
          <w:rFonts w:hint="eastAsia" w:ascii="宋体" w:hAnsi="宋体" w:cs="宋体"/>
          <w:szCs w:val="21"/>
        </w:rPr>
        <w:t>本企业对上述声明的真实性负责。如有虚假，将依法承担相应责任。</w:t>
      </w:r>
    </w:p>
    <w:p>
      <w:pPr>
        <w:pStyle w:val="42"/>
        <w:spacing w:before="0" w:beforeAutospacing="0" w:after="0" w:afterAutospacing="0" w:line="540" w:lineRule="exact"/>
        <w:ind w:firstLine="645"/>
        <w:rPr>
          <w:sz w:val="32"/>
          <w:szCs w:val="32"/>
        </w:rPr>
      </w:pPr>
    </w:p>
    <w:p>
      <w:pPr>
        <w:spacing w:line="360" w:lineRule="auto"/>
        <w:ind w:firstLine="4620" w:firstLineChars="2200"/>
        <w:rPr>
          <w:rFonts w:ascii="宋体" w:hAnsi="宋体" w:cs="宋体"/>
          <w:kern w:val="0"/>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kern w:val="0"/>
          <w:szCs w:val="21"/>
        </w:rPr>
        <w:t>（</w:t>
      </w:r>
      <w:r>
        <w:rPr>
          <w:rFonts w:hint="eastAsia" w:ascii="宋体" w:hAnsi="宋体" w:cs="宋体"/>
          <w:spacing w:val="-1"/>
          <w:kern w:val="0"/>
          <w:szCs w:val="21"/>
        </w:rPr>
        <w:t>盖单位法人章</w:t>
      </w:r>
      <w:r>
        <w:rPr>
          <w:rFonts w:hint="eastAsia" w:ascii="宋体" w:hAnsi="宋体" w:cs="宋体"/>
          <w:kern w:val="0"/>
          <w:szCs w:val="21"/>
        </w:rPr>
        <w:t>）</w:t>
      </w:r>
    </w:p>
    <w:p>
      <w:pPr>
        <w:spacing w:line="360" w:lineRule="auto"/>
        <w:ind w:firstLine="4620" w:firstLineChars="2200"/>
        <w:rPr>
          <w:rFonts w:ascii="宋体" w:hAnsi="宋体" w:cs="宋体"/>
          <w:kern w:val="0"/>
          <w:szCs w:val="21"/>
        </w:rPr>
      </w:pPr>
      <w:r>
        <w:rPr>
          <w:rFonts w:hint="eastAsia" w:ascii="宋体" w:hAnsi="宋体" w:cs="宋体"/>
          <w:kern w:val="0"/>
          <w:szCs w:val="21"/>
        </w:rPr>
        <w:t>法定代表人：</w:t>
      </w:r>
      <w:r>
        <w:rPr>
          <w:rFonts w:hint="eastAsia" w:ascii="宋体" w:hAnsi="宋体" w:cs="宋体"/>
          <w:kern w:val="0"/>
          <w:szCs w:val="21"/>
          <w:u w:val="single"/>
        </w:rPr>
        <w:t xml:space="preserve">                  </w:t>
      </w:r>
      <w:r>
        <w:rPr>
          <w:rFonts w:hint="eastAsia" w:ascii="宋体" w:hAnsi="宋体" w:cs="宋体"/>
          <w:kern w:val="0"/>
          <w:szCs w:val="21"/>
        </w:rPr>
        <w:t>（签名或盖章）</w:t>
      </w:r>
    </w:p>
    <w:p>
      <w:pPr>
        <w:jc w:val="right"/>
        <w:rPr>
          <w:rFonts w:ascii="宋体" w:hAnsi="宋体"/>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szCs w:val="21"/>
        </w:rPr>
        <w:br w:type="page"/>
      </w:r>
    </w:p>
    <w:p>
      <w:pPr>
        <w:spacing w:line="360" w:lineRule="auto"/>
        <w:ind w:firstLine="420" w:firstLineChars="200"/>
        <w:rPr>
          <w:rFonts w:ascii="宋体" w:hAnsi="宋体"/>
          <w:szCs w:val="21"/>
        </w:rPr>
      </w:pPr>
      <w:r>
        <w:rPr>
          <w:rFonts w:hint="eastAsia" w:ascii="宋体" w:hAnsi="宋体"/>
          <w:szCs w:val="21"/>
        </w:rPr>
        <w:t>3.</w:t>
      </w:r>
    </w:p>
    <w:p>
      <w:pPr>
        <w:spacing w:line="360" w:lineRule="auto"/>
        <w:ind w:firstLine="420" w:firstLineChars="200"/>
        <w:rPr>
          <w:rFonts w:ascii="宋体" w:hAnsi="宋体"/>
          <w:szCs w:val="21"/>
        </w:rPr>
      </w:pPr>
      <w:r>
        <w:rPr>
          <w:rFonts w:ascii="宋体" w:hAnsi="宋体"/>
          <w:szCs w:val="21"/>
        </w:rPr>
        <w:t>……</w:t>
      </w:r>
    </w:p>
    <w:p>
      <w:pPr>
        <w:spacing w:line="360" w:lineRule="auto"/>
        <w:ind w:firstLine="420" w:firstLineChars="200"/>
        <w:rPr>
          <w:rFonts w:ascii="宋体" w:hAnsi="宋体"/>
          <w:szCs w:val="21"/>
        </w:rPr>
      </w:pPr>
    </w:p>
    <w:p>
      <w:pPr>
        <w:pStyle w:val="2"/>
        <w:rPr>
          <w:rFonts w:ascii="宋体" w:hAnsi="宋体"/>
          <w:szCs w:val="21"/>
        </w:rPr>
      </w:pPr>
    </w:p>
    <w:p>
      <w:pPr>
        <w:rPr>
          <w:rFonts w:ascii="宋体" w:hAnsi="宋体"/>
          <w:szCs w:val="21"/>
        </w:rPr>
      </w:pPr>
    </w:p>
    <w:p>
      <w:pPr>
        <w:pStyle w:val="2"/>
        <w:rPr>
          <w:rFonts w:ascii="宋体" w:hAnsi="宋体"/>
          <w:szCs w:val="21"/>
        </w:rPr>
      </w:pPr>
    </w:p>
    <w:p>
      <w:pPr>
        <w:rPr>
          <w:rFonts w:ascii="宋体" w:hAnsi="宋体"/>
          <w:szCs w:val="21"/>
        </w:rPr>
      </w:pPr>
    </w:p>
    <w:p>
      <w:pPr>
        <w:pStyle w:val="2"/>
        <w:rPr>
          <w:rFonts w:ascii="宋体" w:hAnsi="宋体"/>
          <w:szCs w:val="21"/>
        </w:rPr>
      </w:pPr>
    </w:p>
    <w:p>
      <w:r>
        <w:rPr>
          <w:rFonts w:hint="eastAsia" w:ascii="宋体" w:hAnsi="宋体"/>
          <w:szCs w:val="21"/>
        </w:rPr>
        <w:t>.</w:t>
      </w:r>
    </w:p>
    <w:sectPr>
      <w:pgSz w:w="11906" w:h="16838"/>
      <w:pgMar w:top="1304" w:right="1134" w:bottom="1304"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书宋简体">
    <w:altName w:val="微软雅黑"/>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3000509000000000000"/>
    <w:charset w:val="86"/>
    <w:family w:val="script"/>
    <w:pitch w:val="default"/>
    <w:sig w:usb0="00000000" w:usb1="00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MingLiU">
    <w:panose1 w:val="02020509000000000000"/>
    <w:charset w:val="88"/>
    <w:family w:val="modern"/>
    <w:pitch w:val="default"/>
    <w:sig w:usb0="A00002FF" w:usb1="28CFFCFA" w:usb2="00000016" w:usb3="00000000" w:csb0="00100001" w:csb1="00000000"/>
  </w:font>
  <w:font w:name="Wingdings 2">
    <w:panose1 w:val="05020102010507070707"/>
    <w:charset w:val="02"/>
    <w:family w:val="roman"/>
    <w:pitch w:val="default"/>
    <w:sig w:usb0="00000000" w:usb1="00000000" w:usb2="00000000" w:usb3="00000000" w:csb0="8000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8"/>
      </w:rPr>
    </w:pPr>
    <w:r>
      <w:fldChar w:fldCharType="begin"/>
    </w:r>
    <w:r>
      <w:rPr>
        <w:rStyle w:val="48"/>
      </w:rPr>
      <w:instrText xml:space="preserve">PAGE  </w:instrText>
    </w:r>
    <w:r>
      <w:fldChar w:fldCharType="end"/>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t xml:space="preserve">- </w:t>
    </w:r>
    <w:r>
      <w:fldChar w:fldCharType="begin"/>
    </w:r>
    <w:r>
      <w:instrText xml:space="preserve"> PAGE </w:instrText>
    </w:r>
    <w:r>
      <w:fldChar w:fldCharType="separate"/>
    </w:r>
    <w:r>
      <w:t>1</w:t>
    </w:r>
    <w:r>
      <w:fldChar w:fldCharType="end"/>
    </w:r>
    <w:r>
      <w:t xml:space="preserve"> -</w:t>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8"/>
      </w:rPr>
    </w:pPr>
    <w:r>
      <w:fldChar w:fldCharType="begin"/>
    </w:r>
    <w:r>
      <w:rPr>
        <w:rStyle w:val="48"/>
      </w:rPr>
      <w:instrText xml:space="preserve">PAGE  </w:instrText>
    </w:r>
    <w:r>
      <w:fldChar w:fldCharType="separate"/>
    </w:r>
    <w:r>
      <w:rPr>
        <w:rStyle w:val="48"/>
      </w:rPr>
      <w:t>- 2 -</w:t>
    </w:r>
    <w:r>
      <w:fldChar w:fldCharType="end"/>
    </w:r>
  </w:p>
  <w:p>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8"/>
      </w:rPr>
    </w:pPr>
    <w:r>
      <w:fldChar w:fldCharType="begin"/>
    </w:r>
    <w:r>
      <w:rPr>
        <w:rStyle w:val="48"/>
      </w:rPr>
      <w:instrText xml:space="preserve">PAGE  </w:instrText>
    </w:r>
    <w:r>
      <w:fldChar w:fldCharType="separate"/>
    </w:r>
    <w:r>
      <w:rPr>
        <w:rStyle w:val="48"/>
      </w:rPr>
      <w:t>- 3 -</w:t>
    </w:r>
    <w:r>
      <w:fldChar w:fldCharType="end"/>
    </w:r>
  </w:p>
  <w:p>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t xml:space="preserve">- </w:t>
    </w:r>
    <w:r>
      <w:fldChar w:fldCharType="begin"/>
    </w:r>
    <w:r>
      <w:instrText xml:space="preserve"> PAGE </w:instrText>
    </w:r>
    <w:r>
      <w:fldChar w:fldCharType="separate"/>
    </w:r>
    <w:r>
      <w:t>216</w:t>
    </w:r>
    <w:r>
      <w:fldChar w:fldCharType="end"/>
    </w: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8"/>
      </w:rPr>
    </w:pPr>
    <w:r>
      <w:fldChar w:fldCharType="begin"/>
    </w:r>
    <w:r>
      <w:rPr>
        <w:rStyle w:val="48"/>
      </w:rPr>
      <w:instrText xml:space="preserve">PAGE  </w:instrText>
    </w:r>
    <w:r>
      <w:fldChar w:fldCharType="separate"/>
    </w:r>
    <w:r>
      <w:rPr>
        <w:rStyle w:val="48"/>
      </w:rPr>
      <w:t>264</w:t>
    </w:r>
    <w:r>
      <w:fldChar w:fldCharType="end"/>
    </w:r>
  </w:p>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66F549"/>
    <w:multiLevelType w:val="singleLevel"/>
    <w:tmpl w:val="A366F549"/>
    <w:lvl w:ilvl="0" w:tentative="0">
      <w:start w:val="1"/>
      <w:numFmt w:val="decimal"/>
      <w:lvlText w:val="(%1)"/>
      <w:lvlJc w:val="left"/>
      <w:pPr>
        <w:tabs>
          <w:tab w:val="left" w:pos="312"/>
        </w:tabs>
      </w:pPr>
    </w:lvl>
  </w:abstractNum>
  <w:abstractNum w:abstractNumId="1">
    <w:nsid w:val="C3714AFB"/>
    <w:multiLevelType w:val="singleLevel"/>
    <w:tmpl w:val="C3714AFB"/>
    <w:lvl w:ilvl="0" w:tentative="0">
      <w:start w:val="2"/>
      <w:numFmt w:val="decimal"/>
      <w:suff w:val="nothing"/>
      <w:lvlText w:val="（%1）"/>
      <w:lvlJc w:val="left"/>
    </w:lvl>
  </w:abstractNum>
  <w:abstractNum w:abstractNumId="2">
    <w:nsid w:val="C8966664"/>
    <w:multiLevelType w:val="singleLevel"/>
    <w:tmpl w:val="C8966664"/>
    <w:lvl w:ilvl="0" w:tentative="0">
      <w:start w:val="1"/>
      <w:numFmt w:val="decimal"/>
      <w:lvlText w:val="(%1)"/>
      <w:lvlJc w:val="left"/>
      <w:pPr>
        <w:tabs>
          <w:tab w:val="left" w:pos="312"/>
        </w:tabs>
      </w:pPr>
    </w:lvl>
  </w:abstractNum>
  <w:abstractNum w:abstractNumId="3">
    <w:nsid w:val="F5FD7D7F"/>
    <w:multiLevelType w:val="singleLevel"/>
    <w:tmpl w:val="F5FD7D7F"/>
    <w:lvl w:ilvl="0" w:tentative="0">
      <w:start w:val="1"/>
      <w:numFmt w:val="decimal"/>
      <w:suff w:val="nothing"/>
      <w:lvlText w:val="（%1）"/>
      <w:lvlJc w:val="left"/>
    </w:lvl>
  </w:abstractNum>
  <w:abstractNum w:abstractNumId="4">
    <w:nsid w:val="3AE6925B"/>
    <w:multiLevelType w:val="singleLevel"/>
    <w:tmpl w:val="3AE6925B"/>
    <w:lvl w:ilvl="0" w:tentative="0">
      <w:start w:val="1"/>
      <w:numFmt w:val="decimal"/>
      <w:suff w:val="space"/>
      <w:lvlText w:val="%1."/>
      <w:lvlJc w:val="left"/>
    </w:lvl>
  </w:abstractNum>
  <w:abstractNum w:abstractNumId="5">
    <w:nsid w:val="61027DAC"/>
    <w:multiLevelType w:val="singleLevel"/>
    <w:tmpl w:val="61027DAC"/>
    <w:lvl w:ilvl="0" w:tentative="0">
      <w:start w:val="1"/>
      <w:numFmt w:val="chineseCounting"/>
      <w:suff w:val="nothing"/>
      <w:lvlText w:val="%1、"/>
      <w:lvlJc w:val="left"/>
    </w:lvl>
  </w:abstractNum>
  <w:abstractNum w:abstractNumId="6">
    <w:nsid w:val="6285E55F"/>
    <w:multiLevelType w:val="singleLevel"/>
    <w:tmpl w:val="6285E55F"/>
    <w:lvl w:ilvl="0" w:tentative="0">
      <w:start w:val="2"/>
      <w:numFmt w:val="decimal"/>
      <w:suff w:val="nothing"/>
      <w:lvlText w:val="（%1）"/>
      <w:lvlJc w:val="left"/>
    </w:lvl>
  </w:abstractNum>
  <w:abstractNum w:abstractNumId="7">
    <w:nsid w:val="6F278C67"/>
    <w:multiLevelType w:val="singleLevel"/>
    <w:tmpl w:val="6F278C67"/>
    <w:lvl w:ilvl="0" w:tentative="0">
      <w:start w:val="1"/>
      <w:numFmt w:val="decimal"/>
      <w:lvlText w:val="%1."/>
      <w:lvlJc w:val="left"/>
      <w:pPr>
        <w:tabs>
          <w:tab w:val="left" w:pos="312"/>
        </w:tabs>
      </w:pPr>
    </w:lvl>
  </w:abstractNum>
  <w:abstractNum w:abstractNumId="8">
    <w:nsid w:val="780807B8"/>
    <w:multiLevelType w:val="singleLevel"/>
    <w:tmpl w:val="780807B8"/>
    <w:lvl w:ilvl="0" w:tentative="0">
      <w:start w:val="1"/>
      <w:numFmt w:val="chineseCounting"/>
      <w:suff w:val="nothing"/>
      <w:lvlText w:val="%1、"/>
      <w:lvlJc w:val="left"/>
      <w:rPr>
        <w:rFonts w:hint="eastAsia"/>
      </w:rPr>
    </w:lvl>
  </w:abstractNum>
  <w:num w:numId="1">
    <w:abstractNumId w:val="6"/>
  </w:num>
  <w:num w:numId="2">
    <w:abstractNumId w:val="7"/>
  </w:num>
  <w:num w:numId="3">
    <w:abstractNumId w:val="4"/>
  </w:num>
  <w:num w:numId="4">
    <w:abstractNumId w:val="1"/>
  </w:num>
  <w:num w:numId="5">
    <w:abstractNumId w:val="2"/>
  </w:num>
  <w:num w:numId="6">
    <w:abstractNumId w:val="3"/>
  </w:num>
  <w:num w:numId="7">
    <w:abstractNumId w:val="0"/>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hideSpellingErrors/>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345"/>
    <w:rsid w:val="00001A09"/>
    <w:rsid w:val="00001B1E"/>
    <w:rsid w:val="000027C8"/>
    <w:rsid w:val="0000285A"/>
    <w:rsid w:val="00002D86"/>
    <w:rsid w:val="00003A3F"/>
    <w:rsid w:val="00005443"/>
    <w:rsid w:val="00005E79"/>
    <w:rsid w:val="000067A3"/>
    <w:rsid w:val="00014531"/>
    <w:rsid w:val="00014DF1"/>
    <w:rsid w:val="00015333"/>
    <w:rsid w:val="00015C9C"/>
    <w:rsid w:val="0001647D"/>
    <w:rsid w:val="0001650A"/>
    <w:rsid w:val="000165A8"/>
    <w:rsid w:val="0001665A"/>
    <w:rsid w:val="00017F2D"/>
    <w:rsid w:val="00020EB1"/>
    <w:rsid w:val="00021228"/>
    <w:rsid w:val="000215EB"/>
    <w:rsid w:val="00022747"/>
    <w:rsid w:val="00022F4C"/>
    <w:rsid w:val="00023AD6"/>
    <w:rsid w:val="00023B7F"/>
    <w:rsid w:val="00024492"/>
    <w:rsid w:val="00025644"/>
    <w:rsid w:val="00025750"/>
    <w:rsid w:val="0002592F"/>
    <w:rsid w:val="00025DD0"/>
    <w:rsid w:val="0002735F"/>
    <w:rsid w:val="000301A4"/>
    <w:rsid w:val="000316FE"/>
    <w:rsid w:val="00031F42"/>
    <w:rsid w:val="00032255"/>
    <w:rsid w:val="0003256A"/>
    <w:rsid w:val="00032B15"/>
    <w:rsid w:val="00033076"/>
    <w:rsid w:val="00033847"/>
    <w:rsid w:val="000347EB"/>
    <w:rsid w:val="00034B81"/>
    <w:rsid w:val="00035320"/>
    <w:rsid w:val="0003558C"/>
    <w:rsid w:val="000355D8"/>
    <w:rsid w:val="00035E2F"/>
    <w:rsid w:val="000365B0"/>
    <w:rsid w:val="0003673D"/>
    <w:rsid w:val="00037549"/>
    <w:rsid w:val="00037672"/>
    <w:rsid w:val="000407E9"/>
    <w:rsid w:val="000415C5"/>
    <w:rsid w:val="000418B4"/>
    <w:rsid w:val="000426A8"/>
    <w:rsid w:val="000426EA"/>
    <w:rsid w:val="000434B1"/>
    <w:rsid w:val="000437CD"/>
    <w:rsid w:val="00044029"/>
    <w:rsid w:val="00046EAC"/>
    <w:rsid w:val="000477EA"/>
    <w:rsid w:val="00050329"/>
    <w:rsid w:val="00050A2B"/>
    <w:rsid w:val="00050F21"/>
    <w:rsid w:val="00053B37"/>
    <w:rsid w:val="00053DC4"/>
    <w:rsid w:val="00054784"/>
    <w:rsid w:val="00054C30"/>
    <w:rsid w:val="00054D78"/>
    <w:rsid w:val="00054F64"/>
    <w:rsid w:val="0005572F"/>
    <w:rsid w:val="00057103"/>
    <w:rsid w:val="000578DC"/>
    <w:rsid w:val="00057D13"/>
    <w:rsid w:val="00061927"/>
    <w:rsid w:val="00061B42"/>
    <w:rsid w:val="0006245E"/>
    <w:rsid w:val="00062D58"/>
    <w:rsid w:val="00063C01"/>
    <w:rsid w:val="000640B5"/>
    <w:rsid w:val="000654D9"/>
    <w:rsid w:val="00065C93"/>
    <w:rsid w:val="00065F0A"/>
    <w:rsid w:val="000677BF"/>
    <w:rsid w:val="00067885"/>
    <w:rsid w:val="00067E50"/>
    <w:rsid w:val="0007009B"/>
    <w:rsid w:val="000703E1"/>
    <w:rsid w:val="00070444"/>
    <w:rsid w:val="0007082A"/>
    <w:rsid w:val="00070DB4"/>
    <w:rsid w:val="00072AEF"/>
    <w:rsid w:val="00072C40"/>
    <w:rsid w:val="0007377C"/>
    <w:rsid w:val="00073E89"/>
    <w:rsid w:val="00074445"/>
    <w:rsid w:val="00074926"/>
    <w:rsid w:val="000753AE"/>
    <w:rsid w:val="0007662F"/>
    <w:rsid w:val="00077788"/>
    <w:rsid w:val="000777DB"/>
    <w:rsid w:val="00080479"/>
    <w:rsid w:val="00080C91"/>
    <w:rsid w:val="00081E58"/>
    <w:rsid w:val="00084056"/>
    <w:rsid w:val="00084085"/>
    <w:rsid w:val="000843AE"/>
    <w:rsid w:val="00084AD3"/>
    <w:rsid w:val="00085720"/>
    <w:rsid w:val="00085DDD"/>
    <w:rsid w:val="00086F23"/>
    <w:rsid w:val="000874F6"/>
    <w:rsid w:val="00090828"/>
    <w:rsid w:val="0009083C"/>
    <w:rsid w:val="00090A07"/>
    <w:rsid w:val="00090FA6"/>
    <w:rsid w:val="00090FD7"/>
    <w:rsid w:val="000925AC"/>
    <w:rsid w:val="000927A3"/>
    <w:rsid w:val="00092F8F"/>
    <w:rsid w:val="0009358F"/>
    <w:rsid w:val="00094007"/>
    <w:rsid w:val="00095189"/>
    <w:rsid w:val="0009559A"/>
    <w:rsid w:val="00095DEF"/>
    <w:rsid w:val="000967E2"/>
    <w:rsid w:val="00096C42"/>
    <w:rsid w:val="00097C86"/>
    <w:rsid w:val="000A0398"/>
    <w:rsid w:val="000A0D3C"/>
    <w:rsid w:val="000A2AF4"/>
    <w:rsid w:val="000A2CA5"/>
    <w:rsid w:val="000A3817"/>
    <w:rsid w:val="000A41FD"/>
    <w:rsid w:val="000A4A55"/>
    <w:rsid w:val="000A569B"/>
    <w:rsid w:val="000A7403"/>
    <w:rsid w:val="000A7D07"/>
    <w:rsid w:val="000B0A2E"/>
    <w:rsid w:val="000B0F51"/>
    <w:rsid w:val="000B1596"/>
    <w:rsid w:val="000B1B81"/>
    <w:rsid w:val="000B1DE8"/>
    <w:rsid w:val="000B283B"/>
    <w:rsid w:val="000B3303"/>
    <w:rsid w:val="000B3431"/>
    <w:rsid w:val="000B489F"/>
    <w:rsid w:val="000B4C5B"/>
    <w:rsid w:val="000B5039"/>
    <w:rsid w:val="000B55BE"/>
    <w:rsid w:val="000B5C3A"/>
    <w:rsid w:val="000B5E88"/>
    <w:rsid w:val="000B6027"/>
    <w:rsid w:val="000B6648"/>
    <w:rsid w:val="000B786B"/>
    <w:rsid w:val="000C079C"/>
    <w:rsid w:val="000C0EE5"/>
    <w:rsid w:val="000C13A1"/>
    <w:rsid w:val="000C260D"/>
    <w:rsid w:val="000C30AC"/>
    <w:rsid w:val="000C4579"/>
    <w:rsid w:val="000C463E"/>
    <w:rsid w:val="000C4E06"/>
    <w:rsid w:val="000C5056"/>
    <w:rsid w:val="000C52AB"/>
    <w:rsid w:val="000C5AA2"/>
    <w:rsid w:val="000C5C93"/>
    <w:rsid w:val="000C5D12"/>
    <w:rsid w:val="000C6F15"/>
    <w:rsid w:val="000C6F2A"/>
    <w:rsid w:val="000D1F8D"/>
    <w:rsid w:val="000D21F1"/>
    <w:rsid w:val="000D252E"/>
    <w:rsid w:val="000D2ED1"/>
    <w:rsid w:val="000D3548"/>
    <w:rsid w:val="000D3551"/>
    <w:rsid w:val="000D35B5"/>
    <w:rsid w:val="000D42D0"/>
    <w:rsid w:val="000D5211"/>
    <w:rsid w:val="000D5B51"/>
    <w:rsid w:val="000D65FC"/>
    <w:rsid w:val="000D6B45"/>
    <w:rsid w:val="000D6FB3"/>
    <w:rsid w:val="000D7254"/>
    <w:rsid w:val="000D753D"/>
    <w:rsid w:val="000D76E1"/>
    <w:rsid w:val="000D7823"/>
    <w:rsid w:val="000E0DB3"/>
    <w:rsid w:val="000E10A5"/>
    <w:rsid w:val="000E1407"/>
    <w:rsid w:val="000E1A63"/>
    <w:rsid w:val="000E33CF"/>
    <w:rsid w:val="000E4C3D"/>
    <w:rsid w:val="000E6849"/>
    <w:rsid w:val="000E72B9"/>
    <w:rsid w:val="000F05AB"/>
    <w:rsid w:val="000F091D"/>
    <w:rsid w:val="000F1B68"/>
    <w:rsid w:val="000F2179"/>
    <w:rsid w:val="000F278B"/>
    <w:rsid w:val="000F2955"/>
    <w:rsid w:val="000F2C67"/>
    <w:rsid w:val="000F40C0"/>
    <w:rsid w:val="000F45C8"/>
    <w:rsid w:val="000F4BBE"/>
    <w:rsid w:val="000F50C6"/>
    <w:rsid w:val="000F51EA"/>
    <w:rsid w:val="000F5AD4"/>
    <w:rsid w:val="000F7BB7"/>
    <w:rsid w:val="000F7CF5"/>
    <w:rsid w:val="00100471"/>
    <w:rsid w:val="001019D6"/>
    <w:rsid w:val="00101E5F"/>
    <w:rsid w:val="001025D9"/>
    <w:rsid w:val="00102EBB"/>
    <w:rsid w:val="00104353"/>
    <w:rsid w:val="00105F22"/>
    <w:rsid w:val="001062D4"/>
    <w:rsid w:val="00106436"/>
    <w:rsid w:val="001066B1"/>
    <w:rsid w:val="00107DA6"/>
    <w:rsid w:val="001108D6"/>
    <w:rsid w:val="001109ED"/>
    <w:rsid w:val="00111268"/>
    <w:rsid w:val="00111C02"/>
    <w:rsid w:val="00111FF3"/>
    <w:rsid w:val="001128C3"/>
    <w:rsid w:val="00112A83"/>
    <w:rsid w:val="00113E49"/>
    <w:rsid w:val="00113E95"/>
    <w:rsid w:val="00114A01"/>
    <w:rsid w:val="00114CF3"/>
    <w:rsid w:val="00115CA3"/>
    <w:rsid w:val="00116F55"/>
    <w:rsid w:val="00116F93"/>
    <w:rsid w:val="00117445"/>
    <w:rsid w:val="00117B2C"/>
    <w:rsid w:val="0012046B"/>
    <w:rsid w:val="001209B5"/>
    <w:rsid w:val="00120E02"/>
    <w:rsid w:val="001214C7"/>
    <w:rsid w:val="00121F6B"/>
    <w:rsid w:val="00122362"/>
    <w:rsid w:val="0012259E"/>
    <w:rsid w:val="001228C8"/>
    <w:rsid w:val="00122C0D"/>
    <w:rsid w:val="00122D4D"/>
    <w:rsid w:val="0012481C"/>
    <w:rsid w:val="001269FF"/>
    <w:rsid w:val="001303A1"/>
    <w:rsid w:val="001303B7"/>
    <w:rsid w:val="00131D1B"/>
    <w:rsid w:val="00132B99"/>
    <w:rsid w:val="00132BF1"/>
    <w:rsid w:val="001330BB"/>
    <w:rsid w:val="001339C6"/>
    <w:rsid w:val="00134327"/>
    <w:rsid w:val="001347A9"/>
    <w:rsid w:val="00135872"/>
    <w:rsid w:val="00136173"/>
    <w:rsid w:val="00136D1E"/>
    <w:rsid w:val="001377F8"/>
    <w:rsid w:val="00137F99"/>
    <w:rsid w:val="0014084B"/>
    <w:rsid w:val="001440F2"/>
    <w:rsid w:val="00145318"/>
    <w:rsid w:val="001455A1"/>
    <w:rsid w:val="00145AE6"/>
    <w:rsid w:val="00145F46"/>
    <w:rsid w:val="001460D9"/>
    <w:rsid w:val="001466BF"/>
    <w:rsid w:val="00146976"/>
    <w:rsid w:val="00146C44"/>
    <w:rsid w:val="001477E7"/>
    <w:rsid w:val="00147FD9"/>
    <w:rsid w:val="00150025"/>
    <w:rsid w:val="00150964"/>
    <w:rsid w:val="00150A27"/>
    <w:rsid w:val="00150F2A"/>
    <w:rsid w:val="00152078"/>
    <w:rsid w:val="00154963"/>
    <w:rsid w:val="0015596B"/>
    <w:rsid w:val="00155D1F"/>
    <w:rsid w:val="001561B1"/>
    <w:rsid w:val="00157A5C"/>
    <w:rsid w:val="001600A3"/>
    <w:rsid w:val="0016132F"/>
    <w:rsid w:val="0016174D"/>
    <w:rsid w:val="00162B36"/>
    <w:rsid w:val="0016317C"/>
    <w:rsid w:val="00164DCB"/>
    <w:rsid w:val="00165642"/>
    <w:rsid w:val="00165B64"/>
    <w:rsid w:val="00165D82"/>
    <w:rsid w:val="00166C40"/>
    <w:rsid w:val="00166F24"/>
    <w:rsid w:val="00167BBE"/>
    <w:rsid w:val="00171489"/>
    <w:rsid w:val="001721A5"/>
    <w:rsid w:val="0017293A"/>
    <w:rsid w:val="00172A27"/>
    <w:rsid w:val="00172DEA"/>
    <w:rsid w:val="00172F37"/>
    <w:rsid w:val="00174134"/>
    <w:rsid w:val="001745A8"/>
    <w:rsid w:val="00175461"/>
    <w:rsid w:val="00176A64"/>
    <w:rsid w:val="00176B11"/>
    <w:rsid w:val="00176C6C"/>
    <w:rsid w:val="00177E29"/>
    <w:rsid w:val="00177F0D"/>
    <w:rsid w:val="00177F8E"/>
    <w:rsid w:val="001806AD"/>
    <w:rsid w:val="00181796"/>
    <w:rsid w:val="001818BD"/>
    <w:rsid w:val="0018204B"/>
    <w:rsid w:val="00182F9F"/>
    <w:rsid w:val="00184528"/>
    <w:rsid w:val="00184AF6"/>
    <w:rsid w:val="001862DC"/>
    <w:rsid w:val="00186401"/>
    <w:rsid w:val="00186442"/>
    <w:rsid w:val="001866A1"/>
    <w:rsid w:val="001923EA"/>
    <w:rsid w:val="00192735"/>
    <w:rsid w:val="00192FBA"/>
    <w:rsid w:val="00193696"/>
    <w:rsid w:val="00193EC6"/>
    <w:rsid w:val="0019411E"/>
    <w:rsid w:val="001947FB"/>
    <w:rsid w:val="00195720"/>
    <w:rsid w:val="001958B9"/>
    <w:rsid w:val="00196CDD"/>
    <w:rsid w:val="001975C9"/>
    <w:rsid w:val="001A065E"/>
    <w:rsid w:val="001A189F"/>
    <w:rsid w:val="001A293D"/>
    <w:rsid w:val="001A2A77"/>
    <w:rsid w:val="001A3908"/>
    <w:rsid w:val="001A3A5A"/>
    <w:rsid w:val="001A4457"/>
    <w:rsid w:val="001A5133"/>
    <w:rsid w:val="001A5EA1"/>
    <w:rsid w:val="001A6DCB"/>
    <w:rsid w:val="001A773A"/>
    <w:rsid w:val="001A77C4"/>
    <w:rsid w:val="001A7BE0"/>
    <w:rsid w:val="001B15C6"/>
    <w:rsid w:val="001B17D1"/>
    <w:rsid w:val="001B229E"/>
    <w:rsid w:val="001B2B2F"/>
    <w:rsid w:val="001B2DEF"/>
    <w:rsid w:val="001B412E"/>
    <w:rsid w:val="001B4136"/>
    <w:rsid w:val="001B45EF"/>
    <w:rsid w:val="001B48E0"/>
    <w:rsid w:val="001B4D7D"/>
    <w:rsid w:val="001B5125"/>
    <w:rsid w:val="001B5B97"/>
    <w:rsid w:val="001B6AA4"/>
    <w:rsid w:val="001C023F"/>
    <w:rsid w:val="001C02D5"/>
    <w:rsid w:val="001C0500"/>
    <w:rsid w:val="001C059B"/>
    <w:rsid w:val="001C0B84"/>
    <w:rsid w:val="001C1192"/>
    <w:rsid w:val="001C1E56"/>
    <w:rsid w:val="001C28B3"/>
    <w:rsid w:val="001C2CF6"/>
    <w:rsid w:val="001C4064"/>
    <w:rsid w:val="001C49F4"/>
    <w:rsid w:val="001C71D7"/>
    <w:rsid w:val="001D0F66"/>
    <w:rsid w:val="001D125F"/>
    <w:rsid w:val="001D16DA"/>
    <w:rsid w:val="001D17FB"/>
    <w:rsid w:val="001D2271"/>
    <w:rsid w:val="001D23D8"/>
    <w:rsid w:val="001D251C"/>
    <w:rsid w:val="001D3B3D"/>
    <w:rsid w:val="001D42FF"/>
    <w:rsid w:val="001D4381"/>
    <w:rsid w:val="001D47CF"/>
    <w:rsid w:val="001D4A3E"/>
    <w:rsid w:val="001D4B38"/>
    <w:rsid w:val="001D6225"/>
    <w:rsid w:val="001D6439"/>
    <w:rsid w:val="001D6D8C"/>
    <w:rsid w:val="001D7E9C"/>
    <w:rsid w:val="001E054D"/>
    <w:rsid w:val="001E0FAD"/>
    <w:rsid w:val="001E1308"/>
    <w:rsid w:val="001E1520"/>
    <w:rsid w:val="001E19DD"/>
    <w:rsid w:val="001E19F9"/>
    <w:rsid w:val="001E2C16"/>
    <w:rsid w:val="001E394D"/>
    <w:rsid w:val="001E39AA"/>
    <w:rsid w:val="001E3AAF"/>
    <w:rsid w:val="001E3D84"/>
    <w:rsid w:val="001E4F0E"/>
    <w:rsid w:val="001E594C"/>
    <w:rsid w:val="001E6BFA"/>
    <w:rsid w:val="001E6F59"/>
    <w:rsid w:val="001F07E9"/>
    <w:rsid w:val="001F0D0C"/>
    <w:rsid w:val="001F11F5"/>
    <w:rsid w:val="001F12EE"/>
    <w:rsid w:val="001F24B9"/>
    <w:rsid w:val="001F31AC"/>
    <w:rsid w:val="001F3815"/>
    <w:rsid w:val="001F3DB0"/>
    <w:rsid w:val="001F3E77"/>
    <w:rsid w:val="001F57A7"/>
    <w:rsid w:val="001F5A67"/>
    <w:rsid w:val="001F6B1B"/>
    <w:rsid w:val="001F7FF6"/>
    <w:rsid w:val="00200EBF"/>
    <w:rsid w:val="00204651"/>
    <w:rsid w:val="00204D75"/>
    <w:rsid w:val="002050D7"/>
    <w:rsid w:val="002051B0"/>
    <w:rsid w:val="00205225"/>
    <w:rsid w:val="00205413"/>
    <w:rsid w:val="00205AEF"/>
    <w:rsid w:val="00205D72"/>
    <w:rsid w:val="0020686F"/>
    <w:rsid w:val="002076AA"/>
    <w:rsid w:val="0021027A"/>
    <w:rsid w:val="00212A14"/>
    <w:rsid w:val="00214D7A"/>
    <w:rsid w:val="00214D88"/>
    <w:rsid w:val="00215286"/>
    <w:rsid w:val="00215906"/>
    <w:rsid w:val="002159C6"/>
    <w:rsid w:val="00215A2A"/>
    <w:rsid w:val="00215CE0"/>
    <w:rsid w:val="00215DA1"/>
    <w:rsid w:val="00216156"/>
    <w:rsid w:val="0021687E"/>
    <w:rsid w:val="002168E9"/>
    <w:rsid w:val="0021733C"/>
    <w:rsid w:val="002207FA"/>
    <w:rsid w:val="00221627"/>
    <w:rsid w:val="00221E51"/>
    <w:rsid w:val="00221F8E"/>
    <w:rsid w:val="00221FE1"/>
    <w:rsid w:val="002220C5"/>
    <w:rsid w:val="00222689"/>
    <w:rsid w:val="00223852"/>
    <w:rsid w:val="00223ADA"/>
    <w:rsid w:val="002245B9"/>
    <w:rsid w:val="00224A21"/>
    <w:rsid w:val="00225099"/>
    <w:rsid w:val="002250CA"/>
    <w:rsid w:val="0022607A"/>
    <w:rsid w:val="00226152"/>
    <w:rsid w:val="00226456"/>
    <w:rsid w:val="002264D0"/>
    <w:rsid w:val="002270BE"/>
    <w:rsid w:val="00232211"/>
    <w:rsid w:val="002329B7"/>
    <w:rsid w:val="00232AD2"/>
    <w:rsid w:val="002330FC"/>
    <w:rsid w:val="002343A7"/>
    <w:rsid w:val="0023462F"/>
    <w:rsid w:val="00234BF0"/>
    <w:rsid w:val="00235CE8"/>
    <w:rsid w:val="002369E6"/>
    <w:rsid w:val="00237DCC"/>
    <w:rsid w:val="00237DD3"/>
    <w:rsid w:val="00237F17"/>
    <w:rsid w:val="0024052C"/>
    <w:rsid w:val="002410BB"/>
    <w:rsid w:val="0024122A"/>
    <w:rsid w:val="00241889"/>
    <w:rsid w:val="00243253"/>
    <w:rsid w:val="002432CD"/>
    <w:rsid w:val="002476F0"/>
    <w:rsid w:val="00247DA6"/>
    <w:rsid w:val="00251F81"/>
    <w:rsid w:val="0025253B"/>
    <w:rsid w:val="002526AC"/>
    <w:rsid w:val="00252997"/>
    <w:rsid w:val="002534E3"/>
    <w:rsid w:val="00253DE9"/>
    <w:rsid w:val="00254512"/>
    <w:rsid w:val="00254725"/>
    <w:rsid w:val="002555DD"/>
    <w:rsid w:val="002555E1"/>
    <w:rsid w:val="00255C94"/>
    <w:rsid w:val="00257031"/>
    <w:rsid w:val="00257CB4"/>
    <w:rsid w:val="002603C8"/>
    <w:rsid w:val="0026138C"/>
    <w:rsid w:val="00262012"/>
    <w:rsid w:val="00263DE8"/>
    <w:rsid w:val="0026466E"/>
    <w:rsid w:val="00264D7B"/>
    <w:rsid w:val="00264EBF"/>
    <w:rsid w:val="00265DD9"/>
    <w:rsid w:val="002667EA"/>
    <w:rsid w:val="00266C56"/>
    <w:rsid w:val="00267A99"/>
    <w:rsid w:val="002702C1"/>
    <w:rsid w:val="0027264B"/>
    <w:rsid w:val="002736CE"/>
    <w:rsid w:val="002742E2"/>
    <w:rsid w:val="00274CFD"/>
    <w:rsid w:val="00274ED6"/>
    <w:rsid w:val="002752C6"/>
    <w:rsid w:val="002755EF"/>
    <w:rsid w:val="0027586B"/>
    <w:rsid w:val="00276BC6"/>
    <w:rsid w:val="00276C59"/>
    <w:rsid w:val="0027792D"/>
    <w:rsid w:val="00281357"/>
    <w:rsid w:val="00282A25"/>
    <w:rsid w:val="00282F72"/>
    <w:rsid w:val="002830A8"/>
    <w:rsid w:val="00283515"/>
    <w:rsid w:val="00283721"/>
    <w:rsid w:val="00283BAD"/>
    <w:rsid w:val="0028466A"/>
    <w:rsid w:val="002846E8"/>
    <w:rsid w:val="002849BD"/>
    <w:rsid w:val="00284F98"/>
    <w:rsid w:val="0028561D"/>
    <w:rsid w:val="00285FF7"/>
    <w:rsid w:val="002860F1"/>
    <w:rsid w:val="002907E7"/>
    <w:rsid w:val="00291148"/>
    <w:rsid w:val="00292278"/>
    <w:rsid w:val="00295263"/>
    <w:rsid w:val="0029555F"/>
    <w:rsid w:val="00295590"/>
    <w:rsid w:val="0029631A"/>
    <w:rsid w:val="00297BEE"/>
    <w:rsid w:val="002A05DC"/>
    <w:rsid w:val="002A0F20"/>
    <w:rsid w:val="002A104F"/>
    <w:rsid w:val="002A13A2"/>
    <w:rsid w:val="002A3274"/>
    <w:rsid w:val="002A32D9"/>
    <w:rsid w:val="002A3CF1"/>
    <w:rsid w:val="002A59B9"/>
    <w:rsid w:val="002A5E8D"/>
    <w:rsid w:val="002A68CD"/>
    <w:rsid w:val="002B13CB"/>
    <w:rsid w:val="002B14EA"/>
    <w:rsid w:val="002B1854"/>
    <w:rsid w:val="002B1A51"/>
    <w:rsid w:val="002B2AE1"/>
    <w:rsid w:val="002B3159"/>
    <w:rsid w:val="002B3A8F"/>
    <w:rsid w:val="002B3E1F"/>
    <w:rsid w:val="002B4646"/>
    <w:rsid w:val="002B5324"/>
    <w:rsid w:val="002B5C76"/>
    <w:rsid w:val="002B5C91"/>
    <w:rsid w:val="002B5F4B"/>
    <w:rsid w:val="002B6603"/>
    <w:rsid w:val="002B6F5F"/>
    <w:rsid w:val="002C0828"/>
    <w:rsid w:val="002C124B"/>
    <w:rsid w:val="002C1A0B"/>
    <w:rsid w:val="002C33AF"/>
    <w:rsid w:val="002C370D"/>
    <w:rsid w:val="002C3B75"/>
    <w:rsid w:val="002C450A"/>
    <w:rsid w:val="002C47E9"/>
    <w:rsid w:val="002C4E26"/>
    <w:rsid w:val="002C4E6C"/>
    <w:rsid w:val="002C5092"/>
    <w:rsid w:val="002C54BF"/>
    <w:rsid w:val="002C5519"/>
    <w:rsid w:val="002C59CD"/>
    <w:rsid w:val="002C67E5"/>
    <w:rsid w:val="002C6D0D"/>
    <w:rsid w:val="002C6F5D"/>
    <w:rsid w:val="002D0639"/>
    <w:rsid w:val="002D08F4"/>
    <w:rsid w:val="002D097F"/>
    <w:rsid w:val="002D0D0C"/>
    <w:rsid w:val="002D1258"/>
    <w:rsid w:val="002D13E8"/>
    <w:rsid w:val="002D2807"/>
    <w:rsid w:val="002D2D97"/>
    <w:rsid w:val="002D3BDF"/>
    <w:rsid w:val="002D426C"/>
    <w:rsid w:val="002D4721"/>
    <w:rsid w:val="002D472F"/>
    <w:rsid w:val="002D4803"/>
    <w:rsid w:val="002D6CDA"/>
    <w:rsid w:val="002D6EFD"/>
    <w:rsid w:val="002E0D86"/>
    <w:rsid w:val="002E16AE"/>
    <w:rsid w:val="002E1795"/>
    <w:rsid w:val="002E1871"/>
    <w:rsid w:val="002E1A25"/>
    <w:rsid w:val="002E1C38"/>
    <w:rsid w:val="002E3521"/>
    <w:rsid w:val="002E37F4"/>
    <w:rsid w:val="002E43A5"/>
    <w:rsid w:val="002E5665"/>
    <w:rsid w:val="002E7318"/>
    <w:rsid w:val="002E7617"/>
    <w:rsid w:val="002E7C56"/>
    <w:rsid w:val="002E7D8E"/>
    <w:rsid w:val="002F0408"/>
    <w:rsid w:val="002F06FF"/>
    <w:rsid w:val="002F210E"/>
    <w:rsid w:val="002F27B6"/>
    <w:rsid w:val="002F2B50"/>
    <w:rsid w:val="002F3CDE"/>
    <w:rsid w:val="002F405F"/>
    <w:rsid w:val="002F491B"/>
    <w:rsid w:val="002F4953"/>
    <w:rsid w:val="002F4ACB"/>
    <w:rsid w:val="002F7430"/>
    <w:rsid w:val="002F777B"/>
    <w:rsid w:val="00300191"/>
    <w:rsid w:val="00300414"/>
    <w:rsid w:val="00300578"/>
    <w:rsid w:val="00300AAF"/>
    <w:rsid w:val="00300F8D"/>
    <w:rsid w:val="00304FC4"/>
    <w:rsid w:val="003059F4"/>
    <w:rsid w:val="0030689E"/>
    <w:rsid w:val="003068D7"/>
    <w:rsid w:val="003071B2"/>
    <w:rsid w:val="00307599"/>
    <w:rsid w:val="003075B8"/>
    <w:rsid w:val="00310399"/>
    <w:rsid w:val="00310D8D"/>
    <w:rsid w:val="0031445A"/>
    <w:rsid w:val="003149F6"/>
    <w:rsid w:val="00315977"/>
    <w:rsid w:val="00316368"/>
    <w:rsid w:val="003174B4"/>
    <w:rsid w:val="0032047A"/>
    <w:rsid w:val="00320939"/>
    <w:rsid w:val="00320F9D"/>
    <w:rsid w:val="00321B76"/>
    <w:rsid w:val="00321BBE"/>
    <w:rsid w:val="00323813"/>
    <w:rsid w:val="00325077"/>
    <w:rsid w:val="0032515F"/>
    <w:rsid w:val="003253BE"/>
    <w:rsid w:val="00325C89"/>
    <w:rsid w:val="0032679D"/>
    <w:rsid w:val="00326D1D"/>
    <w:rsid w:val="00327D78"/>
    <w:rsid w:val="00327D80"/>
    <w:rsid w:val="00327DF9"/>
    <w:rsid w:val="00327E48"/>
    <w:rsid w:val="003302F7"/>
    <w:rsid w:val="00332437"/>
    <w:rsid w:val="00332A1C"/>
    <w:rsid w:val="00332A90"/>
    <w:rsid w:val="00332AB7"/>
    <w:rsid w:val="00332B68"/>
    <w:rsid w:val="00333E90"/>
    <w:rsid w:val="00334C69"/>
    <w:rsid w:val="00334E81"/>
    <w:rsid w:val="00335E6A"/>
    <w:rsid w:val="00337322"/>
    <w:rsid w:val="00340CDE"/>
    <w:rsid w:val="0034133E"/>
    <w:rsid w:val="003415A1"/>
    <w:rsid w:val="00342048"/>
    <w:rsid w:val="00342994"/>
    <w:rsid w:val="00342F54"/>
    <w:rsid w:val="00343735"/>
    <w:rsid w:val="00343F87"/>
    <w:rsid w:val="00345DCC"/>
    <w:rsid w:val="00346101"/>
    <w:rsid w:val="00346CAB"/>
    <w:rsid w:val="00347C24"/>
    <w:rsid w:val="00347EB1"/>
    <w:rsid w:val="003508F6"/>
    <w:rsid w:val="00351DDB"/>
    <w:rsid w:val="00351FF3"/>
    <w:rsid w:val="00352B90"/>
    <w:rsid w:val="00353231"/>
    <w:rsid w:val="00353F39"/>
    <w:rsid w:val="00354D6E"/>
    <w:rsid w:val="0035514C"/>
    <w:rsid w:val="00356084"/>
    <w:rsid w:val="003568C0"/>
    <w:rsid w:val="00356E07"/>
    <w:rsid w:val="0036056A"/>
    <w:rsid w:val="00363664"/>
    <w:rsid w:val="003639E8"/>
    <w:rsid w:val="003642D2"/>
    <w:rsid w:val="0036450C"/>
    <w:rsid w:val="00364574"/>
    <w:rsid w:val="0036468B"/>
    <w:rsid w:val="0036546D"/>
    <w:rsid w:val="003664C3"/>
    <w:rsid w:val="003675A1"/>
    <w:rsid w:val="0036773D"/>
    <w:rsid w:val="00367FEB"/>
    <w:rsid w:val="003711C1"/>
    <w:rsid w:val="00371BC3"/>
    <w:rsid w:val="00371CBE"/>
    <w:rsid w:val="00372C24"/>
    <w:rsid w:val="00372C38"/>
    <w:rsid w:val="00372C9E"/>
    <w:rsid w:val="0037332F"/>
    <w:rsid w:val="00373AD4"/>
    <w:rsid w:val="0037428F"/>
    <w:rsid w:val="00374539"/>
    <w:rsid w:val="003747BD"/>
    <w:rsid w:val="00374DD5"/>
    <w:rsid w:val="0037591D"/>
    <w:rsid w:val="00376E05"/>
    <w:rsid w:val="0037720A"/>
    <w:rsid w:val="003774FC"/>
    <w:rsid w:val="00377F5B"/>
    <w:rsid w:val="0038006D"/>
    <w:rsid w:val="00381EB9"/>
    <w:rsid w:val="0038206D"/>
    <w:rsid w:val="00383A81"/>
    <w:rsid w:val="00383D6A"/>
    <w:rsid w:val="00384693"/>
    <w:rsid w:val="00385DC1"/>
    <w:rsid w:val="00385F02"/>
    <w:rsid w:val="0038641A"/>
    <w:rsid w:val="00386DED"/>
    <w:rsid w:val="0038719C"/>
    <w:rsid w:val="00390E97"/>
    <w:rsid w:val="003924AE"/>
    <w:rsid w:val="00392E76"/>
    <w:rsid w:val="00393BF6"/>
    <w:rsid w:val="00393F1C"/>
    <w:rsid w:val="00393F6E"/>
    <w:rsid w:val="00394276"/>
    <w:rsid w:val="00394BA4"/>
    <w:rsid w:val="0039597A"/>
    <w:rsid w:val="0039697D"/>
    <w:rsid w:val="00396DAE"/>
    <w:rsid w:val="0039750E"/>
    <w:rsid w:val="00397618"/>
    <w:rsid w:val="00397731"/>
    <w:rsid w:val="00397EA7"/>
    <w:rsid w:val="003A1350"/>
    <w:rsid w:val="003A17CE"/>
    <w:rsid w:val="003A1920"/>
    <w:rsid w:val="003A1A61"/>
    <w:rsid w:val="003A2C3E"/>
    <w:rsid w:val="003A2D49"/>
    <w:rsid w:val="003A3487"/>
    <w:rsid w:val="003A5228"/>
    <w:rsid w:val="003A583A"/>
    <w:rsid w:val="003A591A"/>
    <w:rsid w:val="003A5F2B"/>
    <w:rsid w:val="003A722D"/>
    <w:rsid w:val="003B01FB"/>
    <w:rsid w:val="003B0557"/>
    <w:rsid w:val="003B0E02"/>
    <w:rsid w:val="003B0FDA"/>
    <w:rsid w:val="003B1656"/>
    <w:rsid w:val="003B231B"/>
    <w:rsid w:val="003B3157"/>
    <w:rsid w:val="003B3FC0"/>
    <w:rsid w:val="003B417F"/>
    <w:rsid w:val="003B4786"/>
    <w:rsid w:val="003B56E2"/>
    <w:rsid w:val="003B5926"/>
    <w:rsid w:val="003B602A"/>
    <w:rsid w:val="003B71D0"/>
    <w:rsid w:val="003B7450"/>
    <w:rsid w:val="003C2C74"/>
    <w:rsid w:val="003C3055"/>
    <w:rsid w:val="003C3EAC"/>
    <w:rsid w:val="003C4015"/>
    <w:rsid w:val="003C45E6"/>
    <w:rsid w:val="003C4A67"/>
    <w:rsid w:val="003C568C"/>
    <w:rsid w:val="003C56E9"/>
    <w:rsid w:val="003C63A8"/>
    <w:rsid w:val="003C6725"/>
    <w:rsid w:val="003C6F78"/>
    <w:rsid w:val="003C703E"/>
    <w:rsid w:val="003C7107"/>
    <w:rsid w:val="003D0D2D"/>
    <w:rsid w:val="003D16A1"/>
    <w:rsid w:val="003D16F1"/>
    <w:rsid w:val="003D1778"/>
    <w:rsid w:val="003D1B5E"/>
    <w:rsid w:val="003D28A5"/>
    <w:rsid w:val="003D30C9"/>
    <w:rsid w:val="003D472B"/>
    <w:rsid w:val="003D4F91"/>
    <w:rsid w:val="003D5092"/>
    <w:rsid w:val="003D6240"/>
    <w:rsid w:val="003D7A99"/>
    <w:rsid w:val="003D7D65"/>
    <w:rsid w:val="003E007A"/>
    <w:rsid w:val="003E09C9"/>
    <w:rsid w:val="003E0CFA"/>
    <w:rsid w:val="003E0D77"/>
    <w:rsid w:val="003E0DA2"/>
    <w:rsid w:val="003E11B1"/>
    <w:rsid w:val="003E11D8"/>
    <w:rsid w:val="003E1873"/>
    <w:rsid w:val="003E25CD"/>
    <w:rsid w:val="003E25DA"/>
    <w:rsid w:val="003E2BDE"/>
    <w:rsid w:val="003E2F13"/>
    <w:rsid w:val="003E3005"/>
    <w:rsid w:val="003E3092"/>
    <w:rsid w:val="003E386C"/>
    <w:rsid w:val="003E44BC"/>
    <w:rsid w:val="003E509B"/>
    <w:rsid w:val="003E60A8"/>
    <w:rsid w:val="003E6141"/>
    <w:rsid w:val="003E620D"/>
    <w:rsid w:val="003E6F86"/>
    <w:rsid w:val="003F111F"/>
    <w:rsid w:val="003F1441"/>
    <w:rsid w:val="003F1A7F"/>
    <w:rsid w:val="003F330F"/>
    <w:rsid w:val="003F36C9"/>
    <w:rsid w:val="003F43BB"/>
    <w:rsid w:val="003F441E"/>
    <w:rsid w:val="003F4A7C"/>
    <w:rsid w:val="003F5144"/>
    <w:rsid w:val="003F584D"/>
    <w:rsid w:val="003F5DC0"/>
    <w:rsid w:val="003F73B2"/>
    <w:rsid w:val="00400538"/>
    <w:rsid w:val="0040067C"/>
    <w:rsid w:val="004012CF"/>
    <w:rsid w:val="0040177F"/>
    <w:rsid w:val="00401801"/>
    <w:rsid w:val="00402034"/>
    <w:rsid w:val="00402AC1"/>
    <w:rsid w:val="00402FB4"/>
    <w:rsid w:val="004032FE"/>
    <w:rsid w:val="00403576"/>
    <w:rsid w:val="00403A5F"/>
    <w:rsid w:val="00404A4F"/>
    <w:rsid w:val="00405414"/>
    <w:rsid w:val="004058F1"/>
    <w:rsid w:val="00405B47"/>
    <w:rsid w:val="00406172"/>
    <w:rsid w:val="004061C3"/>
    <w:rsid w:val="0040716B"/>
    <w:rsid w:val="00407301"/>
    <w:rsid w:val="00407985"/>
    <w:rsid w:val="00410BE9"/>
    <w:rsid w:val="004117D4"/>
    <w:rsid w:val="00411C6C"/>
    <w:rsid w:val="004133BA"/>
    <w:rsid w:val="00413638"/>
    <w:rsid w:val="00413B4D"/>
    <w:rsid w:val="00413ED4"/>
    <w:rsid w:val="00414B0A"/>
    <w:rsid w:val="00414B6F"/>
    <w:rsid w:val="00414DD6"/>
    <w:rsid w:val="004159EE"/>
    <w:rsid w:val="0041663C"/>
    <w:rsid w:val="00417D6B"/>
    <w:rsid w:val="00422EB1"/>
    <w:rsid w:val="00422F2E"/>
    <w:rsid w:val="0042336B"/>
    <w:rsid w:val="004237E6"/>
    <w:rsid w:val="00424573"/>
    <w:rsid w:val="00425258"/>
    <w:rsid w:val="0042547A"/>
    <w:rsid w:val="0042551A"/>
    <w:rsid w:val="00425FAD"/>
    <w:rsid w:val="00426C16"/>
    <w:rsid w:val="00426CCD"/>
    <w:rsid w:val="00426F2C"/>
    <w:rsid w:val="00426F58"/>
    <w:rsid w:val="0042720C"/>
    <w:rsid w:val="004307C5"/>
    <w:rsid w:val="00430AD8"/>
    <w:rsid w:val="00430E04"/>
    <w:rsid w:val="00433728"/>
    <w:rsid w:val="004338FB"/>
    <w:rsid w:val="00433CB6"/>
    <w:rsid w:val="00434569"/>
    <w:rsid w:val="00434775"/>
    <w:rsid w:val="00436264"/>
    <w:rsid w:val="0043688D"/>
    <w:rsid w:val="0044016F"/>
    <w:rsid w:val="004403BC"/>
    <w:rsid w:val="00440C8E"/>
    <w:rsid w:val="004411B0"/>
    <w:rsid w:val="0044183D"/>
    <w:rsid w:val="00441862"/>
    <w:rsid w:val="004422F3"/>
    <w:rsid w:val="004424D6"/>
    <w:rsid w:val="004426D5"/>
    <w:rsid w:val="00442B64"/>
    <w:rsid w:val="004437A8"/>
    <w:rsid w:val="00443AA8"/>
    <w:rsid w:val="00444AFB"/>
    <w:rsid w:val="00444F38"/>
    <w:rsid w:val="00445781"/>
    <w:rsid w:val="004468EF"/>
    <w:rsid w:val="00446F78"/>
    <w:rsid w:val="00450535"/>
    <w:rsid w:val="00450551"/>
    <w:rsid w:val="00450E73"/>
    <w:rsid w:val="00451333"/>
    <w:rsid w:val="00451AD8"/>
    <w:rsid w:val="00452BA8"/>
    <w:rsid w:val="00452C04"/>
    <w:rsid w:val="00452C3B"/>
    <w:rsid w:val="00453AEE"/>
    <w:rsid w:val="0045516B"/>
    <w:rsid w:val="00455783"/>
    <w:rsid w:val="00455C4E"/>
    <w:rsid w:val="00456C7D"/>
    <w:rsid w:val="00457C26"/>
    <w:rsid w:val="004607DA"/>
    <w:rsid w:val="00460A63"/>
    <w:rsid w:val="004611AB"/>
    <w:rsid w:val="00461886"/>
    <w:rsid w:val="004628A4"/>
    <w:rsid w:val="00462A0F"/>
    <w:rsid w:val="004645C9"/>
    <w:rsid w:val="00464BDB"/>
    <w:rsid w:val="00464FEE"/>
    <w:rsid w:val="004657E9"/>
    <w:rsid w:val="00465B8F"/>
    <w:rsid w:val="00465BC5"/>
    <w:rsid w:val="00467813"/>
    <w:rsid w:val="004704EB"/>
    <w:rsid w:val="00470B02"/>
    <w:rsid w:val="00470D29"/>
    <w:rsid w:val="004738CC"/>
    <w:rsid w:val="00473922"/>
    <w:rsid w:val="00473BE0"/>
    <w:rsid w:val="004742F2"/>
    <w:rsid w:val="004749A9"/>
    <w:rsid w:val="00474B56"/>
    <w:rsid w:val="00474B70"/>
    <w:rsid w:val="00474DD8"/>
    <w:rsid w:val="004750DD"/>
    <w:rsid w:val="0047645E"/>
    <w:rsid w:val="004779E1"/>
    <w:rsid w:val="00477CA6"/>
    <w:rsid w:val="00477F89"/>
    <w:rsid w:val="0048030D"/>
    <w:rsid w:val="004806FB"/>
    <w:rsid w:val="004807F6"/>
    <w:rsid w:val="00480C5C"/>
    <w:rsid w:val="00480F9B"/>
    <w:rsid w:val="004815B3"/>
    <w:rsid w:val="004815E1"/>
    <w:rsid w:val="004824CC"/>
    <w:rsid w:val="00482F64"/>
    <w:rsid w:val="00482FF5"/>
    <w:rsid w:val="0048533A"/>
    <w:rsid w:val="004861E3"/>
    <w:rsid w:val="004864EC"/>
    <w:rsid w:val="00486AB5"/>
    <w:rsid w:val="00486E1F"/>
    <w:rsid w:val="00487255"/>
    <w:rsid w:val="004877A9"/>
    <w:rsid w:val="00491E53"/>
    <w:rsid w:val="0049221E"/>
    <w:rsid w:val="0049286D"/>
    <w:rsid w:val="00492C5B"/>
    <w:rsid w:val="0049312E"/>
    <w:rsid w:val="004933BA"/>
    <w:rsid w:val="00493CD1"/>
    <w:rsid w:val="00494084"/>
    <w:rsid w:val="004944CE"/>
    <w:rsid w:val="00494BCE"/>
    <w:rsid w:val="0049512D"/>
    <w:rsid w:val="0049547D"/>
    <w:rsid w:val="004956F3"/>
    <w:rsid w:val="00496A42"/>
    <w:rsid w:val="00497B07"/>
    <w:rsid w:val="00497F32"/>
    <w:rsid w:val="004A0046"/>
    <w:rsid w:val="004A14A9"/>
    <w:rsid w:val="004A195A"/>
    <w:rsid w:val="004A2078"/>
    <w:rsid w:val="004A2959"/>
    <w:rsid w:val="004A3BE1"/>
    <w:rsid w:val="004A45C0"/>
    <w:rsid w:val="004A46D2"/>
    <w:rsid w:val="004A4B79"/>
    <w:rsid w:val="004A5051"/>
    <w:rsid w:val="004A7153"/>
    <w:rsid w:val="004A7948"/>
    <w:rsid w:val="004A7ADA"/>
    <w:rsid w:val="004B04F6"/>
    <w:rsid w:val="004B0657"/>
    <w:rsid w:val="004B134A"/>
    <w:rsid w:val="004B147C"/>
    <w:rsid w:val="004B256E"/>
    <w:rsid w:val="004B2D58"/>
    <w:rsid w:val="004B53F7"/>
    <w:rsid w:val="004B709E"/>
    <w:rsid w:val="004C0B6B"/>
    <w:rsid w:val="004C0FA9"/>
    <w:rsid w:val="004C1884"/>
    <w:rsid w:val="004C1AFC"/>
    <w:rsid w:val="004C3A86"/>
    <w:rsid w:val="004C52F8"/>
    <w:rsid w:val="004C552D"/>
    <w:rsid w:val="004C5E6B"/>
    <w:rsid w:val="004C6663"/>
    <w:rsid w:val="004C70BF"/>
    <w:rsid w:val="004D011B"/>
    <w:rsid w:val="004D09E3"/>
    <w:rsid w:val="004D0B12"/>
    <w:rsid w:val="004D0F84"/>
    <w:rsid w:val="004D1CA0"/>
    <w:rsid w:val="004D23CC"/>
    <w:rsid w:val="004D2C26"/>
    <w:rsid w:val="004D3D5B"/>
    <w:rsid w:val="004D51D6"/>
    <w:rsid w:val="004D62A4"/>
    <w:rsid w:val="004D646A"/>
    <w:rsid w:val="004D6CB7"/>
    <w:rsid w:val="004D7170"/>
    <w:rsid w:val="004D786D"/>
    <w:rsid w:val="004D79D7"/>
    <w:rsid w:val="004E104C"/>
    <w:rsid w:val="004E20A4"/>
    <w:rsid w:val="004E25EB"/>
    <w:rsid w:val="004E2FF4"/>
    <w:rsid w:val="004E37B5"/>
    <w:rsid w:val="004E3C1F"/>
    <w:rsid w:val="004E42F1"/>
    <w:rsid w:val="004E4817"/>
    <w:rsid w:val="004E5189"/>
    <w:rsid w:val="004E5C08"/>
    <w:rsid w:val="004E61F6"/>
    <w:rsid w:val="004E6478"/>
    <w:rsid w:val="004E670B"/>
    <w:rsid w:val="004E6B0B"/>
    <w:rsid w:val="004E755F"/>
    <w:rsid w:val="004E79D0"/>
    <w:rsid w:val="004F18EA"/>
    <w:rsid w:val="004F210D"/>
    <w:rsid w:val="004F22A2"/>
    <w:rsid w:val="004F2678"/>
    <w:rsid w:val="004F2D46"/>
    <w:rsid w:val="004F2DD9"/>
    <w:rsid w:val="004F4D07"/>
    <w:rsid w:val="004F58BD"/>
    <w:rsid w:val="004F6936"/>
    <w:rsid w:val="004F6BD5"/>
    <w:rsid w:val="004F74C3"/>
    <w:rsid w:val="004F7829"/>
    <w:rsid w:val="004F7B94"/>
    <w:rsid w:val="00500041"/>
    <w:rsid w:val="00500514"/>
    <w:rsid w:val="005005B7"/>
    <w:rsid w:val="0050073E"/>
    <w:rsid w:val="0050188D"/>
    <w:rsid w:val="0050241E"/>
    <w:rsid w:val="0050246E"/>
    <w:rsid w:val="005024B2"/>
    <w:rsid w:val="005041DF"/>
    <w:rsid w:val="00504207"/>
    <w:rsid w:val="005049DE"/>
    <w:rsid w:val="00504DDF"/>
    <w:rsid w:val="0050543E"/>
    <w:rsid w:val="00505AFF"/>
    <w:rsid w:val="00505C40"/>
    <w:rsid w:val="00506BCC"/>
    <w:rsid w:val="00506D93"/>
    <w:rsid w:val="0050725D"/>
    <w:rsid w:val="00507D2E"/>
    <w:rsid w:val="005105D0"/>
    <w:rsid w:val="00510C3C"/>
    <w:rsid w:val="00510F3D"/>
    <w:rsid w:val="0051174F"/>
    <w:rsid w:val="00511B7C"/>
    <w:rsid w:val="005121F6"/>
    <w:rsid w:val="005124E1"/>
    <w:rsid w:val="005126A3"/>
    <w:rsid w:val="00512791"/>
    <w:rsid w:val="00512A0B"/>
    <w:rsid w:val="00513FA7"/>
    <w:rsid w:val="00513FCB"/>
    <w:rsid w:val="005145EB"/>
    <w:rsid w:val="005149CC"/>
    <w:rsid w:val="00514D8B"/>
    <w:rsid w:val="00515025"/>
    <w:rsid w:val="00515A9C"/>
    <w:rsid w:val="00516A7C"/>
    <w:rsid w:val="00516B9F"/>
    <w:rsid w:val="00517675"/>
    <w:rsid w:val="0052022B"/>
    <w:rsid w:val="005202FC"/>
    <w:rsid w:val="0052138F"/>
    <w:rsid w:val="0052139B"/>
    <w:rsid w:val="00522BC7"/>
    <w:rsid w:val="00523E65"/>
    <w:rsid w:val="00523F75"/>
    <w:rsid w:val="00524397"/>
    <w:rsid w:val="00524716"/>
    <w:rsid w:val="0052524B"/>
    <w:rsid w:val="00525557"/>
    <w:rsid w:val="00525833"/>
    <w:rsid w:val="00526131"/>
    <w:rsid w:val="00526E2B"/>
    <w:rsid w:val="00527756"/>
    <w:rsid w:val="00527C26"/>
    <w:rsid w:val="0053229A"/>
    <w:rsid w:val="0053293B"/>
    <w:rsid w:val="005333D5"/>
    <w:rsid w:val="00533882"/>
    <w:rsid w:val="00533A0E"/>
    <w:rsid w:val="005341E3"/>
    <w:rsid w:val="0053428F"/>
    <w:rsid w:val="005348C6"/>
    <w:rsid w:val="00536682"/>
    <w:rsid w:val="005369A9"/>
    <w:rsid w:val="005374EA"/>
    <w:rsid w:val="00537BE1"/>
    <w:rsid w:val="005405A8"/>
    <w:rsid w:val="00540675"/>
    <w:rsid w:val="005413F9"/>
    <w:rsid w:val="005417DF"/>
    <w:rsid w:val="00541A86"/>
    <w:rsid w:val="0054235C"/>
    <w:rsid w:val="0054329C"/>
    <w:rsid w:val="00543AC4"/>
    <w:rsid w:val="00545811"/>
    <w:rsid w:val="00545BF2"/>
    <w:rsid w:val="0054791B"/>
    <w:rsid w:val="00550520"/>
    <w:rsid w:val="00551A81"/>
    <w:rsid w:val="0055250D"/>
    <w:rsid w:val="00552BFC"/>
    <w:rsid w:val="00554298"/>
    <w:rsid w:val="00555BE1"/>
    <w:rsid w:val="0055676A"/>
    <w:rsid w:val="005567C4"/>
    <w:rsid w:val="00557913"/>
    <w:rsid w:val="00560AC2"/>
    <w:rsid w:val="00560BB3"/>
    <w:rsid w:val="00561FA5"/>
    <w:rsid w:val="00562C60"/>
    <w:rsid w:val="00563644"/>
    <w:rsid w:val="00563773"/>
    <w:rsid w:val="00563AEA"/>
    <w:rsid w:val="00564141"/>
    <w:rsid w:val="005644A8"/>
    <w:rsid w:val="00564947"/>
    <w:rsid w:val="00564E1B"/>
    <w:rsid w:val="00564F4F"/>
    <w:rsid w:val="005652C8"/>
    <w:rsid w:val="0056698E"/>
    <w:rsid w:val="005676F1"/>
    <w:rsid w:val="00567723"/>
    <w:rsid w:val="00571233"/>
    <w:rsid w:val="0057130A"/>
    <w:rsid w:val="00571907"/>
    <w:rsid w:val="0057274D"/>
    <w:rsid w:val="00572924"/>
    <w:rsid w:val="00573BDF"/>
    <w:rsid w:val="00573CC6"/>
    <w:rsid w:val="00573E1E"/>
    <w:rsid w:val="005744A4"/>
    <w:rsid w:val="0057597C"/>
    <w:rsid w:val="0057633C"/>
    <w:rsid w:val="005766A1"/>
    <w:rsid w:val="0057676F"/>
    <w:rsid w:val="005769A2"/>
    <w:rsid w:val="00576C7A"/>
    <w:rsid w:val="005815B7"/>
    <w:rsid w:val="00581682"/>
    <w:rsid w:val="00581B14"/>
    <w:rsid w:val="00582382"/>
    <w:rsid w:val="00582527"/>
    <w:rsid w:val="00582D77"/>
    <w:rsid w:val="00582DFB"/>
    <w:rsid w:val="00583203"/>
    <w:rsid w:val="0058364F"/>
    <w:rsid w:val="005842AD"/>
    <w:rsid w:val="005849EA"/>
    <w:rsid w:val="00585B55"/>
    <w:rsid w:val="00586CF4"/>
    <w:rsid w:val="005877E5"/>
    <w:rsid w:val="0058790A"/>
    <w:rsid w:val="00590842"/>
    <w:rsid w:val="00590CDB"/>
    <w:rsid w:val="00591928"/>
    <w:rsid w:val="00591A75"/>
    <w:rsid w:val="00591D65"/>
    <w:rsid w:val="00592A43"/>
    <w:rsid w:val="00592E82"/>
    <w:rsid w:val="00593DC3"/>
    <w:rsid w:val="00593E6C"/>
    <w:rsid w:val="0059433A"/>
    <w:rsid w:val="00594ADE"/>
    <w:rsid w:val="00594ECA"/>
    <w:rsid w:val="005953F9"/>
    <w:rsid w:val="00595505"/>
    <w:rsid w:val="005964EC"/>
    <w:rsid w:val="00596AB7"/>
    <w:rsid w:val="00596D1F"/>
    <w:rsid w:val="00597CA5"/>
    <w:rsid w:val="005A1261"/>
    <w:rsid w:val="005A1DB5"/>
    <w:rsid w:val="005A4C07"/>
    <w:rsid w:val="005A5DA5"/>
    <w:rsid w:val="005A5F3A"/>
    <w:rsid w:val="005A7422"/>
    <w:rsid w:val="005A76AD"/>
    <w:rsid w:val="005A79D6"/>
    <w:rsid w:val="005A7A28"/>
    <w:rsid w:val="005B1893"/>
    <w:rsid w:val="005B1C4C"/>
    <w:rsid w:val="005B1ECD"/>
    <w:rsid w:val="005B1FEB"/>
    <w:rsid w:val="005B32A0"/>
    <w:rsid w:val="005B3807"/>
    <w:rsid w:val="005B43D5"/>
    <w:rsid w:val="005B4F87"/>
    <w:rsid w:val="005B542D"/>
    <w:rsid w:val="005B5D9A"/>
    <w:rsid w:val="005B677B"/>
    <w:rsid w:val="005B7D9A"/>
    <w:rsid w:val="005C1A57"/>
    <w:rsid w:val="005C1C8B"/>
    <w:rsid w:val="005C2504"/>
    <w:rsid w:val="005C41C5"/>
    <w:rsid w:val="005C5B5C"/>
    <w:rsid w:val="005D1036"/>
    <w:rsid w:val="005D1A4D"/>
    <w:rsid w:val="005D213D"/>
    <w:rsid w:val="005D22BA"/>
    <w:rsid w:val="005D2E9B"/>
    <w:rsid w:val="005D35F9"/>
    <w:rsid w:val="005D4D8B"/>
    <w:rsid w:val="005D5BBA"/>
    <w:rsid w:val="005D629A"/>
    <w:rsid w:val="005D7183"/>
    <w:rsid w:val="005E0730"/>
    <w:rsid w:val="005E0759"/>
    <w:rsid w:val="005E0A8E"/>
    <w:rsid w:val="005E124F"/>
    <w:rsid w:val="005E16C5"/>
    <w:rsid w:val="005E1D48"/>
    <w:rsid w:val="005E1FF0"/>
    <w:rsid w:val="005E26FB"/>
    <w:rsid w:val="005E2B27"/>
    <w:rsid w:val="005E2F31"/>
    <w:rsid w:val="005E4400"/>
    <w:rsid w:val="005E46B3"/>
    <w:rsid w:val="005E5BDB"/>
    <w:rsid w:val="005E681E"/>
    <w:rsid w:val="005E776F"/>
    <w:rsid w:val="005F023F"/>
    <w:rsid w:val="005F089F"/>
    <w:rsid w:val="005F0A40"/>
    <w:rsid w:val="005F0A77"/>
    <w:rsid w:val="005F0C3A"/>
    <w:rsid w:val="005F133C"/>
    <w:rsid w:val="005F1E3B"/>
    <w:rsid w:val="005F2C7A"/>
    <w:rsid w:val="005F30C1"/>
    <w:rsid w:val="005F3260"/>
    <w:rsid w:val="005F4B8E"/>
    <w:rsid w:val="005F5DE4"/>
    <w:rsid w:val="006002F0"/>
    <w:rsid w:val="0060077C"/>
    <w:rsid w:val="00600CD2"/>
    <w:rsid w:val="00600F4E"/>
    <w:rsid w:val="00601949"/>
    <w:rsid w:val="00602468"/>
    <w:rsid w:val="006028D2"/>
    <w:rsid w:val="006042C2"/>
    <w:rsid w:val="00605D03"/>
    <w:rsid w:val="00605DDB"/>
    <w:rsid w:val="006061FB"/>
    <w:rsid w:val="00606EC0"/>
    <w:rsid w:val="00607AE9"/>
    <w:rsid w:val="00607B18"/>
    <w:rsid w:val="00610ED1"/>
    <w:rsid w:val="006112E4"/>
    <w:rsid w:val="006132AB"/>
    <w:rsid w:val="00613EE3"/>
    <w:rsid w:val="00613FE1"/>
    <w:rsid w:val="006140DF"/>
    <w:rsid w:val="00614799"/>
    <w:rsid w:val="00615DDA"/>
    <w:rsid w:val="006167A3"/>
    <w:rsid w:val="00616DC1"/>
    <w:rsid w:val="00616DC5"/>
    <w:rsid w:val="006176A7"/>
    <w:rsid w:val="00621192"/>
    <w:rsid w:val="0062208C"/>
    <w:rsid w:val="0062287B"/>
    <w:rsid w:val="00623C2F"/>
    <w:rsid w:val="006242A7"/>
    <w:rsid w:val="0062464B"/>
    <w:rsid w:val="00624C04"/>
    <w:rsid w:val="00625243"/>
    <w:rsid w:val="00626A94"/>
    <w:rsid w:val="0062773D"/>
    <w:rsid w:val="0062794E"/>
    <w:rsid w:val="00627EF5"/>
    <w:rsid w:val="006303C8"/>
    <w:rsid w:val="0063110A"/>
    <w:rsid w:val="006313F2"/>
    <w:rsid w:val="006317AC"/>
    <w:rsid w:val="0063297F"/>
    <w:rsid w:val="0063688A"/>
    <w:rsid w:val="00637C91"/>
    <w:rsid w:val="00640A23"/>
    <w:rsid w:val="00641343"/>
    <w:rsid w:val="0064225F"/>
    <w:rsid w:val="00642829"/>
    <w:rsid w:val="00643351"/>
    <w:rsid w:val="0064392A"/>
    <w:rsid w:val="00643B9A"/>
    <w:rsid w:val="006443D9"/>
    <w:rsid w:val="00645167"/>
    <w:rsid w:val="0064565A"/>
    <w:rsid w:val="0064598C"/>
    <w:rsid w:val="00645DD1"/>
    <w:rsid w:val="006467D5"/>
    <w:rsid w:val="00646A04"/>
    <w:rsid w:val="00646E99"/>
    <w:rsid w:val="0064702D"/>
    <w:rsid w:val="006474D1"/>
    <w:rsid w:val="0065141B"/>
    <w:rsid w:val="00651C3D"/>
    <w:rsid w:val="00651CC5"/>
    <w:rsid w:val="00651DFD"/>
    <w:rsid w:val="00652286"/>
    <w:rsid w:val="006527CC"/>
    <w:rsid w:val="00652B48"/>
    <w:rsid w:val="00653B6F"/>
    <w:rsid w:val="006549EA"/>
    <w:rsid w:val="00654A45"/>
    <w:rsid w:val="00654D9A"/>
    <w:rsid w:val="0065537B"/>
    <w:rsid w:val="006555FB"/>
    <w:rsid w:val="0065672C"/>
    <w:rsid w:val="0065683F"/>
    <w:rsid w:val="00656D03"/>
    <w:rsid w:val="0066042B"/>
    <w:rsid w:val="00660879"/>
    <w:rsid w:val="00661519"/>
    <w:rsid w:val="0066358C"/>
    <w:rsid w:val="006650EA"/>
    <w:rsid w:val="0066562C"/>
    <w:rsid w:val="00666821"/>
    <w:rsid w:val="00670350"/>
    <w:rsid w:val="00670441"/>
    <w:rsid w:val="006718E5"/>
    <w:rsid w:val="00671A10"/>
    <w:rsid w:val="00671E17"/>
    <w:rsid w:val="00672CE5"/>
    <w:rsid w:val="00673818"/>
    <w:rsid w:val="00674103"/>
    <w:rsid w:val="00674F36"/>
    <w:rsid w:val="00674FDB"/>
    <w:rsid w:val="006753A4"/>
    <w:rsid w:val="00675DD9"/>
    <w:rsid w:val="006760D5"/>
    <w:rsid w:val="0067643C"/>
    <w:rsid w:val="00676C1D"/>
    <w:rsid w:val="00677D27"/>
    <w:rsid w:val="006800ED"/>
    <w:rsid w:val="0068077A"/>
    <w:rsid w:val="006809F0"/>
    <w:rsid w:val="006811ED"/>
    <w:rsid w:val="00682E75"/>
    <w:rsid w:val="006839A4"/>
    <w:rsid w:val="00683D0B"/>
    <w:rsid w:val="00683F5A"/>
    <w:rsid w:val="00685501"/>
    <w:rsid w:val="0068641B"/>
    <w:rsid w:val="006869E5"/>
    <w:rsid w:val="0068752F"/>
    <w:rsid w:val="00691169"/>
    <w:rsid w:val="00691E55"/>
    <w:rsid w:val="006926BE"/>
    <w:rsid w:val="006940C2"/>
    <w:rsid w:val="00694876"/>
    <w:rsid w:val="00694A8B"/>
    <w:rsid w:val="00695AB4"/>
    <w:rsid w:val="00696FBE"/>
    <w:rsid w:val="00697459"/>
    <w:rsid w:val="006A00F4"/>
    <w:rsid w:val="006A06AA"/>
    <w:rsid w:val="006A096B"/>
    <w:rsid w:val="006A0E29"/>
    <w:rsid w:val="006A17EA"/>
    <w:rsid w:val="006A1A5D"/>
    <w:rsid w:val="006A2A92"/>
    <w:rsid w:val="006A3519"/>
    <w:rsid w:val="006A3DB7"/>
    <w:rsid w:val="006A47CB"/>
    <w:rsid w:val="006A4B16"/>
    <w:rsid w:val="006A6079"/>
    <w:rsid w:val="006A635E"/>
    <w:rsid w:val="006A731A"/>
    <w:rsid w:val="006A7A44"/>
    <w:rsid w:val="006B01AE"/>
    <w:rsid w:val="006B03ED"/>
    <w:rsid w:val="006B0C7E"/>
    <w:rsid w:val="006B107F"/>
    <w:rsid w:val="006B1EE4"/>
    <w:rsid w:val="006B21C1"/>
    <w:rsid w:val="006B228B"/>
    <w:rsid w:val="006B33D4"/>
    <w:rsid w:val="006B348A"/>
    <w:rsid w:val="006B3D38"/>
    <w:rsid w:val="006B4003"/>
    <w:rsid w:val="006B4F96"/>
    <w:rsid w:val="006B5455"/>
    <w:rsid w:val="006B5BD6"/>
    <w:rsid w:val="006B5EB2"/>
    <w:rsid w:val="006B6FB8"/>
    <w:rsid w:val="006C19F2"/>
    <w:rsid w:val="006C358C"/>
    <w:rsid w:val="006C67A1"/>
    <w:rsid w:val="006C6A2A"/>
    <w:rsid w:val="006C7369"/>
    <w:rsid w:val="006C7791"/>
    <w:rsid w:val="006D09F4"/>
    <w:rsid w:val="006D0F43"/>
    <w:rsid w:val="006D1589"/>
    <w:rsid w:val="006D1920"/>
    <w:rsid w:val="006D1D2D"/>
    <w:rsid w:val="006D1E11"/>
    <w:rsid w:val="006D28F9"/>
    <w:rsid w:val="006D397D"/>
    <w:rsid w:val="006D4276"/>
    <w:rsid w:val="006D56C0"/>
    <w:rsid w:val="006D5950"/>
    <w:rsid w:val="006D59D2"/>
    <w:rsid w:val="006D5B0B"/>
    <w:rsid w:val="006D60CB"/>
    <w:rsid w:val="006D63F3"/>
    <w:rsid w:val="006D65DB"/>
    <w:rsid w:val="006D660E"/>
    <w:rsid w:val="006D6652"/>
    <w:rsid w:val="006D69E1"/>
    <w:rsid w:val="006E11DD"/>
    <w:rsid w:val="006E247D"/>
    <w:rsid w:val="006E3AB9"/>
    <w:rsid w:val="006E4199"/>
    <w:rsid w:val="006E437C"/>
    <w:rsid w:val="006E471D"/>
    <w:rsid w:val="006E4760"/>
    <w:rsid w:val="006E4B23"/>
    <w:rsid w:val="006E5E47"/>
    <w:rsid w:val="006E6CD5"/>
    <w:rsid w:val="006E736B"/>
    <w:rsid w:val="006E7915"/>
    <w:rsid w:val="006F1775"/>
    <w:rsid w:val="006F21DF"/>
    <w:rsid w:val="006F22B4"/>
    <w:rsid w:val="006F37F6"/>
    <w:rsid w:val="006F453E"/>
    <w:rsid w:val="006F5759"/>
    <w:rsid w:val="006F5A07"/>
    <w:rsid w:val="006F5B3E"/>
    <w:rsid w:val="006F6BA4"/>
    <w:rsid w:val="006F7FC3"/>
    <w:rsid w:val="0070125B"/>
    <w:rsid w:val="0070154F"/>
    <w:rsid w:val="007017D0"/>
    <w:rsid w:val="00701BA5"/>
    <w:rsid w:val="00704820"/>
    <w:rsid w:val="00705B58"/>
    <w:rsid w:val="00705FD1"/>
    <w:rsid w:val="0071018D"/>
    <w:rsid w:val="00710221"/>
    <w:rsid w:val="007115CF"/>
    <w:rsid w:val="00711643"/>
    <w:rsid w:val="00713B15"/>
    <w:rsid w:val="00713B1F"/>
    <w:rsid w:val="007141D0"/>
    <w:rsid w:val="0071475A"/>
    <w:rsid w:val="007148D1"/>
    <w:rsid w:val="00714A05"/>
    <w:rsid w:val="00715E70"/>
    <w:rsid w:val="0071655A"/>
    <w:rsid w:val="0071695D"/>
    <w:rsid w:val="00716CC1"/>
    <w:rsid w:val="00720F38"/>
    <w:rsid w:val="00721ECB"/>
    <w:rsid w:val="007229DE"/>
    <w:rsid w:val="00722B44"/>
    <w:rsid w:val="00722C6D"/>
    <w:rsid w:val="00722D39"/>
    <w:rsid w:val="00723857"/>
    <w:rsid w:val="00723AA7"/>
    <w:rsid w:val="00724BD6"/>
    <w:rsid w:val="007251B2"/>
    <w:rsid w:val="0072575D"/>
    <w:rsid w:val="007273C5"/>
    <w:rsid w:val="00727695"/>
    <w:rsid w:val="00727D4F"/>
    <w:rsid w:val="00730C6C"/>
    <w:rsid w:val="007323BE"/>
    <w:rsid w:val="0073255F"/>
    <w:rsid w:val="0073274E"/>
    <w:rsid w:val="007335DB"/>
    <w:rsid w:val="0073384E"/>
    <w:rsid w:val="0073499B"/>
    <w:rsid w:val="007355ED"/>
    <w:rsid w:val="007365F0"/>
    <w:rsid w:val="00736977"/>
    <w:rsid w:val="00737307"/>
    <w:rsid w:val="00737C7A"/>
    <w:rsid w:val="00740015"/>
    <w:rsid w:val="0074049E"/>
    <w:rsid w:val="00740B05"/>
    <w:rsid w:val="00741AF0"/>
    <w:rsid w:val="00742860"/>
    <w:rsid w:val="0074408D"/>
    <w:rsid w:val="007447A5"/>
    <w:rsid w:val="007455C8"/>
    <w:rsid w:val="00745C76"/>
    <w:rsid w:val="00745DEE"/>
    <w:rsid w:val="0074667D"/>
    <w:rsid w:val="0074697F"/>
    <w:rsid w:val="007469D3"/>
    <w:rsid w:val="00747DC1"/>
    <w:rsid w:val="00747E7D"/>
    <w:rsid w:val="007507CF"/>
    <w:rsid w:val="00751DDE"/>
    <w:rsid w:val="007523B9"/>
    <w:rsid w:val="00752749"/>
    <w:rsid w:val="00753B60"/>
    <w:rsid w:val="007542C5"/>
    <w:rsid w:val="0075437C"/>
    <w:rsid w:val="00754686"/>
    <w:rsid w:val="007546CD"/>
    <w:rsid w:val="00754F5E"/>
    <w:rsid w:val="007550FE"/>
    <w:rsid w:val="00755721"/>
    <w:rsid w:val="00755CE8"/>
    <w:rsid w:val="00756C7E"/>
    <w:rsid w:val="00757755"/>
    <w:rsid w:val="007604FB"/>
    <w:rsid w:val="007615EF"/>
    <w:rsid w:val="00761B67"/>
    <w:rsid w:val="00763440"/>
    <w:rsid w:val="0076352C"/>
    <w:rsid w:val="00763A24"/>
    <w:rsid w:val="00763A72"/>
    <w:rsid w:val="00764005"/>
    <w:rsid w:val="00764085"/>
    <w:rsid w:val="0076426C"/>
    <w:rsid w:val="00767B35"/>
    <w:rsid w:val="00767DCD"/>
    <w:rsid w:val="007709C0"/>
    <w:rsid w:val="00770D17"/>
    <w:rsid w:val="00771293"/>
    <w:rsid w:val="00771628"/>
    <w:rsid w:val="00771A5F"/>
    <w:rsid w:val="00771BA2"/>
    <w:rsid w:val="00771DA3"/>
    <w:rsid w:val="00771EA2"/>
    <w:rsid w:val="00772D14"/>
    <w:rsid w:val="0077354E"/>
    <w:rsid w:val="00773F60"/>
    <w:rsid w:val="007741CD"/>
    <w:rsid w:val="0077429A"/>
    <w:rsid w:val="0077524C"/>
    <w:rsid w:val="00776715"/>
    <w:rsid w:val="007769F4"/>
    <w:rsid w:val="0077768C"/>
    <w:rsid w:val="0078006D"/>
    <w:rsid w:val="0078014D"/>
    <w:rsid w:val="00780869"/>
    <w:rsid w:val="00780CCE"/>
    <w:rsid w:val="00781B0F"/>
    <w:rsid w:val="00781EF3"/>
    <w:rsid w:val="00781F85"/>
    <w:rsid w:val="007838FC"/>
    <w:rsid w:val="00784124"/>
    <w:rsid w:val="00784656"/>
    <w:rsid w:val="00785BF3"/>
    <w:rsid w:val="0078684A"/>
    <w:rsid w:val="007900FE"/>
    <w:rsid w:val="00792302"/>
    <w:rsid w:val="007927E7"/>
    <w:rsid w:val="00792AA5"/>
    <w:rsid w:val="0079367B"/>
    <w:rsid w:val="00793EF6"/>
    <w:rsid w:val="00794924"/>
    <w:rsid w:val="00794CA6"/>
    <w:rsid w:val="00794E88"/>
    <w:rsid w:val="00795DD9"/>
    <w:rsid w:val="007971B7"/>
    <w:rsid w:val="007976FB"/>
    <w:rsid w:val="007A0946"/>
    <w:rsid w:val="007A127B"/>
    <w:rsid w:val="007A1D72"/>
    <w:rsid w:val="007A26FC"/>
    <w:rsid w:val="007A27C0"/>
    <w:rsid w:val="007A4182"/>
    <w:rsid w:val="007A41E1"/>
    <w:rsid w:val="007A5158"/>
    <w:rsid w:val="007A5201"/>
    <w:rsid w:val="007A5774"/>
    <w:rsid w:val="007A6735"/>
    <w:rsid w:val="007A68F1"/>
    <w:rsid w:val="007A7185"/>
    <w:rsid w:val="007A7788"/>
    <w:rsid w:val="007A7C4D"/>
    <w:rsid w:val="007B0214"/>
    <w:rsid w:val="007B130C"/>
    <w:rsid w:val="007B1B5B"/>
    <w:rsid w:val="007B1BAB"/>
    <w:rsid w:val="007B1CD2"/>
    <w:rsid w:val="007B2DB4"/>
    <w:rsid w:val="007B2F45"/>
    <w:rsid w:val="007B361F"/>
    <w:rsid w:val="007B4EDE"/>
    <w:rsid w:val="007B70C3"/>
    <w:rsid w:val="007B75D5"/>
    <w:rsid w:val="007B773F"/>
    <w:rsid w:val="007B7D6F"/>
    <w:rsid w:val="007C0323"/>
    <w:rsid w:val="007C0459"/>
    <w:rsid w:val="007C04BC"/>
    <w:rsid w:val="007C285A"/>
    <w:rsid w:val="007C3562"/>
    <w:rsid w:val="007C359F"/>
    <w:rsid w:val="007C3F2A"/>
    <w:rsid w:val="007C3F4B"/>
    <w:rsid w:val="007C4164"/>
    <w:rsid w:val="007C4426"/>
    <w:rsid w:val="007C4F86"/>
    <w:rsid w:val="007C52EA"/>
    <w:rsid w:val="007C5BDF"/>
    <w:rsid w:val="007C6F61"/>
    <w:rsid w:val="007C798B"/>
    <w:rsid w:val="007D05E5"/>
    <w:rsid w:val="007D0FAC"/>
    <w:rsid w:val="007D1168"/>
    <w:rsid w:val="007D1CD7"/>
    <w:rsid w:val="007D1DF1"/>
    <w:rsid w:val="007D1FEE"/>
    <w:rsid w:val="007D20DA"/>
    <w:rsid w:val="007D2FD3"/>
    <w:rsid w:val="007D3E26"/>
    <w:rsid w:val="007D4408"/>
    <w:rsid w:val="007D4C7D"/>
    <w:rsid w:val="007D642C"/>
    <w:rsid w:val="007D7C6D"/>
    <w:rsid w:val="007E05AE"/>
    <w:rsid w:val="007E0641"/>
    <w:rsid w:val="007E06CE"/>
    <w:rsid w:val="007E07F2"/>
    <w:rsid w:val="007E167D"/>
    <w:rsid w:val="007E1889"/>
    <w:rsid w:val="007E1E2C"/>
    <w:rsid w:val="007E39CD"/>
    <w:rsid w:val="007E4F78"/>
    <w:rsid w:val="007E543C"/>
    <w:rsid w:val="007E5C7A"/>
    <w:rsid w:val="007E5E39"/>
    <w:rsid w:val="007E5E79"/>
    <w:rsid w:val="007E5F69"/>
    <w:rsid w:val="007E62E4"/>
    <w:rsid w:val="007E6EA8"/>
    <w:rsid w:val="007F0040"/>
    <w:rsid w:val="007F03F4"/>
    <w:rsid w:val="007F0C1B"/>
    <w:rsid w:val="007F2B15"/>
    <w:rsid w:val="007F2E3D"/>
    <w:rsid w:val="007F40B6"/>
    <w:rsid w:val="007F452E"/>
    <w:rsid w:val="007F4693"/>
    <w:rsid w:val="007F4D6C"/>
    <w:rsid w:val="007F4DE0"/>
    <w:rsid w:val="007F5766"/>
    <w:rsid w:val="007F5E0C"/>
    <w:rsid w:val="007F6734"/>
    <w:rsid w:val="007F67A4"/>
    <w:rsid w:val="007F6A71"/>
    <w:rsid w:val="007F7A1B"/>
    <w:rsid w:val="007F7F4F"/>
    <w:rsid w:val="008002AC"/>
    <w:rsid w:val="00801475"/>
    <w:rsid w:val="00802911"/>
    <w:rsid w:val="00802A8E"/>
    <w:rsid w:val="00804EE8"/>
    <w:rsid w:val="008051E8"/>
    <w:rsid w:val="00805A06"/>
    <w:rsid w:val="00805FEB"/>
    <w:rsid w:val="00806091"/>
    <w:rsid w:val="008063C5"/>
    <w:rsid w:val="00806654"/>
    <w:rsid w:val="008066D8"/>
    <w:rsid w:val="00806F52"/>
    <w:rsid w:val="008073AD"/>
    <w:rsid w:val="00807A31"/>
    <w:rsid w:val="00807F1F"/>
    <w:rsid w:val="0081099F"/>
    <w:rsid w:val="008115E4"/>
    <w:rsid w:val="008118B2"/>
    <w:rsid w:val="00812040"/>
    <w:rsid w:val="008124E6"/>
    <w:rsid w:val="00812E21"/>
    <w:rsid w:val="00813374"/>
    <w:rsid w:val="008136A3"/>
    <w:rsid w:val="008140D1"/>
    <w:rsid w:val="00814A2E"/>
    <w:rsid w:val="00814AD7"/>
    <w:rsid w:val="00814B26"/>
    <w:rsid w:val="00815897"/>
    <w:rsid w:val="00815F0A"/>
    <w:rsid w:val="00816752"/>
    <w:rsid w:val="00817191"/>
    <w:rsid w:val="00817CC9"/>
    <w:rsid w:val="00817D58"/>
    <w:rsid w:val="008201A2"/>
    <w:rsid w:val="008204D1"/>
    <w:rsid w:val="0082072D"/>
    <w:rsid w:val="0082081D"/>
    <w:rsid w:val="00820F5A"/>
    <w:rsid w:val="008217AF"/>
    <w:rsid w:val="008228F2"/>
    <w:rsid w:val="00822D67"/>
    <w:rsid w:val="00824092"/>
    <w:rsid w:val="00824CA2"/>
    <w:rsid w:val="008254D6"/>
    <w:rsid w:val="00826C9F"/>
    <w:rsid w:val="008275BB"/>
    <w:rsid w:val="00827796"/>
    <w:rsid w:val="00827CA0"/>
    <w:rsid w:val="00827EE3"/>
    <w:rsid w:val="00830143"/>
    <w:rsid w:val="00830720"/>
    <w:rsid w:val="00830881"/>
    <w:rsid w:val="0083108D"/>
    <w:rsid w:val="008311E8"/>
    <w:rsid w:val="008314F9"/>
    <w:rsid w:val="0083198D"/>
    <w:rsid w:val="00833CAA"/>
    <w:rsid w:val="0083432A"/>
    <w:rsid w:val="00835326"/>
    <w:rsid w:val="008353C5"/>
    <w:rsid w:val="008367B9"/>
    <w:rsid w:val="00836AC6"/>
    <w:rsid w:val="00836E15"/>
    <w:rsid w:val="00842F85"/>
    <w:rsid w:val="008431C6"/>
    <w:rsid w:val="008433BB"/>
    <w:rsid w:val="0084589D"/>
    <w:rsid w:val="00845BB4"/>
    <w:rsid w:val="008462EA"/>
    <w:rsid w:val="00846FD1"/>
    <w:rsid w:val="00847C0F"/>
    <w:rsid w:val="00847F2D"/>
    <w:rsid w:val="008508B0"/>
    <w:rsid w:val="00850CDE"/>
    <w:rsid w:val="008512D0"/>
    <w:rsid w:val="00851DA3"/>
    <w:rsid w:val="00851EC3"/>
    <w:rsid w:val="00851EFD"/>
    <w:rsid w:val="00852749"/>
    <w:rsid w:val="00854127"/>
    <w:rsid w:val="008541BD"/>
    <w:rsid w:val="008545CF"/>
    <w:rsid w:val="00854CE0"/>
    <w:rsid w:val="00855467"/>
    <w:rsid w:val="008558F4"/>
    <w:rsid w:val="00855C82"/>
    <w:rsid w:val="008569D1"/>
    <w:rsid w:val="00857C40"/>
    <w:rsid w:val="00857D66"/>
    <w:rsid w:val="008604B3"/>
    <w:rsid w:val="0086065E"/>
    <w:rsid w:val="00860D44"/>
    <w:rsid w:val="00861777"/>
    <w:rsid w:val="008618BC"/>
    <w:rsid w:val="008625CF"/>
    <w:rsid w:val="008631A9"/>
    <w:rsid w:val="00863B1E"/>
    <w:rsid w:val="008644AA"/>
    <w:rsid w:val="00870412"/>
    <w:rsid w:val="00870EBE"/>
    <w:rsid w:val="00871286"/>
    <w:rsid w:val="0087150C"/>
    <w:rsid w:val="008726C1"/>
    <w:rsid w:val="0087317F"/>
    <w:rsid w:val="00873244"/>
    <w:rsid w:val="00873488"/>
    <w:rsid w:val="00873586"/>
    <w:rsid w:val="00873B3D"/>
    <w:rsid w:val="008746CF"/>
    <w:rsid w:val="008747AD"/>
    <w:rsid w:val="00874831"/>
    <w:rsid w:val="00874861"/>
    <w:rsid w:val="00874E4B"/>
    <w:rsid w:val="00876C60"/>
    <w:rsid w:val="008771F7"/>
    <w:rsid w:val="00877736"/>
    <w:rsid w:val="00880506"/>
    <w:rsid w:val="0088114A"/>
    <w:rsid w:val="00881758"/>
    <w:rsid w:val="0088237B"/>
    <w:rsid w:val="00882739"/>
    <w:rsid w:val="00882863"/>
    <w:rsid w:val="00882DFA"/>
    <w:rsid w:val="0088455D"/>
    <w:rsid w:val="008854F6"/>
    <w:rsid w:val="0088566E"/>
    <w:rsid w:val="00887615"/>
    <w:rsid w:val="00890576"/>
    <w:rsid w:val="00890A11"/>
    <w:rsid w:val="008917C1"/>
    <w:rsid w:val="008919D8"/>
    <w:rsid w:val="00891C32"/>
    <w:rsid w:val="00891D81"/>
    <w:rsid w:val="00892F7A"/>
    <w:rsid w:val="0089332E"/>
    <w:rsid w:val="00893463"/>
    <w:rsid w:val="00893902"/>
    <w:rsid w:val="0089431F"/>
    <w:rsid w:val="00894DCB"/>
    <w:rsid w:val="00894FBE"/>
    <w:rsid w:val="00895B32"/>
    <w:rsid w:val="00896169"/>
    <w:rsid w:val="00896671"/>
    <w:rsid w:val="00897794"/>
    <w:rsid w:val="008A01F2"/>
    <w:rsid w:val="008A040A"/>
    <w:rsid w:val="008A059F"/>
    <w:rsid w:val="008A08FF"/>
    <w:rsid w:val="008A0B95"/>
    <w:rsid w:val="008A1712"/>
    <w:rsid w:val="008A1CF2"/>
    <w:rsid w:val="008A2622"/>
    <w:rsid w:val="008A2CAD"/>
    <w:rsid w:val="008A3788"/>
    <w:rsid w:val="008A4912"/>
    <w:rsid w:val="008A5076"/>
    <w:rsid w:val="008A5662"/>
    <w:rsid w:val="008A599D"/>
    <w:rsid w:val="008A5FF2"/>
    <w:rsid w:val="008A6976"/>
    <w:rsid w:val="008A6CBE"/>
    <w:rsid w:val="008A7EE8"/>
    <w:rsid w:val="008B0DE7"/>
    <w:rsid w:val="008B1D38"/>
    <w:rsid w:val="008B280C"/>
    <w:rsid w:val="008B304A"/>
    <w:rsid w:val="008B32A3"/>
    <w:rsid w:val="008B3F1E"/>
    <w:rsid w:val="008B3FF9"/>
    <w:rsid w:val="008B4641"/>
    <w:rsid w:val="008B5D25"/>
    <w:rsid w:val="008B6294"/>
    <w:rsid w:val="008B66EC"/>
    <w:rsid w:val="008B6D7A"/>
    <w:rsid w:val="008C0197"/>
    <w:rsid w:val="008C07D0"/>
    <w:rsid w:val="008C0B7B"/>
    <w:rsid w:val="008C0BCA"/>
    <w:rsid w:val="008C1FAE"/>
    <w:rsid w:val="008C2336"/>
    <w:rsid w:val="008C26A4"/>
    <w:rsid w:val="008C29B2"/>
    <w:rsid w:val="008C2BEA"/>
    <w:rsid w:val="008C34A9"/>
    <w:rsid w:val="008C466B"/>
    <w:rsid w:val="008C5F6D"/>
    <w:rsid w:val="008C6044"/>
    <w:rsid w:val="008C69AD"/>
    <w:rsid w:val="008C69BC"/>
    <w:rsid w:val="008C741E"/>
    <w:rsid w:val="008D081C"/>
    <w:rsid w:val="008D08A4"/>
    <w:rsid w:val="008D0F5E"/>
    <w:rsid w:val="008D0F82"/>
    <w:rsid w:val="008D17DD"/>
    <w:rsid w:val="008D1D11"/>
    <w:rsid w:val="008D5278"/>
    <w:rsid w:val="008D556A"/>
    <w:rsid w:val="008D5696"/>
    <w:rsid w:val="008D619E"/>
    <w:rsid w:val="008D6BAE"/>
    <w:rsid w:val="008E0D8F"/>
    <w:rsid w:val="008E128C"/>
    <w:rsid w:val="008E1C9B"/>
    <w:rsid w:val="008E3B40"/>
    <w:rsid w:val="008E55CE"/>
    <w:rsid w:val="008E582E"/>
    <w:rsid w:val="008E5B5E"/>
    <w:rsid w:val="008E5CC0"/>
    <w:rsid w:val="008E601C"/>
    <w:rsid w:val="008E626D"/>
    <w:rsid w:val="008E7CA7"/>
    <w:rsid w:val="008F156B"/>
    <w:rsid w:val="008F191F"/>
    <w:rsid w:val="008F2F0A"/>
    <w:rsid w:val="008F55C0"/>
    <w:rsid w:val="008F5751"/>
    <w:rsid w:val="008F5B0A"/>
    <w:rsid w:val="008F5EA9"/>
    <w:rsid w:val="008F7C2F"/>
    <w:rsid w:val="00900130"/>
    <w:rsid w:val="00901034"/>
    <w:rsid w:val="00901911"/>
    <w:rsid w:val="009024D7"/>
    <w:rsid w:val="00902520"/>
    <w:rsid w:val="0090254C"/>
    <w:rsid w:val="00902D20"/>
    <w:rsid w:val="0090353E"/>
    <w:rsid w:val="0090392D"/>
    <w:rsid w:val="00904D25"/>
    <w:rsid w:val="00904E04"/>
    <w:rsid w:val="00906450"/>
    <w:rsid w:val="009067E6"/>
    <w:rsid w:val="0090683B"/>
    <w:rsid w:val="009076C9"/>
    <w:rsid w:val="00907B80"/>
    <w:rsid w:val="00910CA5"/>
    <w:rsid w:val="00911600"/>
    <w:rsid w:val="00912854"/>
    <w:rsid w:val="0091461A"/>
    <w:rsid w:val="00915CE8"/>
    <w:rsid w:val="00916EA1"/>
    <w:rsid w:val="00916F91"/>
    <w:rsid w:val="00917CA5"/>
    <w:rsid w:val="00920A83"/>
    <w:rsid w:val="009211E9"/>
    <w:rsid w:val="00922085"/>
    <w:rsid w:val="0092319C"/>
    <w:rsid w:val="00923573"/>
    <w:rsid w:val="00923DBC"/>
    <w:rsid w:val="00924D5F"/>
    <w:rsid w:val="00925380"/>
    <w:rsid w:val="0092582C"/>
    <w:rsid w:val="00925B41"/>
    <w:rsid w:val="00925F6E"/>
    <w:rsid w:val="00926535"/>
    <w:rsid w:val="00926FCA"/>
    <w:rsid w:val="00927160"/>
    <w:rsid w:val="00927A54"/>
    <w:rsid w:val="00930568"/>
    <w:rsid w:val="0093094E"/>
    <w:rsid w:val="00931BB4"/>
    <w:rsid w:val="00932284"/>
    <w:rsid w:val="00933AF5"/>
    <w:rsid w:val="009340F4"/>
    <w:rsid w:val="00934291"/>
    <w:rsid w:val="00935AF5"/>
    <w:rsid w:val="00935B3A"/>
    <w:rsid w:val="00935EDE"/>
    <w:rsid w:val="00940C05"/>
    <w:rsid w:val="00943C7C"/>
    <w:rsid w:val="00944CB1"/>
    <w:rsid w:val="00944D93"/>
    <w:rsid w:val="00945B2A"/>
    <w:rsid w:val="00945B4F"/>
    <w:rsid w:val="00945CD7"/>
    <w:rsid w:val="00947CCD"/>
    <w:rsid w:val="00951737"/>
    <w:rsid w:val="009518B9"/>
    <w:rsid w:val="00952047"/>
    <w:rsid w:val="0095238C"/>
    <w:rsid w:val="00953021"/>
    <w:rsid w:val="009539D5"/>
    <w:rsid w:val="00954802"/>
    <w:rsid w:val="00954D23"/>
    <w:rsid w:val="00954E10"/>
    <w:rsid w:val="00955131"/>
    <w:rsid w:val="0095513A"/>
    <w:rsid w:val="00955DC9"/>
    <w:rsid w:val="00956987"/>
    <w:rsid w:val="00956C0F"/>
    <w:rsid w:val="00957CE3"/>
    <w:rsid w:val="009615C0"/>
    <w:rsid w:val="009619FB"/>
    <w:rsid w:val="00961F6F"/>
    <w:rsid w:val="00963200"/>
    <w:rsid w:val="009634A8"/>
    <w:rsid w:val="00963865"/>
    <w:rsid w:val="009647DE"/>
    <w:rsid w:val="00965BE5"/>
    <w:rsid w:val="00965D6D"/>
    <w:rsid w:val="0096721E"/>
    <w:rsid w:val="00967499"/>
    <w:rsid w:val="009678C6"/>
    <w:rsid w:val="009678CB"/>
    <w:rsid w:val="00967A83"/>
    <w:rsid w:val="009700F7"/>
    <w:rsid w:val="00970D15"/>
    <w:rsid w:val="009717E4"/>
    <w:rsid w:val="00971861"/>
    <w:rsid w:val="00972C4F"/>
    <w:rsid w:val="00972FF8"/>
    <w:rsid w:val="00973B22"/>
    <w:rsid w:val="00974B5C"/>
    <w:rsid w:val="009763A2"/>
    <w:rsid w:val="009768B0"/>
    <w:rsid w:val="00980C1A"/>
    <w:rsid w:val="0098119B"/>
    <w:rsid w:val="0098352A"/>
    <w:rsid w:val="00983D97"/>
    <w:rsid w:val="0098535F"/>
    <w:rsid w:val="00985785"/>
    <w:rsid w:val="0098653C"/>
    <w:rsid w:val="009865D9"/>
    <w:rsid w:val="00986D20"/>
    <w:rsid w:val="00986D76"/>
    <w:rsid w:val="00987FCC"/>
    <w:rsid w:val="0099002E"/>
    <w:rsid w:val="00990FCB"/>
    <w:rsid w:val="00992ADB"/>
    <w:rsid w:val="009937FC"/>
    <w:rsid w:val="00995784"/>
    <w:rsid w:val="009957F2"/>
    <w:rsid w:val="0099634D"/>
    <w:rsid w:val="00997714"/>
    <w:rsid w:val="009A0F2E"/>
    <w:rsid w:val="009A23D1"/>
    <w:rsid w:val="009A2623"/>
    <w:rsid w:val="009A26B4"/>
    <w:rsid w:val="009A2CA5"/>
    <w:rsid w:val="009A36C9"/>
    <w:rsid w:val="009A3F4F"/>
    <w:rsid w:val="009A41E9"/>
    <w:rsid w:val="009A4CB1"/>
    <w:rsid w:val="009A5014"/>
    <w:rsid w:val="009A58D9"/>
    <w:rsid w:val="009A66B4"/>
    <w:rsid w:val="009A6F18"/>
    <w:rsid w:val="009B09B6"/>
    <w:rsid w:val="009B0EBD"/>
    <w:rsid w:val="009B1893"/>
    <w:rsid w:val="009B24A4"/>
    <w:rsid w:val="009B2621"/>
    <w:rsid w:val="009B34E3"/>
    <w:rsid w:val="009B38A3"/>
    <w:rsid w:val="009B44FE"/>
    <w:rsid w:val="009B50F1"/>
    <w:rsid w:val="009B5107"/>
    <w:rsid w:val="009B6D2B"/>
    <w:rsid w:val="009C0007"/>
    <w:rsid w:val="009C0924"/>
    <w:rsid w:val="009C2A4C"/>
    <w:rsid w:val="009C2CB0"/>
    <w:rsid w:val="009C3B75"/>
    <w:rsid w:val="009C3E28"/>
    <w:rsid w:val="009C4064"/>
    <w:rsid w:val="009C434F"/>
    <w:rsid w:val="009C43F3"/>
    <w:rsid w:val="009C4AC7"/>
    <w:rsid w:val="009C4CE2"/>
    <w:rsid w:val="009C4FC4"/>
    <w:rsid w:val="009C6373"/>
    <w:rsid w:val="009C7251"/>
    <w:rsid w:val="009C7D4B"/>
    <w:rsid w:val="009D037F"/>
    <w:rsid w:val="009D076A"/>
    <w:rsid w:val="009D108B"/>
    <w:rsid w:val="009D194F"/>
    <w:rsid w:val="009D1F58"/>
    <w:rsid w:val="009D24BE"/>
    <w:rsid w:val="009D2930"/>
    <w:rsid w:val="009D2AE5"/>
    <w:rsid w:val="009D2CF3"/>
    <w:rsid w:val="009D37F9"/>
    <w:rsid w:val="009D3921"/>
    <w:rsid w:val="009D3AE8"/>
    <w:rsid w:val="009D3CBC"/>
    <w:rsid w:val="009D47EF"/>
    <w:rsid w:val="009D4AD8"/>
    <w:rsid w:val="009D4B56"/>
    <w:rsid w:val="009D4C64"/>
    <w:rsid w:val="009D5C59"/>
    <w:rsid w:val="009D6C33"/>
    <w:rsid w:val="009D7108"/>
    <w:rsid w:val="009D7273"/>
    <w:rsid w:val="009D773E"/>
    <w:rsid w:val="009D7C39"/>
    <w:rsid w:val="009E0981"/>
    <w:rsid w:val="009E0D44"/>
    <w:rsid w:val="009E114C"/>
    <w:rsid w:val="009E230A"/>
    <w:rsid w:val="009E30CC"/>
    <w:rsid w:val="009E3C16"/>
    <w:rsid w:val="009E4D7C"/>
    <w:rsid w:val="009E4DD0"/>
    <w:rsid w:val="009E5F04"/>
    <w:rsid w:val="009E7B97"/>
    <w:rsid w:val="009F00F6"/>
    <w:rsid w:val="009F09F3"/>
    <w:rsid w:val="009F0E84"/>
    <w:rsid w:val="009F130C"/>
    <w:rsid w:val="009F2D54"/>
    <w:rsid w:val="009F2F92"/>
    <w:rsid w:val="009F3395"/>
    <w:rsid w:val="009F4163"/>
    <w:rsid w:val="009F50DD"/>
    <w:rsid w:val="009F6DDF"/>
    <w:rsid w:val="009F70B8"/>
    <w:rsid w:val="00A009B3"/>
    <w:rsid w:val="00A00C92"/>
    <w:rsid w:val="00A02691"/>
    <w:rsid w:val="00A03272"/>
    <w:rsid w:val="00A06AAB"/>
    <w:rsid w:val="00A0758E"/>
    <w:rsid w:val="00A0783C"/>
    <w:rsid w:val="00A078F5"/>
    <w:rsid w:val="00A07E1C"/>
    <w:rsid w:val="00A11238"/>
    <w:rsid w:val="00A11F67"/>
    <w:rsid w:val="00A11FCC"/>
    <w:rsid w:val="00A12825"/>
    <w:rsid w:val="00A12B21"/>
    <w:rsid w:val="00A12E36"/>
    <w:rsid w:val="00A13146"/>
    <w:rsid w:val="00A132BF"/>
    <w:rsid w:val="00A1481C"/>
    <w:rsid w:val="00A14FA1"/>
    <w:rsid w:val="00A15384"/>
    <w:rsid w:val="00A157A3"/>
    <w:rsid w:val="00A16207"/>
    <w:rsid w:val="00A163EA"/>
    <w:rsid w:val="00A1667D"/>
    <w:rsid w:val="00A16E2A"/>
    <w:rsid w:val="00A16F5C"/>
    <w:rsid w:val="00A174BA"/>
    <w:rsid w:val="00A174EE"/>
    <w:rsid w:val="00A17AD1"/>
    <w:rsid w:val="00A17E5E"/>
    <w:rsid w:val="00A200BF"/>
    <w:rsid w:val="00A202E6"/>
    <w:rsid w:val="00A2039D"/>
    <w:rsid w:val="00A20D9D"/>
    <w:rsid w:val="00A20EE7"/>
    <w:rsid w:val="00A2144C"/>
    <w:rsid w:val="00A21F65"/>
    <w:rsid w:val="00A2227D"/>
    <w:rsid w:val="00A2279E"/>
    <w:rsid w:val="00A23769"/>
    <w:rsid w:val="00A24EAE"/>
    <w:rsid w:val="00A25699"/>
    <w:rsid w:val="00A25723"/>
    <w:rsid w:val="00A25A39"/>
    <w:rsid w:val="00A25A8C"/>
    <w:rsid w:val="00A27BCB"/>
    <w:rsid w:val="00A304D0"/>
    <w:rsid w:val="00A30D97"/>
    <w:rsid w:val="00A30ED2"/>
    <w:rsid w:val="00A333A6"/>
    <w:rsid w:val="00A33719"/>
    <w:rsid w:val="00A345A7"/>
    <w:rsid w:val="00A34D0F"/>
    <w:rsid w:val="00A35B59"/>
    <w:rsid w:val="00A368B3"/>
    <w:rsid w:val="00A371EB"/>
    <w:rsid w:val="00A37219"/>
    <w:rsid w:val="00A37D42"/>
    <w:rsid w:val="00A40544"/>
    <w:rsid w:val="00A4170D"/>
    <w:rsid w:val="00A41E6F"/>
    <w:rsid w:val="00A425C1"/>
    <w:rsid w:val="00A431C0"/>
    <w:rsid w:val="00A43902"/>
    <w:rsid w:val="00A4422F"/>
    <w:rsid w:val="00A4426D"/>
    <w:rsid w:val="00A44B7E"/>
    <w:rsid w:val="00A44FDF"/>
    <w:rsid w:val="00A450A8"/>
    <w:rsid w:val="00A479D5"/>
    <w:rsid w:val="00A51227"/>
    <w:rsid w:val="00A517BD"/>
    <w:rsid w:val="00A52410"/>
    <w:rsid w:val="00A5330A"/>
    <w:rsid w:val="00A533C0"/>
    <w:rsid w:val="00A53BE0"/>
    <w:rsid w:val="00A55075"/>
    <w:rsid w:val="00A55120"/>
    <w:rsid w:val="00A55398"/>
    <w:rsid w:val="00A553A4"/>
    <w:rsid w:val="00A56520"/>
    <w:rsid w:val="00A567CB"/>
    <w:rsid w:val="00A6117A"/>
    <w:rsid w:val="00A6177D"/>
    <w:rsid w:val="00A61C04"/>
    <w:rsid w:val="00A6310C"/>
    <w:rsid w:val="00A63A13"/>
    <w:rsid w:val="00A643F8"/>
    <w:rsid w:val="00A65DD1"/>
    <w:rsid w:val="00A663EC"/>
    <w:rsid w:val="00A66E0B"/>
    <w:rsid w:val="00A6760C"/>
    <w:rsid w:val="00A70557"/>
    <w:rsid w:val="00A70C31"/>
    <w:rsid w:val="00A7104B"/>
    <w:rsid w:val="00A712CE"/>
    <w:rsid w:val="00A71DB5"/>
    <w:rsid w:val="00A729A6"/>
    <w:rsid w:val="00A7346F"/>
    <w:rsid w:val="00A74A86"/>
    <w:rsid w:val="00A74C39"/>
    <w:rsid w:val="00A75C0F"/>
    <w:rsid w:val="00A760F3"/>
    <w:rsid w:val="00A7624A"/>
    <w:rsid w:val="00A776C2"/>
    <w:rsid w:val="00A776D1"/>
    <w:rsid w:val="00A77E09"/>
    <w:rsid w:val="00A816AF"/>
    <w:rsid w:val="00A81720"/>
    <w:rsid w:val="00A818E4"/>
    <w:rsid w:val="00A82B19"/>
    <w:rsid w:val="00A83C04"/>
    <w:rsid w:val="00A83ED1"/>
    <w:rsid w:val="00A84DE6"/>
    <w:rsid w:val="00A85C63"/>
    <w:rsid w:val="00A87111"/>
    <w:rsid w:val="00A87CA6"/>
    <w:rsid w:val="00A9066E"/>
    <w:rsid w:val="00A90D15"/>
    <w:rsid w:val="00A90F3D"/>
    <w:rsid w:val="00A920A7"/>
    <w:rsid w:val="00A92878"/>
    <w:rsid w:val="00A929A2"/>
    <w:rsid w:val="00A92FE9"/>
    <w:rsid w:val="00A93DF7"/>
    <w:rsid w:val="00A94383"/>
    <w:rsid w:val="00A9448C"/>
    <w:rsid w:val="00A94545"/>
    <w:rsid w:val="00A95A20"/>
    <w:rsid w:val="00A96F32"/>
    <w:rsid w:val="00A9721B"/>
    <w:rsid w:val="00AA0635"/>
    <w:rsid w:val="00AA068C"/>
    <w:rsid w:val="00AA1412"/>
    <w:rsid w:val="00AA162D"/>
    <w:rsid w:val="00AA21C4"/>
    <w:rsid w:val="00AA2A40"/>
    <w:rsid w:val="00AA36ED"/>
    <w:rsid w:val="00AA37B5"/>
    <w:rsid w:val="00AA4737"/>
    <w:rsid w:val="00AA4899"/>
    <w:rsid w:val="00AA48B5"/>
    <w:rsid w:val="00AA5262"/>
    <w:rsid w:val="00AA5AB7"/>
    <w:rsid w:val="00AA5BE3"/>
    <w:rsid w:val="00AA77EF"/>
    <w:rsid w:val="00AB019A"/>
    <w:rsid w:val="00AB22B2"/>
    <w:rsid w:val="00AB2877"/>
    <w:rsid w:val="00AB2F06"/>
    <w:rsid w:val="00AB315D"/>
    <w:rsid w:val="00AB3E95"/>
    <w:rsid w:val="00AB54CB"/>
    <w:rsid w:val="00AB661C"/>
    <w:rsid w:val="00AB689D"/>
    <w:rsid w:val="00AB7491"/>
    <w:rsid w:val="00AB7519"/>
    <w:rsid w:val="00AB79CA"/>
    <w:rsid w:val="00AB7A7D"/>
    <w:rsid w:val="00AC0487"/>
    <w:rsid w:val="00AC1797"/>
    <w:rsid w:val="00AC1E7A"/>
    <w:rsid w:val="00AC2E6C"/>
    <w:rsid w:val="00AC4151"/>
    <w:rsid w:val="00AC5372"/>
    <w:rsid w:val="00AC656E"/>
    <w:rsid w:val="00AC6B32"/>
    <w:rsid w:val="00AC6CEC"/>
    <w:rsid w:val="00AC6EAD"/>
    <w:rsid w:val="00AC7C73"/>
    <w:rsid w:val="00AD0375"/>
    <w:rsid w:val="00AD26BD"/>
    <w:rsid w:val="00AD3A05"/>
    <w:rsid w:val="00AD3AEF"/>
    <w:rsid w:val="00AD3E0E"/>
    <w:rsid w:val="00AD50F5"/>
    <w:rsid w:val="00AD554D"/>
    <w:rsid w:val="00AD59DD"/>
    <w:rsid w:val="00AD6676"/>
    <w:rsid w:val="00AD67B3"/>
    <w:rsid w:val="00AD68C8"/>
    <w:rsid w:val="00AD6C4D"/>
    <w:rsid w:val="00AE0021"/>
    <w:rsid w:val="00AE0E2E"/>
    <w:rsid w:val="00AE1841"/>
    <w:rsid w:val="00AE2231"/>
    <w:rsid w:val="00AE2348"/>
    <w:rsid w:val="00AE24DA"/>
    <w:rsid w:val="00AE25A2"/>
    <w:rsid w:val="00AE283B"/>
    <w:rsid w:val="00AE3E0B"/>
    <w:rsid w:val="00AE4C8C"/>
    <w:rsid w:val="00AE5231"/>
    <w:rsid w:val="00AE588D"/>
    <w:rsid w:val="00AE5D50"/>
    <w:rsid w:val="00AE624F"/>
    <w:rsid w:val="00AE63E4"/>
    <w:rsid w:val="00AE6C1B"/>
    <w:rsid w:val="00AE7A44"/>
    <w:rsid w:val="00AE7B48"/>
    <w:rsid w:val="00AF007F"/>
    <w:rsid w:val="00AF1536"/>
    <w:rsid w:val="00AF1A4C"/>
    <w:rsid w:val="00AF2B90"/>
    <w:rsid w:val="00AF4A9F"/>
    <w:rsid w:val="00AF4BC0"/>
    <w:rsid w:val="00AF4CF2"/>
    <w:rsid w:val="00AF4F99"/>
    <w:rsid w:val="00AF501B"/>
    <w:rsid w:val="00AF56ED"/>
    <w:rsid w:val="00AF62F4"/>
    <w:rsid w:val="00AF6473"/>
    <w:rsid w:val="00AF7CBB"/>
    <w:rsid w:val="00AF7F4D"/>
    <w:rsid w:val="00B00065"/>
    <w:rsid w:val="00B01DF9"/>
    <w:rsid w:val="00B01EDB"/>
    <w:rsid w:val="00B028FA"/>
    <w:rsid w:val="00B03C25"/>
    <w:rsid w:val="00B04366"/>
    <w:rsid w:val="00B04490"/>
    <w:rsid w:val="00B0491A"/>
    <w:rsid w:val="00B05ECB"/>
    <w:rsid w:val="00B067AF"/>
    <w:rsid w:val="00B10129"/>
    <w:rsid w:val="00B1026B"/>
    <w:rsid w:val="00B10F2A"/>
    <w:rsid w:val="00B11B90"/>
    <w:rsid w:val="00B11D89"/>
    <w:rsid w:val="00B121C0"/>
    <w:rsid w:val="00B1252E"/>
    <w:rsid w:val="00B12FBB"/>
    <w:rsid w:val="00B13044"/>
    <w:rsid w:val="00B14455"/>
    <w:rsid w:val="00B14699"/>
    <w:rsid w:val="00B14D9F"/>
    <w:rsid w:val="00B14DB1"/>
    <w:rsid w:val="00B156B7"/>
    <w:rsid w:val="00B1585A"/>
    <w:rsid w:val="00B15F1B"/>
    <w:rsid w:val="00B16181"/>
    <w:rsid w:val="00B16D73"/>
    <w:rsid w:val="00B17BE7"/>
    <w:rsid w:val="00B204F6"/>
    <w:rsid w:val="00B21A74"/>
    <w:rsid w:val="00B21F71"/>
    <w:rsid w:val="00B22797"/>
    <w:rsid w:val="00B22D45"/>
    <w:rsid w:val="00B232E1"/>
    <w:rsid w:val="00B238C9"/>
    <w:rsid w:val="00B248C2"/>
    <w:rsid w:val="00B27178"/>
    <w:rsid w:val="00B2717C"/>
    <w:rsid w:val="00B27414"/>
    <w:rsid w:val="00B3092D"/>
    <w:rsid w:val="00B30A4B"/>
    <w:rsid w:val="00B30B15"/>
    <w:rsid w:val="00B31853"/>
    <w:rsid w:val="00B3191E"/>
    <w:rsid w:val="00B31E1E"/>
    <w:rsid w:val="00B32204"/>
    <w:rsid w:val="00B330B8"/>
    <w:rsid w:val="00B333E1"/>
    <w:rsid w:val="00B33DB2"/>
    <w:rsid w:val="00B33F8E"/>
    <w:rsid w:val="00B3407F"/>
    <w:rsid w:val="00B345D2"/>
    <w:rsid w:val="00B35148"/>
    <w:rsid w:val="00B3569F"/>
    <w:rsid w:val="00B364AD"/>
    <w:rsid w:val="00B36740"/>
    <w:rsid w:val="00B3716B"/>
    <w:rsid w:val="00B37DE4"/>
    <w:rsid w:val="00B40765"/>
    <w:rsid w:val="00B40FE7"/>
    <w:rsid w:val="00B41E4B"/>
    <w:rsid w:val="00B4365F"/>
    <w:rsid w:val="00B44A73"/>
    <w:rsid w:val="00B46EFE"/>
    <w:rsid w:val="00B473B8"/>
    <w:rsid w:val="00B5187F"/>
    <w:rsid w:val="00B52206"/>
    <w:rsid w:val="00B53D03"/>
    <w:rsid w:val="00B55359"/>
    <w:rsid w:val="00B557E1"/>
    <w:rsid w:val="00B558D1"/>
    <w:rsid w:val="00B56207"/>
    <w:rsid w:val="00B56D7A"/>
    <w:rsid w:val="00B61369"/>
    <w:rsid w:val="00B64716"/>
    <w:rsid w:val="00B649ED"/>
    <w:rsid w:val="00B64E56"/>
    <w:rsid w:val="00B64FA6"/>
    <w:rsid w:val="00B66C2B"/>
    <w:rsid w:val="00B70A6C"/>
    <w:rsid w:val="00B712BB"/>
    <w:rsid w:val="00B7175B"/>
    <w:rsid w:val="00B718C5"/>
    <w:rsid w:val="00B71ECC"/>
    <w:rsid w:val="00B72CBC"/>
    <w:rsid w:val="00B730D5"/>
    <w:rsid w:val="00B73D09"/>
    <w:rsid w:val="00B7416C"/>
    <w:rsid w:val="00B74604"/>
    <w:rsid w:val="00B757BB"/>
    <w:rsid w:val="00B75904"/>
    <w:rsid w:val="00B760E3"/>
    <w:rsid w:val="00B76FFC"/>
    <w:rsid w:val="00B7782C"/>
    <w:rsid w:val="00B80280"/>
    <w:rsid w:val="00B80B44"/>
    <w:rsid w:val="00B81F41"/>
    <w:rsid w:val="00B81FED"/>
    <w:rsid w:val="00B82263"/>
    <w:rsid w:val="00B829A2"/>
    <w:rsid w:val="00B82BD0"/>
    <w:rsid w:val="00B82C93"/>
    <w:rsid w:val="00B82F8E"/>
    <w:rsid w:val="00B84396"/>
    <w:rsid w:val="00B845A2"/>
    <w:rsid w:val="00B84611"/>
    <w:rsid w:val="00B84E0E"/>
    <w:rsid w:val="00B84FB9"/>
    <w:rsid w:val="00B85493"/>
    <w:rsid w:val="00B85D6B"/>
    <w:rsid w:val="00B8726C"/>
    <w:rsid w:val="00B87793"/>
    <w:rsid w:val="00B879AD"/>
    <w:rsid w:val="00B91324"/>
    <w:rsid w:val="00B915B7"/>
    <w:rsid w:val="00B91C34"/>
    <w:rsid w:val="00B9224A"/>
    <w:rsid w:val="00B9228D"/>
    <w:rsid w:val="00B9249D"/>
    <w:rsid w:val="00B928A6"/>
    <w:rsid w:val="00B92B28"/>
    <w:rsid w:val="00B9378D"/>
    <w:rsid w:val="00B937CE"/>
    <w:rsid w:val="00B94C5B"/>
    <w:rsid w:val="00B94C69"/>
    <w:rsid w:val="00B966D0"/>
    <w:rsid w:val="00B97E0C"/>
    <w:rsid w:val="00BA03D4"/>
    <w:rsid w:val="00BA0EF1"/>
    <w:rsid w:val="00BA29C7"/>
    <w:rsid w:val="00BA2CE6"/>
    <w:rsid w:val="00BA3BF9"/>
    <w:rsid w:val="00BA3F9C"/>
    <w:rsid w:val="00BA5C2F"/>
    <w:rsid w:val="00BA6488"/>
    <w:rsid w:val="00BA6830"/>
    <w:rsid w:val="00BA6CA3"/>
    <w:rsid w:val="00BA6E26"/>
    <w:rsid w:val="00BA74AB"/>
    <w:rsid w:val="00BA789B"/>
    <w:rsid w:val="00BA7F0D"/>
    <w:rsid w:val="00BB0786"/>
    <w:rsid w:val="00BB0EB1"/>
    <w:rsid w:val="00BB101A"/>
    <w:rsid w:val="00BB2296"/>
    <w:rsid w:val="00BB3443"/>
    <w:rsid w:val="00BB43C3"/>
    <w:rsid w:val="00BB45B4"/>
    <w:rsid w:val="00BB53C1"/>
    <w:rsid w:val="00BB639A"/>
    <w:rsid w:val="00BB6CDC"/>
    <w:rsid w:val="00BB713F"/>
    <w:rsid w:val="00BC03DE"/>
    <w:rsid w:val="00BC2790"/>
    <w:rsid w:val="00BC3892"/>
    <w:rsid w:val="00BC4BD9"/>
    <w:rsid w:val="00BC4E9C"/>
    <w:rsid w:val="00BC58C9"/>
    <w:rsid w:val="00BC5BCB"/>
    <w:rsid w:val="00BC5F7D"/>
    <w:rsid w:val="00BC746F"/>
    <w:rsid w:val="00BD0221"/>
    <w:rsid w:val="00BD0B37"/>
    <w:rsid w:val="00BD0E48"/>
    <w:rsid w:val="00BD1225"/>
    <w:rsid w:val="00BD1CD8"/>
    <w:rsid w:val="00BD2F8E"/>
    <w:rsid w:val="00BD30D5"/>
    <w:rsid w:val="00BD3281"/>
    <w:rsid w:val="00BD538C"/>
    <w:rsid w:val="00BD59D4"/>
    <w:rsid w:val="00BD6083"/>
    <w:rsid w:val="00BD608A"/>
    <w:rsid w:val="00BD60D9"/>
    <w:rsid w:val="00BD68E0"/>
    <w:rsid w:val="00BD79ED"/>
    <w:rsid w:val="00BE04D0"/>
    <w:rsid w:val="00BE0DE5"/>
    <w:rsid w:val="00BE0F85"/>
    <w:rsid w:val="00BE16CE"/>
    <w:rsid w:val="00BE1D2C"/>
    <w:rsid w:val="00BE1F84"/>
    <w:rsid w:val="00BE270B"/>
    <w:rsid w:val="00BE4A5B"/>
    <w:rsid w:val="00BE5B39"/>
    <w:rsid w:val="00BE6456"/>
    <w:rsid w:val="00BE6784"/>
    <w:rsid w:val="00BE7CF6"/>
    <w:rsid w:val="00BF26D7"/>
    <w:rsid w:val="00BF3228"/>
    <w:rsid w:val="00BF3260"/>
    <w:rsid w:val="00BF3B1C"/>
    <w:rsid w:val="00BF4BDF"/>
    <w:rsid w:val="00BF7B0F"/>
    <w:rsid w:val="00C00816"/>
    <w:rsid w:val="00C014BE"/>
    <w:rsid w:val="00C014D1"/>
    <w:rsid w:val="00C01702"/>
    <w:rsid w:val="00C0174D"/>
    <w:rsid w:val="00C0190A"/>
    <w:rsid w:val="00C01ABD"/>
    <w:rsid w:val="00C021A4"/>
    <w:rsid w:val="00C0335F"/>
    <w:rsid w:val="00C03999"/>
    <w:rsid w:val="00C04E1F"/>
    <w:rsid w:val="00C05505"/>
    <w:rsid w:val="00C05E35"/>
    <w:rsid w:val="00C06A89"/>
    <w:rsid w:val="00C06CFB"/>
    <w:rsid w:val="00C07044"/>
    <w:rsid w:val="00C112EE"/>
    <w:rsid w:val="00C11313"/>
    <w:rsid w:val="00C11FA6"/>
    <w:rsid w:val="00C121EC"/>
    <w:rsid w:val="00C126AC"/>
    <w:rsid w:val="00C129A2"/>
    <w:rsid w:val="00C12D8D"/>
    <w:rsid w:val="00C14070"/>
    <w:rsid w:val="00C147DD"/>
    <w:rsid w:val="00C149B9"/>
    <w:rsid w:val="00C1548D"/>
    <w:rsid w:val="00C166FB"/>
    <w:rsid w:val="00C167EF"/>
    <w:rsid w:val="00C16869"/>
    <w:rsid w:val="00C16F23"/>
    <w:rsid w:val="00C17337"/>
    <w:rsid w:val="00C20444"/>
    <w:rsid w:val="00C20EBB"/>
    <w:rsid w:val="00C21065"/>
    <w:rsid w:val="00C21185"/>
    <w:rsid w:val="00C21EBC"/>
    <w:rsid w:val="00C2206E"/>
    <w:rsid w:val="00C22477"/>
    <w:rsid w:val="00C22C1A"/>
    <w:rsid w:val="00C22C27"/>
    <w:rsid w:val="00C234D3"/>
    <w:rsid w:val="00C23C53"/>
    <w:rsid w:val="00C24157"/>
    <w:rsid w:val="00C241C7"/>
    <w:rsid w:val="00C2526D"/>
    <w:rsid w:val="00C25332"/>
    <w:rsid w:val="00C2543D"/>
    <w:rsid w:val="00C26316"/>
    <w:rsid w:val="00C266D1"/>
    <w:rsid w:val="00C26F54"/>
    <w:rsid w:val="00C31B96"/>
    <w:rsid w:val="00C32BB7"/>
    <w:rsid w:val="00C33E4C"/>
    <w:rsid w:val="00C3487F"/>
    <w:rsid w:val="00C34FAA"/>
    <w:rsid w:val="00C35245"/>
    <w:rsid w:val="00C35655"/>
    <w:rsid w:val="00C357DB"/>
    <w:rsid w:val="00C37A26"/>
    <w:rsid w:val="00C41C76"/>
    <w:rsid w:val="00C41D75"/>
    <w:rsid w:val="00C4221D"/>
    <w:rsid w:val="00C426EF"/>
    <w:rsid w:val="00C427EA"/>
    <w:rsid w:val="00C4297A"/>
    <w:rsid w:val="00C432D2"/>
    <w:rsid w:val="00C43980"/>
    <w:rsid w:val="00C43A62"/>
    <w:rsid w:val="00C44A54"/>
    <w:rsid w:val="00C44B2A"/>
    <w:rsid w:val="00C44EDC"/>
    <w:rsid w:val="00C4526C"/>
    <w:rsid w:val="00C46FB0"/>
    <w:rsid w:val="00C47DE7"/>
    <w:rsid w:val="00C5095B"/>
    <w:rsid w:val="00C50AF2"/>
    <w:rsid w:val="00C51006"/>
    <w:rsid w:val="00C51B9A"/>
    <w:rsid w:val="00C520E6"/>
    <w:rsid w:val="00C521ED"/>
    <w:rsid w:val="00C522F3"/>
    <w:rsid w:val="00C536ED"/>
    <w:rsid w:val="00C539DD"/>
    <w:rsid w:val="00C541F9"/>
    <w:rsid w:val="00C543EE"/>
    <w:rsid w:val="00C543F3"/>
    <w:rsid w:val="00C55D19"/>
    <w:rsid w:val="00C56429"/>
    <w:rsid w:val="00C5693C"/>
    <w:rsid w:val="00C5783C"/>
    <w:rsid w:val="00C602AF"/>
    <w:rsid w:val="00C63703"/>
    <w:rsid w:val="00C647A6"/>
    <w:rsid w:val="00C64C37"/>
    <w:rsid w:val="00C655BE"/>
    <w:rsid w:val="00C65D0E"/>
    <w:rsid w:val="00C66156"/>
    <w:rsid w:val="00C666CD"/>
    <w:rsid w:val="00C67684"/>
    <w:rsid w:val="00C679A1"/>
    <w:rsid w:val="00C67F18"/>
    <w:rsid w:val="00C7080B"/>
    <w:rsid w:val="00C70F8D"/>
    <w:rsid w:val="00C72031"/>
    <w:rsid w:val="00C725A3"/>
    <w:rsid w:val="00C7270D"/>
    <w:rsid w:val="00C72C20"/>
    <w:rsid w:val="00C730F9"/>
    <w:rsid w:val="00C74557"/>
    <w:rsid w:val="00C75B0A"/>
    <w:rsid w:val="00C75D10"/>
    <w:rsid w:val="00C76834"/>
    <w:rsid w:val="00C76FEB"/>
    <w:rsid w:val="00C8000E"/>
    <w:rsid w:val="00C8093C"/>
    <w:rsid w:val="00C80A8B"/>
    <w:rsid w:val="00C8118D"/>
    <w:rsid w:val="00C82108"/>
    <w:rsid w:val="00C8314F"/>
    <w:rsid w:val="00C8376F"/>
    <w:rsid w:val="00C83C87"/>
    <w:rsid w:val="00C8449B"/>
    <w:rsid w:val="00C8642F"/>
    <w:rsid w:val="00C86596"/>
    <w:rsid w:val="00C876E4"/>
    <w:rsid w:val="00C87CDF"/>
    <w:rsid w:val="00C90B07"/>
    <w:rsid w:val="00C9124D"/>
    <w:rsid w:val="00C9228D"/>
    <w:rsid w:val="00C92A40"/>
    <w:rsid w:val="00C92A53"/>
    <w:rsid w:val="00C92B48"/>
    <w:rsid w:val="00C960EB"/>
    <w:rsid w:val="00C964D5"/>
    <w:rsid w:val="00CA213B"/>
    <w:rsid w:val="00CA2D27"/>
    <w:rsid w:val="00CA42C9"/>
    <w:rsid w:val="00CA4458"/>
    <w:rsid w:val="00CA4800"/>
    <w:rsid w:val="00CA48E7"/>
    <w:rsid w:val="00CA4EF5"/>
    <w:rsid w:val="00CA51B9"/>
    <w:rsid w:val="00CA5B37"/>
    <w:rsid w:val="00CA5B85"/>
    <w:rsid w:val="00CB0BC4"/>
    <w:rsid w:val="00CB1407"/>
    <w:rsid w:val="00CB2195"/>
    <w:rsid w:val="00CB2EAC"/>
    <w:rsid w:val="00CB3118"/>
    <w:rsid w:val="00CB3617"/>
    <w:rsid w:val="00CB3A12"/>
    <w:rsid w:val="00CB44DA"/>
    <w:rsid w:val="00CB495D"/>
    <w:rsid w:val="00CB5035"/>
    <w:rsid w:val="00CB512B"/>
    <w:rsid w:val="00CB52B2"/>
    <w:rsid w:val="00CB5359"/>
    <w:rsid w:val="00CB55F0"/>
    <w:rsid w:val="00CB68D8"/>
    <w:rsid w:val="00CB7DD3"/>
    <w:rsid w:val="00CC0967"/>
    <w:rsid w:val="00CC0ACB"/>
    <w:rsid w:val="00CC0CDD"/>
    <w:rsid w:val="00CC1FF4"/>
    <w:rsid w:val="00CC2777"/>
    <w:rsid w:val="00CC30B6"/>
    <w:rsid w:val="00CC4280"/>
    <w:rsid w:val="00CC552B"/>
    <w:rsid w:val="00CC642C"/>
    <w:rsid w:val="00CC65DB"/>
    <w:rsid w:val="00CC6931"/>
    <w:rsid w:val="00CC6AD5"/>
    <w:rsid w:val="00CC71B4"/>
    <w:rsid w:val="00CD00A5"/>
    <w:rsid w:val="00CD00EF"/>
    <w:rsid w:val="00CD1331"/>
    <w:rsid w:val="00CD16A3"/>
    <w:rsid w:val="00CD2D67"/>
    <w:rsid w:val="00CD31D8"/>
    <w:rsid w:val="00CD3DBB"/>
    <w:rsid w:val="00CD455C"/>
    <w:rsid w:val="00CD4E3E"/>
    <w:rsid w:val="00CD5373"/>
    <w:rsid w:val="00CD57CE"/>
    <w:rsid w:val="00CD5C53"/>
    <w:rsid w:val="00CD6005"/>
    <w:rsid w:val="00CD603B"/>
    <w:rsid w:val="00CD6131"/>
    <w:rsid w:val="00CD65CC"/>
    <w:rsid w:val="00CD686F"/>
    <w:rsid w:val="00CD6B27"/>
    <w:rsid w:val="00CD6B44"/>
    <w:rsid w:val="00CD6C7A"/>
    <w:rsid w:val="00CD728A"/>
    <w:rsid w:val="00CD75FB"/>
    <w:rsid w:val="00CE02DE"/>
    <w:rsid w:val="00CE1295"/>
    <w:rsid w:val="00CE1838"/>
    <w:rsid w:val="00CE1A55"/>
    <w:rsid w:val="00CE33C6"/>
    <w:rsid w:val="00CE3862"/>
    <w:rsid w:val="00CE393F"/>
    <w:rsid w:val="00CE41E1"/>
    <w:rsid w:val="00CE47CA"/>
    <w:rsid w:val="00CE5294"/>
    <w:rsid w:val="00CE5E7A"/>
    <w:rsid w:val="00CE6071"/>
    <w:rsid w:val="00CE7253"/>
    <w:rsid w:val="00CE7D13"/>
    <w:rsid w:val="00CF0B5D"/>
    <w:rsid w:val="00CF2621"/>
    <w:rsid w:val="00CF2EA3"/>
    <w:rsid w:val="00CF2ED6"/>
    <w:rsid w:val="00CF31D7"/>
    <w:rsid w:val="00CF3926"/>
    <w:rsid w:val="00CF3DF7"/>
    <w:rsid w:val="00CF5476"/>
    <w:rsid w:val="00CF5A08"/>
    <w:rsid w:val="00CF5FCD"/>
    <w:rsid w:val="00CF6C04"/>
    <w:rsid w:val="00CF7883"/>
    <w:rsid w:val="00CF7F9F"/>
    <w:rsid w:val="00D0085C"/>
    <w:rsid w:val="00D00BA8"/>
    <w:rsid w:val="00D00DCF"/>
    <w:rsid w:val="00D0139A"/>
    <w:rsid w:val="00D01AB1"/>
    <w:rsid w:val="00D02201"/>
    <w:rsid w:val="00D02643"/>
    <w:rsid w:val="00D03E5E"/>
    <w:rsid w:val="00D04DA6"/>
    <w:rsid w:val="00D05B8C"/>
    <w:rsid w:val="00D06725"/>
    <w:rsid w:val="00D071F2"/>
    <w:rsid w:val="00D073F9"/>
    <w:rsid w:val="00D10337"/>
    <w:rsid w:val="00D10859"/>
    <w:rsid w:val="00D10EC5"/>
    <w:rsid w:val="00D11784"/>
    <w:rsid w:val="00D1221F"/>
    <w:rsid w:val="00D126B1"/>
    <w:rsid w:val="00D13B4B"/>
    <w:rsid w:val="00D160D4"/>
    <w:rsid w:val="00D161D3"/>
    <w:rsid w:val="00D1654C"/>
    <w:rsid w:val="00D1657E"/>
    <w:rsid w:val="00D16E24"/>
    <w:rsid w:val="00D2013B"/>
    <w:rsid w:val="00D207F5"/>
    <w:rsid w:val="00D20DE3"/>
    <w:rsid w:val="00D21072"/>
    <w:rsid w:val="00D21526"/>
    <w:rsid w:val="00D2153B"/>
    <w:rsid w:val="00D21691"/>
    <w:rsid w:val="00D2187E"/>
    <w:rsid w:val="00D21F51"/>
    <w:rsid w:val="00D226A5"/>
    <w:rsid w:val="00D22BCC"/>
    <w:rsid w:val="00D25868"/>
    <w:rsid w:val="00D25AD0"/>
    <w:rsid w:val="00D25B75"/>
    <w:rsid w:val="00D25EBB"/>
    <w:rsid w:val="00D26B05"/>
    <w:rsid w:val="00D26BE3"/>
    <w:rsid w:val="00D26FC1"/>
    <w:rsid w:val="00D27A2D"/>
    <w:rsid w:val="00D31956"/>
    <w:rsid w:val="00D31B91"/>
    <w:rsid w:val="00D32B06"/>
    <w:rsid w:val="00D32D41"/>
    <w:rsid w:val="00D335DA"/>
    <w:rsid w:val="00D33766"/>
    <w:rsid w:val="00D33996"/>
    <w:rsid w:val="00D34711"/>
    <w:rsid w:val="00D34779"/>
    <w:rsid w:val="00D35050"/>
    <w:rsid w:val="00D352DB"/>
    <w:rsid w:val="00D3534A"/>
    <w:rsid w:val="00D35B32"/>
    <w:rsid w:val="00D36556"/>
    <w:rsid w:val="00D36B7F"/>
    <w:rsid w:val="00D36C82"/>
    <w:rsid w:val="00D372E1"/>
    <w:rsid w:val="00D40100"/>
    <w:rsid w:val="00D40C39"/>
    <w:rsid w:val="00D41F92"/>
    <w:rsid w:val="00D429F0"/>
    <w:rsid w:val="00D42C8C"/>
    <w:rsid w:val="00D45057"/>
    <w:rsid w:val="00D45EFC"/>
    <w:rsid w:val="00D4654F"/>
    <w:rsid w:val="00D467EF"/>
    <w:rsid w:val="00D50196"/>
    <w:rsid w:val="00D51B97"/>
    <w:rsid w:val="00D523B3"/>
    <w:rsid w:val="00D52DA8"/>
    <w:rsid w:val="00D54942"/>
    <w:rsid w:val="00D54F7E"/>
    <w:rsid w:val="00D55E24"/>
    <w:rsid w:val="00D56336"/>
    <w:rsid w:val="00D56FAE"/>
    <w:rsid w:val="00D5718E"/>
    <w:rsid w:val="00D5771F"/>
    <w:rsid w:val="00D577B2"/>
    <w:rsid w:val="00D604ED"/>
    <w:rsid w:val="00D60F10"/>
    <w:rsid w:val="00D62BF4"/>
    <w:rsid w:val="00D634FD"/>
    <w:rsid w:val="00D64314"/>
    <w:rsid w:val="00D64567"/>
    <w:rsid w:val="00D646D8"/>
    <w:rsid w:val="00D659FA"/>
    <w:rsid w:val="00D65D3B"/>
    <w:rsid w:val="00D665F6"/>
    <w:rsid w:val="00D67EBE"/>
    <w:rsid w:val="00D7039D"/>
    <w:rsid w:val="00D704B0"/>
    <w:rsid w:val="00D7100F"/>
    <w:rsid w:val="00D7161A"/>
    <w:rsid w:val="00D72EF0"/>
    <w:rsid w:val="00D73215"/>
    <w:rsid w:val="00D744BC"/>
    <w:rsid w:val="00D74D73"/>
    <w:rsid w:val="00D75C55"/>
    <w:rsid w:val="00D76B29"/>
    <w:rsid w:val="00D76D98"/>
    <w:rsid w:val="00D77AFA"/>
    <w:rsid w:val="00D77FB1"/>
    <w:rsid w:val="00D8046D"/>
    <w:rsid w:val="00D80A35"/>
    <w:rsid w:val="00D81ADE"/>
    <w:rsid w:val="00D81D7C"/>
    <w:rsid w:val="00D821D2"/>
    <w:rsid w:val="00D83CCD"/>
    <w:rsid w:val="00D83D28"/>
    <w:rsid w:val="00D83E8F"/>
    <w:rsid w:val="00D83FF1"/>
    <w:rsid w:val="00D84F9E"/>
    <w:rsid w:val="00D870A5"/>
    <w:rsid w:val="00D87136"/>
    <w:rsid w:val="00D907F5"/>
    <w:rsid w:val="00D917FD"/>
    <w:rsid w:val="00D9264F"/>
    <w:rsid w:val="00D92F8A"/>
    <w:rsid w:val="00D93379"/>
    <w:rsid w:val="00D969D1"/>
    <w:rsid w:val="00DA0302"/>
    <w:rsid w:val="00DA0369"/>
    <w:rsid w:val="00DA0496"/>
    <w:rsid w:val="00DA07DE"/>
    <w:rsid w:val="00DA0BED"/>
    <w:rsid w:val="00DA1E08"/>
    <w:rsid w:val="00DA2047"/>
    <w:rsid w:val="00DA26AA"/>
    <w:rsid w:val="00DA326C"/>
    <w:rsid w:val="00DA36FD"/>
    <w:rsid w:val="00DA3EC7"/>
    <w:rsid w:val="00DA5430"/>
    <w:rsid w:val="00DA5854"/>
    <w:rsid w:val="00DA62D6"/>
    <w:rsid w:val="00DA64AB"/>
    <w:rsid w:val="00DA675A"/>
    <w:rsid w:val="00DA6C90"/>
    <w:rsid w:val="00DA73A2"/>
    <w:rsid w:val="00DB0865"/>
    <w:rsid w:val="00DB119D"/>
    <w:rsid w:val="00DB1B65"/>
    <w:rsid w:val="00DB1CDB"/>
    <w:rsid w:val="00DB2DF4"/>
    <w:rsid w:val="00DB4D7C"/>
    <w:rsid w:val="00DB5213"/>
    <w:rsid w:val="00DB5749"/>
    <w:rsid w:val="00DB5BB9"/>
    <w:rsid w:val="00DB6038"/>
    <w:rsid w:val="00DB60AF"/>
    <w:rsid w:val="00DB64AD"/>
    <w:rsid w:val="00DB6BD9"/>
    <w:rsid w:val="00DB6C95"/>
    <w:rsid w:val="00DB6C9F"/>
    <w:rsid w:val="00DB7AD6"/>
    <w:rsid w:val="00DB7B8B"/>
    <w:rsid w:val="00DC157B"/>
    <w:rsid w:val="00DC287C"/>
    <w:rsid w:val="00DC2B68"/>
    <w:rsid w:val="00DC34D4"/>
    <w:rsid w:val="00DC3674"/>
    <w:rsid w:val="00DC5581"/>
    <w:rsid w:val="00DC674C"/>
    <w:rsid w:val="00DC7452"/>
    <w:rsid w:val="00DD05FF"/>
    <w:rsid w:val="00DD06EF"/>
    <w:rsid w:val="00DD0B9D"/>
    <w:rsid w:val="00DD0D00"/>
    <w:rsid w:val="00DD0DCA"/>
    <w:rsid w:val="00DD2CAD"/>
    <w:rsid w:val="00DD2CE7"/>
    <w:rsid w:val="00DD3370"/>
    <w:rsid w:val="00DD376D"/>
    <w:rsid w:val="00DD4286"/>
    <w:rsid w:val="00DD4383"/>
    <w:rsid w:val="00DD43B9"/>
    <w:rsid w:val="00DD4F6F"/>
    <w:rsid w:val="00DD7853"/>
    <w:rsid w:val="00DE1399"/>
    <w:rsid w:val="00DE1CDF"/>
    <w:rsid w:val="00DE1EBB"/>
    <w:rsid w:val="00DE2F78"/>
    <w:rsid w:val="00DE2FA9"/>
    <w:rsid w:val="00DE35EE"/>
    <w:rsid w:val="00DE39C4"/>
    <w:rsid w:val="00DE3C25"/>
    <w:rsid w:val="00DE3CF2"/>
    <w:rsid w:val="00DE419F"/>
    <w:rsid w:val="00DE44F7"/>
    <w:rsid w:val="00DE462E"/>
    <w:rsid w:val="00DE5652"/>
    <w:rsid w:val="00DE66F2"/>
    <w:rsid w:val="00DF0D48"/>
    <w:rsid w:val="00DF1FD2"/>
    <w:rsid w:val="00DF2C55"/>
    <w:rsid w:val="00DF3D68"/>
    <w:rsid w:val="00DF4C1E"/>
    <w:rsid w:val="00DF5151"/>
    <w:rsid w:val="00DF5373"/>
    <w:rsid w:val="00DF5BE1"/>
    <w:rsid w:val="00DF64FF"/>
    <w:rsid w:val="00E00F29"/>
    <w:rsid w:val="00E01129"/>
    <w:rsid w:val="00E01201"/>
    <w:rsid w:val="00E01C52"/>
    <w:rsid w:val="00E024A7"/>
    <w:rsid w:val="00E02E63"/>
    <w:rsid w:val="00E05F28"/>
    <w:rsid w:val="00E06D35"/>
    <w:rsid w:val="00E07F5E"/>
    <w:rsid w:val="00E1018C"/>
    <w:rsid w:val="00E118CC"/>
    <w:rsid w:val="00E12149"/>
    <w:rsid w:val="00E132AD"/>
    <w:rsid w:val="00E13809"/>
    <w:rsid w:val="00E1431C"/>
    <w:rsid w:val="00E14521"/>
    <w:rsid w:val="00E14850"/>
    <w:rsid w:val="00E171E9"/>
    <w:rsid w:val="00E171F6"/>
    <w:rsid w:val="00E20BCE"/>
    <w:rsid w:val="00E20F38"/>
    <w:rsid w:val="00E2104A"/>
    <w:rsid w:val="00E22CE6"/>
    <w:rsid w:val="00E233DE"/>
    <w:rsid w:val="00E2443B"/>
    <w:rsid w:val="00E2487A"/>
    <w:rsid w:val="00E25255"/>
    <w:rsid w:val="00E252B2"/>
    <w:rsid w:val="00E25481"/>
    <w:rsid w:val="00E25483"/>
    <w:rsid w:val="00E256F5"/>
    <w:rsid w:val="00E259B8"/>
    <w:rsid w:val="00E261EE"/>
    <w:rsid w:val="00E27141"/>
    <w:rsid w:val="00E27F67"/>
    <w:rsid w:val="00E316DD"/>
    <w:rsid w:val="00E318EE"/>
    <w:rsid w:val="00E3316D"/>
    <w:rsid w:val="00E36A5F"/>
    <w:rsid w:val="00E404D3"/>
    <w:rsid w:val="00E410BA"/>
    <w:rsid w:val="00E4118B"/>
    <w:rsid w:val="00E41762"/>
    <w:rsid w:val="00E41A8B"/>
    <w:rsid w:val="00E41F1E"/>
    <w:rsid w:val="00E42601"/>
    <w:rsid w:val="00E43696"/>
    <w:rsid w:val="00E45359"/>
    <w:rsid w:val="00E45626"/>
    <w:rsid w:val="00E45EEA"/>
    <w:rsid w:val="00E4631A"/>
    <w:rsid w:val="00E46AEE"/>
    <w:rsid w:val="00E46C04"/>
    <w:rsid w:val="00E4769F"/>
    <w:rsid w:val="00E47A93"/>
    <w:rsid w:val="00E50C5D"/>
    <w:rsid w:val="00E50EBA"/>
    <w:rsid w:val="00E51114"/>
    <w:rsid w:val="00E512ED"/>
    <w:rsid w:val="00E51558"/>
    <w:rsid w:val="00E51595"/>
    <w:rsid w:val="00E534C8"/>
    <w:rsid w:val="00E541A0"/>
    <w:rsid w:val="00E56602"/>
    <w:rsid w:val="00E56D48"/>
    <w:rsid w:val="00E5799C"/>
    <w:rsid w:val="00E60F41"/>
    <w:rsid w:val="00E61F35"/>
    <w:rsid w:val="00E61FB6"/>
    <w:rsid w:val="00E62B88"/>
    <w:rsid w:val="00E6329E"/>
    <w:rsid w:val="00E63861"/>
    <w:rsid w:val="00E63881"/>
    <w:rsid w:val="00E6464E"/>
    <w:rsid w:val="00E6512C"/>
    <w:rsid w:val="00E663B5"/>
    <w:rsid w:val="00E66EE1"/>
    <w:rsid w:val="00E675A2"/>
    <w:rsid w:val="00E67E41"/>
    <w:rsid w:val="00E70007"/>
    <w:rsid w:val="00E70552"/>
    <w:rsid w:val="00E70838"/>
    <w:rsid w:val="00E7161A"/>
    <w:rsid w:val="00E71681"/>
    <w:rsid w:val="00E71AE5"/>
    <w:rsid w:val="00E72586"/>
    <w:rsid w:val="00E72682"/>
    <w:rsid w:val="00E734C9"/>
    <w:rsid w:val="00E73D82"/>
    <w:rsid w:val="00E73FD9"/>
    <w:rsid w:val="00E801B6"/>
    <w:rsid w:val="00E80CF8"/>
    <w:rsid w:val="00E816C9"/>
    <w:rsid w:val="00E817DA"/>
    <w:rsid w:val="00E81D4B"/>
    <w:rsid w:val="00E83271"/>
    <w:rsid w:val="00E83AEE"/>
    <w:rsid w:val="00E84406"/>
    <w:rsid w:val="00E8473D"/>
    <w:rsid w:val="00E8484E"/>
    <w:rsid w:val="00E849E3"/>
    <w:rsid w:val="00E84A78"/>
    <w:rsid w:val="00E86053"/>
    <w:rsid w:val="00E86097"/>
    <w:rsid w:val="00E86566"/>
    <w:rsid w:val="00E867CC"/>
    <w:rsid w:val="00E86987"/>
    <w:rsid w:val="00E86E65"/>
    <w:rsid w:val="00E87129"/>
    <w:rsid w:val="00E87130"/>
    <w:rsid w:val="00E91EBC"/>
    <w:rsid w:val="00E92D94"/>
    <w:rsid w:val="00E9398B"/>
    <w:rsid w:val="00E93AA4"/>
    <w:rsid w:val="00E942B7"/>
    <w:rsid w:val="00E94F81"/>
    <w:rsid w:val="00E952F3"/>
    <w:rsid w:val="00E95A72"/>
    <w:rsid w:val="00E95A93"/>
    <w:rsid w:val="00E965B8"/>
    <w:rsid w:val="00E96746"/>
    <w:rsid w:val="00E9698C"/>
    <w:rsid w:val="00E975FC"/>
    <w:rsid w:val="00EA02C5"/>
    <w:rsid w:val="00EA06C2"/>
    <w:rsid w:val="00EA0800"/>
    <w:rsid w:val="00EA0B57"/>
    <w:rsid w:val="00EA1072"/>
    <w:rsid w:val="00EA2AE8"/>
    <w:rsid w:val="00EA415F"/>
    <w:rsid w:val="00EA46E3"/>
    <w:rsid w:val="00EA4999"/>
    <w:rsid w:val="00EA513C"/>
    <w:rsid w:val="00EA576B"/>
    <w:rsid w:val="00EA5D05"/>
    <w:rsid w:val="00EA7670"/>
    <w:rsid w:val="00EB083C"/>
    <w:rsid w:val="00EB20D2"/>
    <w:rsid w:val="00EB2305"/>
    <w:rsid w:val="00EB3DE4"/>
    <w:rsid w:val="00EB4580"/>
    <w:rsid w:val="00EB4DDB"/>
    <w:rsid w:val="00EB6C2E"/>
    <w:rsid w:val="00EB79C7"/>
    <w:rsid w:val="00EB7E92"/>
    <w:rsid w:val="00EC09D7"/>
    <w:rsid w:val="00EC0A46"/>
    <w:rsid w:val="00EC1EEF"/>
    <w:rsid w:val="00EC220B"/>
    <w:rsid w:val="00EC27C1"/>
    <w:rsid w:val="00EC287D"/>
    <w:rsid w:val="00EC36C5"/>
    <w:rsid w:val="00EC3BF9"/>
    <w:rsid w:val="00EC433E"/>
    <w:rsid w:val="00EC4755"/>
    <w:rsid w:val="00EC5363"/>
    <w:rsid w:val="00EC5D20"/>
    <w:rsid w:val="00EC5DFE"/>
    <w:rsid w:val="00EC63A1"/>
    <w:rsid w:val="00EC66C4"/>
    <w:rsid w:val="00EC72AE"/>
    <w:rsid w:val="00EC7BA5"/>
    <w:rsid w:val="00EC7EB4"/>
    <w:rsid w:val="00ED0C88"/>
    <w:rsid w:val="00ED11CC"/>
    <w:rsid w:val="00ED1414"/>
    <w:rsid w:val="00ED19AB"/>
    <w:rsid w:val="00ED1EB8"/>
    <w:rsid w:val="00ED2D76"/>
    <w:rsid w:val="00ED3919"/>
    <w:rsid w:val="00ED438A"/>
    <w:rsid w:val="00ED43AC"/>
    <w:rsid w:val="00ED4DFA"/>
    <w:rsid w:val="00ED54F5"/>
    <w:rsid w:val="00ED5C9D"/>
    <w:rsid w:val="00ED78C1"/>
    <w:rsid w:val="00ED7A70"/>
    <w:rsid w:val="00ED7DA5"/>
    <w:rsid w:val="00EE0A05"/>
    <w:rsid w:val="00EE0E28"/>
    <w:rsid w:val="00EE145D"/>
    <w:rsid w:val="00EE5BEF"/>
    <w:rsid w:val="00EE646B"/>
    <w:rsid w:val="00EE6962"/>
    <w:rsid w:val="00EE6D18"/>
    <w:rsid w:val="00EE7234"/>
    <w:rsid w:val="00EE78F6"/>
    <w:rsid w:val="00EE7A29"/>
    <w:rsid w:val="00EF0D9F"/>
    <w:rsid w:val="00EF1ECC"/>
    <w:rsid w:val="00EF2B3F"/>
    <w:rsid w:val="00EF30BD"/>
    <w:rsid w:val="00EF3E73"/>
    <w:rsid w:val="00EF4F08"/>
    <w:rsid w:val="00EF5801"/>
    <w:rsid w:val="00EF63A9"/>
    <w:rsid w:val="00EF657C"/>
    <w:rsid w:val="00EF6DB2"/>
    <w:rsid w:val="00EF6F37"/>
    <w:rsid w:val="00F003BF"/>
    <w:rsid w:val="00F02DBA"/>
    <w:rsid w:val="00F0315C"/>
    <w:rsid w:val="00F0389C"/>
    <w:rsid w:val="00F04313"/>
    <w:rsid w:val="00F06086"/>
    <w:rsid w:val="00F0726F"/>
    <w:rsid w:val="00F07B12"/>
    <w:rsid w:val="00F07D69"/>
    <w:rsid w:val="00F1034D"/>
    <w:rsid w:val="00F1079F"/>
    <w:rsid w:val="00F117ED"/>
    <w:rsid w:val="00F11876"/>
    <w:rsid w:val="00F1193D"/>
    <w:rsid w:val="00F12A31"/>
    <w:rsid w:val="00F132B1"/>
    <w:rsid w:val="00F148C3"/>
    <w:rsid w:val="00F15A83"/>
    <w:rsid w:val="00F15D66"/>
    <w:rsid w:val="00F15DEB"/>
    <w:rsid w:val="00F21D22"/>
    <w:rsid w:val="00F223DB"/>
    <w:rsid w:val="00F229E1"/>
    <w:rsid w:val="00F23AB2"/>
    <w:rsid w:val="00F24BC9"/>
    <w:rsid w:val="00F25A5C"/>
    <w:rsid w:val="00F27375"/>
    <w:rsid w:val="00F27CDB"/>
    <w:rsid w:val="00F30B77"/>
    <w:rsid w:val="00F31036"/>
    <w:rsid w:val="00F311E3"/>
    <w:rsid w:val="00F33F9D"/>
    <w:rsid w:val="00F34B11"/>
    <w:rsid w:val="00F35399"/>
    <w:rsid w:val="00F37298"/>
    <w:rsid w:val="00F373EB"/>
    <w:rsid w:val="00F37861"/>
    <w:rsid w:val="00F37BD3"/>
    <w:rsid w:val="00F4040B"/>
    <w:rsid w:val="00F420A1"/>
    <w:rsid w:val="00F4354F"/>
    <w:rsid w:val="00F43732"/>
    <w:rsid w:val="00F4397B"/>
    <w:rsid w:val="00F439B0"/>
    <w:rsid w:val="00F43E2A"/>
    <w:rsid w:val="00F45152"/>
    <w:rsid w:val="00F45668"/>
    <w:rsid w:val="00F45BAE"/>
    <w:rsid w:val="00F460E0"/>
    <w:rsid w:val="00F46E79"/>
    <w:rsid w:val="00F47254"/>
    <w:rsid w:val="00F47378"/>
    <w:rsid w:val="00F47678"/>
    <w:rsid w:val="00F50CDA"/>
    <w:rsid w:val="00F50D4E"/>
    <w:rsid w:val="00F50E87"/>
    <w:rsid w:val="00F52610"/>
    <w:rsid w:val="00F52876"/>
    <w:rsid w:val="00F52B6A"/>
    <w:rsid w:val="00F52CA0"/>
    <w:rsid w:val="00F52FA7"/>
    <w:rsid w:val="00F5316C"/>
    <w:rsid w:val="00F53389"/>
    <w:rsid w:val="00F542C1"/>
    <w:rsid w:val="00F5457A"/>
    <w:rsid w:val="00F547D0"/>
    <w:rsid w:val="00F557D6"/>
    <w:rsid w:val="00F558AF"/>
    <w:rsid w:val="00F558F7"/>
    <w:rsid w:val="00F559D8"/>
    <w:rsid w:val="00F55A60"/>
    <w:rsid w:val="00F56354"/>
    <w:rsid w:val="00F57267"/>
    <w:rsid w:val="00F57E43"/>
    <w:rsid w:val="00F610F8"/>
    <w:rsid w:val="00F61966"/>
    <w:rsid w:val="00F621E0"/>
    <w:rsid w:val="00F623EA"/>
    <w:rsid w:val="00F628A5"/>
    <w:rsid w:val="00F62992"/>
    <w:rsid w:val="00F63194"/>
    <w:rsid w:val="00F636F2"/>
    <w:rsid w:val="00F6382A"/>
    <w:rsid w:val="00F6395E"/>
    <w:rsid w:val="00F640AA"/>
    <w:rsid w:val="00F64BD2"/>
    <w:rsid w:val="00F64DCE"/>
    <w:rsid w:val="00F6516C"/>
    <w:rsid w:val="00F654ED"/>
    <w:rsid w:val="00F65F9E"/>
    <w:rsid w:val="00F6618C"/>
    <w:rsid w:val="00F66653"/>
    <w:rsid w:val="00F6725A"/>
    <w:rsid w:val="00F67A29"/>
    <w:rsid w:val="00F67DA6"/>
    <w:rsid w:val="00F702EB"/>
    <w:rsid w:val="00F70380"/>
    <w:rsid w:val="00F708ED"/>
    <w:rsid w:val="00F710D6"/>
    <w:rsid w:val="00F717E1"/>
    <w:rsid w:val="00F71D7D"/>
    <w:rsid w:val="00F72BDF"/>
    <w:rsid w:val="00F72EB3"/>
    <w:rsid w:val="00F73321"/>
    <w:rsid w:val="00F735A7"/>
    <w:rsid w:val="00F74441"/>
    <w:rsid w:val="00F745D9"/>
    <w:rsid w:val="00F75D17"/>
    <w:rsid w:val="00F76BB3"/>
    <w:rsid w:val="00F76D4E"/>
    <w:rsid w:val="00F772DA"/>
    <w:rsid w:val="00F7781E"/>
    <w:rsid w:val="00F81708"/>
    <w:rsid w:val="00F81F1D"/>
    <w:rsid w:val="00F82D68"/>
    <w:rsid w:val="00F8304F"/>
    <w:rsid w:val="00F847B5"/>
    <w:rsid w:val="00F85DFD"/>
    <w:rsid w:val="00F868BC"/>
    <w:rsid w:val="00F871F5"/>
    <w:rsid w:val="00F875DE"/>
    <w:rsid w:val="00F879B1"/>
    <w:rsid w:val="00F90D95"/>
    <w:rsid w:val="00F90F9D"/>
    <w:rsid w:val="00F91054"/>
    <w:rsid w:val="00F92653"/>
    <w:rsid w:val="00F92C69"/>
    <w:rsid w:val="00F9332E"/>
    <w:rsid w:val="00F94962"/>
    <w:rsid w:val="00F9521E"/>
    <w:rsid w:val="00F95E15"/>
    <w:rsid w:val="00F961DD"/>
    <w:rsid w:val="00F97015"/>
    <w:rsid w:val="00F9746E"/>
    <w:rsid w:val="00F974A9"/>
    <w:rsid w:val="00FA03B6"/>
    <w:rsid w:val="00FA1144"/>
    <w:rsid w:val="00FA1629"/>
    <w:rsid w:val="00FA226B"/>
    <w:rsid w:val="00FA2DC5"/>
    <w:rsid w:val="00FA33D9"/>
    <w:rsid w:val="00FA3486"/>
    <w:rsid w:val="00FA36DB"/>
    <w:rsid w:val="00FA429A"/>
    <w:rsid w:val="00FA4D82"/>
    <w:rsid w:val="00FA528E"/>
    <w:rsid w:val="00FA52E7"/>
    <w:rsid w:val="00FA5DD2"/>
    <w:rsid w:val="00FA63FC"/>
    <w:rsid w:val="00FA70D4"/>
    <w:rsid w:val="00FB092A"/>
    <w:rsid w:val="00FB0BC2"/>
    <w:rsid w:val="00FB2F90"/>
    <w:rsid w:val="00FB308E"/>
    <w:rsid w:val="00FB32D4"/>
    <w:rsid w:val="00FB3461"/>
    <w:rsid w:val="00FB48FD"/>
    <w:rsid w:val="00FB5CA3"/>
    <w:rsid w:val="00FC006A"/>
    <w:rsid w:val="00FC0F20"/>
    <w:rsid w:val="00FC12B5"/>
    <w:rsid w:val="00FC1882"/>
    <w:rsid w:val="00FC1AD6"/>
    <w:rsid w:val="00FC1C2D"/>
    <w:rsid w:val="00FC258D"/>
    <w:rsid w:val="00FC27E6"/>
    <w:rsid w:val="00FC2803"/>
    <w:rsid w:val="00FC29AD"/>
    <w:rsid w:val="00FC2B2D"/>
    <w:rsid w:val="00FC2CDB"/>
    <w:rsid w:val="00FC3263"/>
    <w:rsid w:val="00FC3633"/>
    <w:rsid w:val="00FC3A48"/>
    <w:rsid w:val="00FC49C1"/>
    <w:rsid w:val="00FC5058"/>
    <w:rsid w:val="00FC54B8"/>
    <w:rsid w:val="00FC735E"/>
    <w:rsid w:val="00FC7F42"/>
    <w:rsid w:val="00FD0883"/>
    <w:rsid w:val="00FD0CEF"/>
    <w:rsid w:val="00FD1263"/>
    <w:rsid w:val="00FD1EA4"/>
    <w:rsid w:val="00FD273B"/>
    <w:rsid w:val="00FD2B18"/>
    <w:rsid w:val="00FD34B2"/>
    <w:rsid w:val="00FD350C"/>
    <w:rsid w:val="00FD4A4B"/>
    <w:rsid w:val="00FD4B1F"/>
    <w:rsid w:val="00FD4ED0"/>
    <w:rsid w:val="00FD5D94"/>
    <w:rsid w:val="00FD65DE"/>
    <w:rsid w:val="00FD6DF2"/>
    <w:rsid w:val="00FE0D70"/>
    <w:rsid w:val="00FE1A06"/>
    <w:rsid w:val="00FE2E8D"/>
    <w:rsid w:val="00FE3738"/>
    <w:rsid w:val="00FE3ACE"/>
    <w:rsid w:val="00FE3DF9"/>
    <w:rsid w:val="00FE4F1F"/>
    <w:rsid w:val="00FE513E"/>
    <w:rsid w:val="00FE531F"/>
    <w:rsid w:val="00FE5F67"/>
    <w:rsid w:val="00FE65F9"/>
    <w:rsid w:val="00FE7764"/>
    <w:rsid w:val="00FF047B"/>
    <w:rsid w:val="00FF0F14"/>
    <w:rsid w:val="00FF177B"/>
    <w:rsid w:val="00FF249C"/>
    <w:rsid w:val="00FF2551"/>
    <w:rsid w:val="00FF2EA1"/>
    <w:rsid w:val="00FF35F6"/>
    <w:rsid w:val="00FF5786"/>
    <w:rsid w:val="00FF5C39"/>
    <w:rsid w:val="00FF5D67"/>
    <w:rsid w:val="00FF6321"/>
    <w:rsid w:val="00FF7622"/>
    <w:rsid w:val="0111462D"/>
    <w:rsid w:val="013E2FDB"/>
    <w:rsid w:val="0164104B"/>
    <w:rsid w:val="01971EB7"/>
    <w:rsid w:val="01E22EEF"/>
    <w:rsid w:val="02094019"/>
    <w:rsid w:val="02180C4F"/>
    <w:rsid w:val="024876E8"/>
    <w:rsid w:val="025A3D10"/>
    <w:rsid w:val="02900DDC"/>
    <w:rsid w:val="02AF3B34"/>
    <w:rsid w:val="02C6681B"/>
    <w:rsid w:val="02E0504F"/>
    <w:rsid w:val="02E97045"/>
    <w:rsid w:val="02FB6E41"/>
    <w:rsid w:val="02FE0EC8"/>
    <w:rsid w:val="033D1800"/>
    <w:rsid w:val="03831633"/>
    <w:rsid w:val="03D92284"/>
    <w:rsid w:val="03F37898"/>
    <w:rsid w:val="03FB06D5"/>
    <w:rsid w:val="041E196E"/>
    <w:rsid w:val="045C2724"/>
    <w:rsid w:val="04655E0B"/>
    <w:rsid w:val="047A1299"/>
    <w:rsid w:val="048B07CE"/>
    <w:rsid w:val="049E00CC"/>
    <w:rsid w:val="04BC7280"/>
    <w:rsid w:val="04D12E16"/>
    <w:rsid w:val="04F874BB"/>
    <w:rsid w:val="04FD01C0"/>
    <w:rsid w:val="05257330"/>
    <w:rsid w:val="054B2C9E"/>
    <w:rsid w:val="055C3817"/>
    <w:rsid w:val="055E0BF4"/>
    <w:rsid w:val="05A17242"/>
    <w:rsid w:val="05E52306"/>
    <w:rsid w:val="060474ED"/>
    <w:rsid w:val="060B2F97"/>
    <w:rsid w:val="065140AC"/>
    <w:rsid w:val="066F1B2E"/>
    <w:rsid w:val="068B3680"/>
    <w:rsid w:val="06937909"/>
    <w:rsid w:val="06AB62C8"/>
    <w:rsid w:val="06EE1A9E"/>
    <w:rsid w:val="073A04FC"/>
    <w:rsid w:val="0772543B"/>
    <w:rsid w:val="077305E3"/>
    <w:rsid w:val="079F4F94"/>
    <w:rsid w:val="07C55136"/>
    <w:rsid w:val="07CD0531"/>
    <w:rsid w:val="07D32C80"/>
    <w:rsid w:val="08945EAD"/>
    <w:rsid w:val="08C60338"/>
    <w:rsid w:val="08D11764"/>
    <w:rsid w:val="08FA0F77"/>
    <w:rsid w:val="096E10A3"/>
    <w:rsid w:val="09887B61"/>
    <w:rsid w:val="0A4737B7"/>
    <w:rsid w:val="0A530C57"/>
    <w:rsid w:val="0AC3018E"/>
    <w:rsid w:val="0AC45F0E"/>
    <w:rsid w:val="0B242CDB"/>
    <w:rsid w:val="0B2D534F"/>
    <w:rsid w:val="0B6F66D5"/>
    <w:rsid w:val="0BBF6BB4"/>
    <w:rsid w:val="0BF12592"/>
    <w:rsid w:val="0C345EBE"/>
    <w:rsid w:val="0C556F6C"/>
    <w:rsid w:val="0C7809C1"/>
    <w:rsid w:val="0C924CB4"/>
    <w:rsid w:val="0CA2715E"/>
    <w:rsid w:val="0D4177E2"/>
    <w:rsid w:val="0D7D2F98"/>
    <w:rsid w:val="0E0B3EC4"/>
    <w:rsid w:val="0E7C0742"/>
    <w:rsid w:val="0ED111EF"/>
    <w:rsid w:val="0EF17197"/>
    <w:rsid w:val="0FA44DE8"/>
    <w:rsid w:val="0FFF3EA0"/>
    <w:rsid w:val="1034478D"/>
    <w:rsid w:val="10453502"/>
    <w:rsid w:val="10D4508F"/>
    <w:rsid w:val="113A1037"/>
    <w:rsid w:val="11402131"/>
    <w:rsid w:val="11EC044E"/>
    <w:rsid w:val="12144A4C"/>
    <w:rsid w:val="12274323"/>
    <w:rsid w:val="12453F2E"/>
    <w:rsid w:val="12792853"/>
    <w:rsid w:val="128E38FC"/>
    <w:rsid w:val="13164667"/>
    <w:rsid w:val="131979D7"/>
    <w:rsid w:val="13753309"/>
    <w:rsid w:val="13FC6ADB"/>
    <w:rsid w:val="14197227"/>
    <w:rsid w:val="14662DCC"/>
    <w:rsid w:val="148C24DB"/>
    <w:rsid w:val="1517452C"/>
    <w:rsid w:val="153D308F"/>
    <w:rsid w:val="156C4FA6"/>
    <w:rsid w:val="15AC7ACC"/>
    <w:rsid w:val="15D96070"/>
    <w:rsid w:val="15F202E1"/>
    <w:rsid w:val="160216D0"/>
    <w:rsid w:val="1641787C"/>
    <w:rsid w:val="1649653A"/>
    <w:rsid w:val="16860739"/>
    <w:rsid w:val="16AB203A"/>
    <w:rsid w:val="16BA5154"/>
    <w:rsid w:val="16EF0B20"/>
    <w:rsid w:val="16F82C82"/>
    <w:rsid w:val="1705389A"/>
    <w:rsid w:val="174940E7"/>
    <w:rsid w:val="17656506"/>
    <w:rsid w:val="178D354C"/>
    <w:rsid w:val="17A66650"/>
    <w:rsid w:val="17B46560"/>
    <w:rsid w:val="17EA48C1"/>
    <w:rsid w:val="180F516D"/>
    <w:rsid w:val="183E69BC"/>
    <w:rsid w:val="18701E4F"/>
    <w:rsid w:val="1881346C"/>
    <w:rsid w:val="18865761"/>
    <w:rsid w:val="188F2709"/>
    <w:rsid w:val="18A0023E"/>
    <w:rsid w:val="18A349BF"/>
    <w:rsid w:val="18DE5562"/>
    <w:rsid w:val="190D4091"/>
    <w:rsid w:val="19166D38"/>
    <w:rsid w:val="19334886"/>
    <w:rsid w:val="19935E0F"/>
    <w:rsid w:val="19B657B7"/>
    <w:rsid w:val="19D67B1E"/>
    <w:rsid w:val="1AC55489"/>
    <w:rsid w:val="1AE0528E"/>
    <w:rsid w:val="1AE06440"/>
    <w:rsid w:val="1B5E62E3"/>
    <w:rsid w:val="1B8A18C6"/>
    <w:rsid w:val="1BB65BCA"/>
    <w:rsid w:val="1C3522E0"/>
    <w:rsid w:val="1C620459"/>
    <w:rsid w:val="1C7366B7"/>
    <w:rsid w:val="1C742C16"/>
    <w:rsid w:val="1C9B1BC8"/>
    <w:rsid w:val="1CBB629F"/>
    <w:rsid w:val="1D504930"/>
    <w:rsid w:val="1D5934BE"/>
    <w:rsid w:val="1D721398"/>
    <w:rsid w:val="1D7E4261"/>
    <w:rsid w:val="1DBA42CB"/>
    <w:rsid w:val="1DC00253"/>
    <w:rsid w:val="1E125639"/>
    <w:rsid w:val="1E44100E"/>
    <w:rsid w:val="1E8E78CB"/>
    <w:rsid w:val="1EE37CC5"/>
    <w:rsid w:val="1EEE06DE"/>
    <w:rsid w:val="1F1C0E6C"/>
    <w:rsid w:val="1F4D283F"/>
    <w:rsid w:val="1F68071B"/>
    <w:rsid w:val="1F952160"/>
    <w:rsid w:val="20435543"/>
    <w:rsid w:val="20447B27"/>
    <w:rsid w:val="209E5422"/>
    <w:rsid w:val="20AB289F"/>
    <w:rsid w:val="21A03366"/>
    <w:rsid w:val="21D05464"/>
    <w:rsid w:val="21D50278"/>
    <w:rsid w:val="22385B62"/>
    <w:rsid w:val="228A4B3B"/>
    <w:rsid w:val="22970275"/>
    <w:rsid w:val="232B3A85"/>
    <w:rsid w:val="23BB3852"/>
    <w:rsid w:val="23E62F23"/>
    <w:rsid w:val="23E67023"/>
    <w:rsid w:val="23E866AE"/>
    <w:rsid w:val="241F2DE6"/>
    <w:rsid w:val="245C6B98"/>
    <w:rsid w:val="246F2C4B"/>
    <w:rsid w:val="24A50E5D"/>
    <w:rsid w:val="24B36450"/>
    <w:rsid w:val="250C2861"/>
    <w:rsid w:val="25707394"/>
    <w:rsid w:val="257B158F"/>
    <w:rsid w:val="259024CF"/>
    <w:rsid w:val="25D9208B"/>
    <w:rsid w:val="25F00525"/>
    <w:rsid w:val="260236E8"/>
    <w:rsid w:val="261F0915"/>
    <w:rsid w:val="2631662E"/>
    <w:rsid w:val="26D24959"/>
    <w:rsid w:val="272B2C33"/>
    <w:rsid w:val="27505101"/>
    <w:rsid w:val="27820BC2"/>
    <w:rsid w:val="278E1A78"/>
    <w:rsid w:val="28284FAF"/>
    <w:rsid w:val="28CE1560"/>
    <w:rsid w:val="291A6927"/>
    <w:rsid w:val="295E65E1"/>
    <w:rsid w:val="29AC3D11"/>
    <w:rsid w:val="29BB349C"/>
    <w:rsid w:val="29BC3A9C"/>
    <w:rsid w:val="29BF50F9"/>
    <w:rsid w:val="29CA5CE7"/>
    <w:rsid w:val="29E92621"/>
    <w:rsid w:val="2A092AB2"/>
    <w:rsid w:val="2A405D60"/>
    <w:rsid w:val="2A6F5AE9"/>
    <w:rsid w:val="2A7E2845"/>
    <w:rsid w:val="2A991300"/>
    <w:rsid w:val="2AE64A3A"/>
    <w:rsid w:val="2B7D1529"/>
    <w:rsid w:val="2BC1143E"/>
    <w:rsid w:val="2C1C5785"/>
    <w:rsid w:val="2C2E52EB"/>
    <w:rsid w:val="2C37731C"/>
    <w:rsid w:val="2C473AA7"/>
    <w:rsid w:val="2C982A9C"/>
    <w:rsid w:val="2CC95E97"/>
    <w:rsid w:val="2CEC10E5"/>
    <w:rsid w:val="2CEC29A9"/>
    <w:rsid w:val="2CF162E8"/>
    <w:rsid w:val="2D991B33"/>
    <w:rsid w:val="2DE11EFF"/>
    <w:rsid w:val="2DF94778"/>
    <w:rsid w:val="2E0B420B"/>
    <w:rsid w:val="2E1C30A3"/>
    <w:rsid w:val="2E2547BF"/>
    <w:rsid w:val="2E444D74"/>
    <w:rsid w:val="2E557187"/>
    <w:rsid w:val="2EA11B9B"/>
    <w:rsid w:val="2EB11F06"/>
    <w:rsid w:val="2EC7556C"/>
    <w:rsid w:val="2F37683A"/>
    <w:rsid w:val="2F482662"/>
    <w:rsid w:val="2FF73CC8"/>
    <w:rsid w:val="301B7149"/>
    <w:rsid w:val="306B2837"/>
    <w:rsid w:val="30B6572F"/>
    <w:rsid w:val="31195289"/>
    <w:rsid w:val="31EE26C8"/>
    <w:rsid w:val="31FB698F"/>
    <w:rsid w:val="32C7765E"/>
    <w:rsid w:val="32CA2532"/>
    <w:rsid w:val="32D9029E"/>
    <w:rsid w:val="33167D45"/>
    <w:rsid w:val="338138AA"/>
    <w:rsid w:val="3387523B"/>
    <w:rsid w:val="338F122D"/>
    <w:rsid w:val="33D0688A"/>
    <w:rsid w:val="33EB3CEE"/>
    <w:rsid w:val="33FB43EF"/>
    <w:rsid w:val="34A60128"/>
    <w:rsid w:val="34AB4DE7"/>
    <w:rsid w:val="34B0337D"/>
    <w:rsid w:val="34C9605D"/>
    <w:rsid w:val="34DE5674"/>
    <w:rsid w:val="34E76882"/>
    <w:rsid w:val="350F5F0C"/>
    <w:rsid w:val="352F170F"/>
    <w:rsid w:val="358D358E"/>
    <w:rsid w:val="35951CEA"/>
    <w:rsid w:val="3607373D"/>
    <w:rsid w:val="3627678C"/>
    <w:rsid w:val="36746E1E"/>
    <w:rsid w:val="368545F7"/>
    <w:rsid w:val="36F529A6"/>
    <w:rsid w:val="37332B1E"/>
    <w:rsid w:val="376161AC"/>
    <w:rsid w:val="377F1989"/>
    <w:rsid w:val="37E904B5"/>
    <w:rsid w:val="37F073E0"/>
    <w:rsid w:val="380D5581"/>
    <w:rsid w:val="38431C78"/>
    <w:rsid w:val="384D3BCD"/>
    <w:rsid w:val="387E353F"/>
    <w:rsid w:val="38986E00"/>
    <w:rsid w:val="39517ED7"/>
    <w:rsid w:val="39A25A78"/>
    <w:rsid w:val="39D76AC2"/>
    <w:rsid w:val="3A231BC3"/>
    <w:rsid w:val="3AB73588"/>
    <w:rsid w:val="3ABF338F"/>
    <w:rsid w:val="3AE414BC"/>
    <w:rsid w:val="3AF42E20"/>
    <w:rsid w:val="3B11419E"/>
    <w:rsid w:val="3B222B91"/>
    <w:rsid w:val="3B7336D3"/>
    <w:rsid w:val="3BD40429"/>
    <w:rsid w:val="3BDA7257"/>
    <w:rsid w:val="3CB61F29"/>
    <w:rsid w:val="3D5D2570"/>
    <w:rsid w:val="3EEB31F8"/>
    <w:rsid w:val="3EFC0D98"/>
    <w:rsid w:val="3F004D6D"/>
    <w:rsid w:val="3F644550"/>
    <w:rsid w:val="3F760957"/>
    <w:rsid w:val="3FC24485"/>
    <w:rsid w:val="401B42B1"/>
    <w:rsid w:val="401D42A1"/>
    <w:rsid w:val="403861BE"/>
    <w:rsid w:val="40565757"/>
    <w:rsid w:val="405E4AB6"/>
    <w:rsid w:val="40621ACD"/>
    <w:rsid w:val="409D7069"/>
    <w:rsid w:val="40CC7B68"/>
    <w:rsid w:val="40DD7C7A"/>
    <w:rsid w:val="41650F9C"/>
    <w:rsid w:val="42004864"/>
    <w:rsid w:val="424170A5"/>
    <w:rsid w:val="424A5077"/>
    <w:rsid w:val="426C0506"/>
    <w:rsid w:val="43232629"/>
    <w:rsid w:val="43863141"/>
    <w:rsid w:val="438D6D02"/>
    <w:rsid w:val="43B73360"/>
    <w:rsid w:val="44111FDC"/>
    <w:rsid w:val="445115D2"/>
    <w:rsid w:val="447173A4"/>
    <w:rsid w:val="44B624A9"/>
    <w:rsid w:val="45156D9D"/>
    <w:rsid w:val="45661154"/>
    <w:rsid w:val="457C6D35"/>
    <w:rsid w:val="45D17A1D"/>
    <w:rsid w:val="46064ACA"/>
    <w:rsid w:val="46113ED7"/>
    <w:rsid w:val="46335DF4"/>
    <w:rsid w:val="4641236E"/>
    <w:rsid w:val="464F5C2C"/>
    <w:rsid w:val="46983649"/>
    <w:rsid w:val="469927CB"/>
    <w:rsid w:val="473B0685"/>
    <w:rsid w:val="47411156"/>
    <w:rsid w:val="47733101"/>
    <w:rsid w:val="477D30ED"/>
    <w:rsid w:val="478F1D61"/>
    <w:rsid w:val="47AF75A2"/>
    <w:rsid w:val="47B343B5"/>
    <w:rsid w:val="480C5B3E"/>
    <w:rsid w:val="484C656D"/>
    <w:rsid w:val="492F1990"/>
    <w:rsid w:val="497273C6"/>
    <w:rsid w:val="49DF0631"/>
    <w:rsid w:val="4A4C084C"/>
    <w:rsid w:val="4A621E0C"/>
    <w:rsid w:val="4AE70D52"/>
    <w:rsid w:val="4B211FC4"/>
    <w:rsid w:val="4C051C9C"/>
    <w:rsid w:val="4C0650FC"/>
    <w:rsid w:val="4C2F48E8"/>
    <w:rsid w:val="4C4778B5"/>
    <w:rsid w:val="4C8B0BB1"/>
    <w:rsid w:val="4CA40FDA"/>
    <w:rsid w:val="4CA64769"/>
    <w:rsid w:val="4CB72CB4"/>
    <w:rsid w:val="4D0B6B9A"/>
    <w:rsid w:val="4D150661"/>
    <w:rsid w:val="4D960D1F"/>
    <w:rsid w:val="4DB92B07"/>
    <w:rsid w:val="4DFB3F71"/>
    <w:rsid w:val="4E224FAE"/>
    <w:rsid w:val="4E477721"/>
    <w:rsid w:val="4E8E3EB5"/>
    <w:rsid w:val="4EA973E8"/>
    <w:rsid w:val="4EAC070E"/>
    <w:rsid w:val="4ED56123"/>
    <w:rsid w:val="4EFF0E96"/>
    <w:rsid w:val="4F013F57"/>
    <w:rsid w:val="4F5F639A"/>
    <w:rsid w:val="4F837F80"/>
    <w:rsid w:val="4FE56D34"/>
    <w:rsid w:val="50092009"/>
    <w:rsid w:val="507E195A"/>
    <w:rsid w:val="50AE5B33"/>
    <w:rsid w:val="50C529B2"/>
    <w:rsid w:val="51185ECD"/>
    <w:rsid w:val="511E40BF"/>
    <w:rsid w:val="51262B87"/>
    <w:rsid w:val="514D16F8"/>
    <w:rsid w:val="51AE5717"/>
    <w:rsid w:val="51BC2454"/>
    <w:rsid w:val="52124463"/>
    <w:rsid w:val="524C6513"/>
    <w:rsid w:val="52627DAB"/>
    <w:rsid w:val="531F60C5"/>
    <w:rsid w:val="53287732"/>
    <w:rsid w:val="5362686D"/>
    <w:rsid w:val="536F6135"/>
    <w:rsid w:val="53702013"/>
    <w:rsid w:val="53D90F3E"/>
    <w:rsid w:val="540E33C8"/>
    <w:rsid w:val="547406A5"/>
    <w:rsid w:val="54A10C9B"/>
    <w:rsid w:val="54B24105"/>
    <w:rsid w:val="54CA0AEC"/>
    <w:rsid w:val="54D06EEE"/>
    <w:rsid w:val="55512FE3"/>
    <w:rsid w:val="561D4B51"/>
    <w:rsid w:val="56604A4E"/>
    <w:rsid w:val="56B2378D"/>
    <w:rsid w:val="56FE2AE4"/>
    <w:rsid w:val="570E1B7D"/>
    <w:rsid w:val="573F045B"/>
    <w:rsid w:val="57EC0711"/>
    <w:rsid w:val="57FE7917"/>
    <w:rsid w:val="580501AF"/>
    <w:rsid w:val="58074251"/>
    <w:rsid w:val="582710A3"/>
    <w:rsid w:val="58471337"/>
    <w:rsid w:val="587C19A1"/>
    <w:rsid w:val="587D13BE"/>
    <w:rsid w:val="588675EE"/>
    <w:rsid w:val="589658F5"/>
    <w:rsid w:val="58B51639"/>
    <w:rsid w:val="58F93D16"/>
    <w:rsid w:val="591612EA"/>
    <w:rsid w:val="5927197F"/>
    <w:rsid w:val="594F2A8B"/>
    <w:rsid w:val="59DD2FE2"/>
    <w:rsid w:val="59F1487C"/>
    <w:rsid w:val="5A0F6842"/>
    <w:rsid w:val="5A2E54EE"/>
    <w:rsid w:val="5A714436"/>
    <w:rsid w:val="5A7660D2"/>
    <w:rsid w:val="5A7D1893"/>
    <w:rsid w:val="5AC909C4"/>
    <w:rsid w:val="5AD9194A"/>
    <w:rsid w:val="5AF65560"/>
    <w:rsid w:val="5B09650C"/>
    <w:rsid w:val="5B3074D3"/>
    <w:rsid w:val="5B4E5095"/>
    <w:rsid w:val="5BAE468B"/>
    <w:rsid w:val="5BBB7978"/>
    <w:rsid w:val="5BC273C6"/>
    <w:rsid w:val="5C140F59"/>
    <w:rsid w:val="5C641C23"/>
    <w:rsid w:val="5CD478FD"/>
    <w:rsid w:val="5D431218"/>
    <w:rsid w:val="5D4361AE"/>
    <w:rsid w:val="5DB8520C"/>
    <w:rsid w:val="5E1D0CD6"/>
    <w:rsid w:val="5E520791"/>
    <w:rsid w:val="5E535EE5"/>
    <w:rsid w:val="5EC6593C"/>
    <w:rsid w:val="5F1763B0"/>
    <w:rsid w:val="5F6829C1"/>
    <w:rsid w:val="5FAA1071"/>
    <w:rsid w:val="5FE923FD"/>
    <w:rsid w:val="5FF655F4"/>
    <w:rsid w:val="603551EA"/>
    <w:rsid w:val="60626EEF"/>
    <w:rsid w:val="609C299B"/>
    <w:rsid w:val="6105188D"/>
    <w:rsid w:val="610653BA"/>
    <w:rsid w:val="61065B97"/>
    <w:rsid w:val="614744E1"/>
    <w:rsid w:val="61533A4A"/>
    <w:rsid w:val="619E4E56"/>
    <w:rsid w:val="61BC2E88"/>
    <w:rsid w:val="61DF2C4E"/>
    <w:rsid w:val="621F4EBE"/>
    <w:rsid w:val="62251304"/>
    <w:rsid w:val="626E7AAB"/>
    <w:rsid w:val="62F51576"/>
    <w:rsid w:val="63200B9E"/>
    <w:rsid w:val="63767625"/>
    <w:rsid w:val="63A422BC"/>
    <w:rsid w:val="63D50725"/>
    <w:rsid w:val="63EB2CF8"/>
    <w:rsid w:val="64135595"/>
    <w:rsid w:val="643733C0"/>
    <w:rsid w:val="648963B9"/>
    <w:rsid w:val="648B35C3"/>
    <w:rsid w:val="64A311BD"/>
    <w:rsid w:val="64AA535B"/>
    <w:rsid w:val="652E734E"/>
    <w:rsid w:val="654939E3"/>
    <w:rsid w:val="65632BDF"/>
    <w:rsid w:val="6572002E"/>
    <w:rsid w:val="65A82464"/>
    <w:rsid w:val="65B51249"/>
    <w:rsid w:val="65CC201A"/>
    <w:rsid w:val="65D01B96"/>
    <w:rsid w:val="66B31BB5"/>
    <w:rsid w:val="66EF02BB"/>
    <w:rsid w:val="670648FC"/>
    <w:rsid w:val="67262DA6"/>
    <w:rsid w:val="673962AB"/>
    <w:rsid w:val="67736D86"/>
    <w:rsid w:val="679D19E3"/>
    <w:rsid w:val="67EB6046"/>
    <w:rsid w:val="681917F7"/>
    <w:rsid w:val="68666313"/>
    <w:rsid w:val="68724A0A"/>
    <w:rsid w:val="68814B19"/>
    <w:rsid w:val="68A77392"/>
    <w:rsid w:val="68BB19BD"/>
    <w:rsid w:val="68BF374C"/>
    <w:rsid w:val="69490586"/>
    <w:rsid w:val="694C465C"/>
    <w:rsid w:val="699802BD"/>
    <w:rsid w:val="699E2DBA"/>
    <w:rsid w:val="6A6A6FEF"/>
    <w:rsid w:val="6AAD2347"/>
    <w:rsid w:val="6AC00620"/>
    <w:rsid w:val="6B5F47B0"/>
    <w:rsid w:val="6B8511B7"/>
    <w:rsid w:val="6BD97D9E"/>
    <w:rsid w:val="6BDE5FC7"/>
    <w:rsid w:val="6C402A90"/>
    <w:rsid w:val="6CF50CA9"/>
    <w:rsid w:val="6D2E0B33"/>
    <w:rsid w:val="6D3214C6"/>
    <w:rsid w:val="6D532409"/>
    <w:rsid w:val="6DA06F00"/>
    <w:rsid w:val="6DEF41C7"/>
    <w:rsid w:val="6DFC00C1"/>
    <w:rsid w:val="6E171F06"/>
    <w:rsid w:val="6E2E04FD"/>
    <w:rsid w:val="6EA02F2B"/>
    <w:rsid w:val="6EB428FB"/>
    <w:rsid w:val="6EDC373D"/>
    <w:rsid w:val="6EFC09F4"/>
    <w:rsid w:val="6F074403"/>
    <w:rsid w:val="6F7D64EC"/>
    <w:rsid w:val="6F8517A5"/>
    <w:rsid w:val="6F9521B7"/>
    <w:rsid w:val="6FA678F9"/>
    <w:rsid w:val="6FB4571F"/>
    <w:rsid w:val="6FF10E0F"/>
    <w:rsid w:val="6FF758AD"/>
    <w:rsid w:val="7033365E"/>
    <w:rsid w:val="703762E9"/>
    <w:rsid w:val="70481FA4"/>
    <w:rsid w:val="715F4A78"/>
    <w:rsid w:val="722E6303"/>
    <w:rsid w:val="724043FA"/>
    <w:rsid w:val="72950CCE"/>
    <w:rsid w:val="72DB02EA"/>
    <w:rsid w:val="72DE705B"/>
    <w:rsid w:val="72DF0017"/>
    <w:rsid w:val="72F33FD8"/>
    <w:rsid w:val="73234DCF"/>
    <w:rsid w:val="735E2495"/>
    <w:rsid w:val="73BD5F0A"/>
    <w:rsid w:val="73CB516F"/>
    <w:rsid w:val="73E2490F"/>
    <w:rsid w:val="74FE30DA"/>
    <w:rsid w:val="757035C8"/>
    <w:rsid w:val="759620BF"/>
    <w:rsid w:val="759D68D9"/>
    <w:rsid w:val="75A90EF9"/>
    <w:rsid w:val="75CB444F"/>
    <w:rsid w:val="75DA131B"/>
    <w:rsid w:val="75FC49DD"/>
    <w:rsid w:val="77863BCF"/>
    <w:rsid w:val="77A071CF"/>
    <w:rsid w:val="77F02BC5"/>
    <w:rsid w:val="782177E9"/>
    <w:rsid w:val="78666DC2"/>
    <w:rsid w:val="789B22AE"/>
    <w:rsid w:val="78EB6503"/>
    <w:rsid w:val="79072C58"/>
    <w:rsid w:val="799F67F8"/>
    <w:rsid w:val="7A1F3964"/>
    <w:rsid w:val="7A4B10DA"/>
    <w:rsid w:val="7A9D0F2F"/>
    <w:rsid w:val="7AB46E49"/>
    <w:rsid w:val="7AB74D78"/>
    <w:rsid w:val="7AC96DE0"/>
    <w:rsid w:val="7B097656"/>
    <w:rsid w:val="7B1C773C"/>
    <w:rsid w:val="7B3F716E"/>
    <w:rsid w:val="7B4B3DB1"/>
    <w:rsid w:val="7B750978"/>
    <w:rsid w:val="7BEB5610"/>
    <w:rsid w:val="7C7B5D10"/>
    <w:rsid w:val="7C9B39A9"/>
    <w:rsid w:val="7CDF0653"/>
    <w:rsid w:val="7D2C717C"/>
    <w:rsid w:val="7D351A13"/>
    <w:rsid w:val="7D3B43B3"/>
    <w:rsid w:val="7DED533C"/>
    <w:rsid w:val="7DF17829"/>
    <w:rsid w:val="7E116F41"/>
    <w:rsid w:val="7E1751D9"/>
    <w:rsid w:val="7EDB3D59"/>
    <w:rsid w:val="7EDD0CC2"/>
    <w:rsid w:val="7F8C4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90"/>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link w:val="299"/>
    <w:qFormat/>
    <w:uiPriority w:val="0"/>
    <w:pPr>
      <w:keepNext/>
      <w:keepLines/>
      <w:spacing w:before="260" w:after="260" w:line="416" w:lineRule="auto"/>
      <w:outlineLvl w:val="2"/>
    </w:pPr>
    <w:rPr>
      <w:b/>
      <w:bCs/>
      <w:sz w:val="32"/>
      <w:szCs w:val="32"/>
    </w:rPr>
  </w:style>
  <w:style w:type="paragraph" w:styleId="6">
    <w:name w:val="heading 4"/>
    <w:basedOn w:val="1"/>
    <w:next w:val="1"/>
    <w:link w:val="158"/>
    <w:qFormat/>
    <w:uiPriority w:val="0"/>
    <w:pPr>
      <w:widowControl/>
      <w:spacing w:before="100" w:beforeAutospacing="1" w:after="100" w:afterAutospacing="1"/>
      <w:jc w:val="left"/>
      <w:outlineLvl w:val="3"/>
    </w:pPr>
    <w:rPr>
      <w:rFonts w:ascii="宋体" w:hAnsi="宋体" w:cs="宋体"/>
      <w:b/>
      <w:bCs/>
      <w:kern w:val="0"/>
      <w:sz w:val="24"/>
    </w:rPr>
  </w:style>
  <w:style w:type="paragraph" w:styleId="7">
    <w:name w:val="heading 5"/>
    <w:basedOn w:val="1"/>
    <w:next w:val="1"/>
    <w:link w:val="272"/>
    <w:qFormat/>
    <w:uiPriority w:val="0"/>
    <w:pPr>
      <w:widowControl/>
      <w:spacing w:before="100" w:beforeAutospacing="1" w:after="100" w:afterAutospacing="1"/>
      <w:jc w:val="left"/>
      <w:outlineLvl w:val="4"/>
    </w:pPr>
    <w:rPr>
      <w:rFonts w:ascii="宋体" w:hAnsi="宋体" w:cs="宋体"/>
      <w:b/>
      <w:bCs/>
      <w:kern w:val="0"/>
      <w:sz w:val="20"/>
      <w:szCs w:val="20"/>
    </w:rPr>
  </w:style>
  <w:style w:type="paragraph" w:styleId="8">
    <w:name w:val="heading 6"/>
    <w:basedOn w:val="9"/>
    <w:next w:val="1"/>
    <w:link w:val="228"/>
    <w:qFormat/>
    <w:uiPriority w:val="0"/>
    <w:pPr>
      <w:keepNext/>
      <w:keepLines/>
      <w:ind w:firstLine="200" w:firstLineChars="200"/>
      <w:outlineLvl w:val="5"/>
    </w:pPr>
    <w:rPr>
      <w:rFonts w:hAnsi="Arial"/>
    </w:rPr>
  </w:style>
  <w:style w:type="paragraph" w:styleId="10">
    <w:name w:val="heading 7"/>
    <w:basedOn w:val="1"/>
    <w:next w:val="1"/>
    <w:link w:val="283"/>
    <w:qFormat/>
    <w:uiPriority w:val="0"/>
    <w:pPr>
      <w:keepNext/>
      <w:keepLines/>
      <w:adjustRightInd w:val="0"/>
      <w:spacing w:line="480" w:lineRule="atLeast"/>
      <w:ind w:left="1425" w:leftChars="175" w:hanging="900" w:hangingChars="300"/>
      <w:textAlignment w:val="baseline"/>
      <w:outlineLvl w:val="6"/>
    </w:pPr>
    <w:rPr>
      <w:rFonts w:eastAsia="仿宋_GB2312"/>
      <w:kern w:val="0"/>
      <w:sz w:val="30"/>
      <w:szCs w:val="20"/>
    </w:rPr>
  </w:style>
  <w:style w:type="paragraph" w:styleId="11">
    <w:name w:val="heading 8"/>
    <w:basedOn w:val="1"/>
    <w:next w:val="1"/>
    <w:link w:val="242"/>
    <w:qFormat/>
    <w:uiPriority w:val="0"/>
    <w:pPr>
      <w:adjustRightInd w:val="0"/>
      <w:spacing w:line="480" w:lineRule="atLeast"/>
      <w:ind w:left="2232" w:leftChars="450" w:hanging="882" w:hangingChars="294"/>
      <w:textAlignment w:val="baseline"/>
      <w:outlineLvl w:val="7"/>
    </w:pPr>
    <w:rPr>
      <w:rFonts w:hAnsi="Arial" w:eastAsia="仿宋_GB2312"/>
      <w:kern w:val="0"/>
      <w:sz w:val="30"/>
      <w:szCs w:val="20"/>
    </w:rPr>
  </w:style>
  <w:style w:type="paragraph" w:styleId="12">
    <w:name w:val="heading 9"/>
    <w:basedOn w:val="1"/>
    <w:next w:val="1"/>
    <w:link w:val="241"/>
    <w:qFormat/>
    <w:uiPriority w:val="0"/>
    <w:pPr>
      <w:keepNext/>
      <w:keepLines/>
      <w:adjustRightInd w:val="0"/>
      <w:spacing w:line="480" w:lineRule="atLeast"/>
      <w:ind w:left="2979" w:leftChars="715" w:hanging="834" w:hangingChars="278"/>
      <w:textAlignment w:val="baseline"/>
      <w:outlineLvl w:val="8"/>
    </w:pPr>
    <w:rPr>
      <w:rFonts w:eastAsia="仿宋_GB2312"/>
      <w:kern w:val="0"/>
      <w:sz w:val="30"/>
      <w:szCs w:val="20"/>
    </w:rPr>
  </w:style>
  <w:style w:type="character" w:default="1" w:styleId="45">
    <w:name w:val="Default Paragraph Font"/>
    <w:unhideWhenUsed/>
    <w:qFormat/>
    <w:uiPriority w:val="1"/>
  </w:style>
  <w:style w:type="table" w:default="1" w:styleId="54">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225"/>
    <w:qFormat/>
    <w:uiPriority w:val="0"/>
    <w:pPr>
      <w:spacing w:after="120"/>
    </w:pPr>
  </w:style>
  <w:style w:type="paragraph" w:styleId="9">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13">
    <w:name w:val="annotation subject"/>
    <w:basedOn w:val="14"/>
    <w:next w:val="14"/>
    <w:link w:val="280"/>
    <w:qFormat/>
    <w:uiPriority w:val="0"/>
    <w:rPr>
      <w:b/>
      <w:bCs/>
    </w:rPr>
  </w:style>
  <w:style w:type="paragraph" w:styleId="14">
    <w:name w:val="annotation text"/>
    <w:basedOn w:val="1"/>
    <w:link w:val="305"/>
    <w:qFormat/>
    <w:uiPriority w:val="99"/>
    <w:pPr>
      <w:jc w:val="left"/>
    </w:pPr>
  </w:style>
  <w:style w:type="paragraph" w:styleId="15">
    <w:name w:val="toc 7"/>
    <w:basedOn w:val="1"/>
    <w:next w:val="1"/>
    <w:qFormat/>
    <w:uiPriority w:val="39"/>
    <w:pPr>
      <w:ind w:left="1260"/>
      <w:jc w:val="left"/>
    </w:pPr>
    <w:rPr>
      <w:sz w:val="18"/>
      <w:szCs w:val="18"/>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162"/>
    <w:qFormat/>
    <w:uiPriority w:val="0"/>
    <w:pPr>
      <w:shd w:val="clear" w:color="auto" w:fill="000080"/>
    </w:pPr>
  </w:style>
  <w:style w:type="paragraph" w:styleId="18">
    <w:name w:val="Body Text 3"/>
    <w:basedOn w:val="1"/>
    <w:link w:val="257"/>
    <w:qFormat/>
    <w:uiPriority w:val="0"/>
    <w:pPr>
      <w:spacing w:after="120"/>
    </w:pPr>
    <w:rPr>
      <w:sz w:val="16"/>
      <w:szCs w:val="16"/>
    </w:rPr>
  </w:style>
  <w:style w:type="paragraph" w:styleId="19">
    <w:name w:val="Body Text Indent"/>
    <w:basedOn w:val="1"/>
    <w:link w:val="240"/>
    <w:qFormat/>
    <w:uiPriority w:val="0"/>
    <w:pPr>
      <w:ind w:firstLine="407" w:firstLineChars="200"/>
    </w:pPr>
  </w:style>
  <w:style w:type="paragraph" w:styleId="20">
    <w:name w:val="Block Text"/>
    <w:basedOn w:val="1"/>
    <w:qFormat/>
    <w:uiPriority w:val="0"/>
    <w:pPr>
      <w:autoSpaceDE w:val="0"/>
      <w:autoSpaceDN w:val="0"/>
      <w:adjustRightInd w:val="0"/>
      <w:spacing w:line="1270" w:lineRule="exact"/>
      <w:ind w:left="2160" w:right="-20" w:hanging="2160" w:hangingChars="300"/>
      <w:jc w:val="left"/>
    </w:pPr>
    <w:rPr>
      <w:rFonts w:eastAsia="仿宋_GB2312"/>
      <w:sz w:val="72"/>
    </w:rPr>
  </w:style>
  <w:style w:type="paragraph" w:styleId="21">
    <w:name w:val="index 4"/>
    <w:basedOn w:val="1"/>
    <w:next w:val="1"/>
    <w:qFormat/>
    <w:uiPriority w:val="0"/>
    <w:pPr>
      <w:ind w:left="600" w:leftChars="600"/>
    </w:pPr>
  </w:style>
  <w:style w:type="paragraph" w:styleId="22">
    <w:name w:val="toc 5"/>
    <w:basedOn w:val="1"/>
    <w:next w:val="1"/>
    <w:qFormat/>
    <w:uiPriority w:val="39"/>
    <w:pPr>
      <w:ind w:left="840"/>
      <w:jc w:val="left"/>
    </w:pPr>
    <w:rPr>
      <w:sz w:val="18"/>
      <w:szCs w:val="18"/>
    </w:rPr>
  </w:style>
  <w:style w:type="paragraph" w:styleId="23">
    <w:name w:val="toc 3"/>
    <w:basedOn w:val="5"/>
    <w:next w:val="1"/>
    <w:qFormat/>
    <w:uiPriority w:val="39"/>
    <w:pPr>
      <w:keepNext w:val="0"/>
      <w:keepLines w:val="0"/>
      <w:spacing w:before="0" w:after="0" w:line="240" w:lineRule="auto"/>
      <w:ind w:left="420"/>
      <w:jc w:val="left"/>
      <w:outlineLvl w:val="9"/>
    </w:pPr>
    <w:rPr>
      <w:b w:val="0"/>
      <w:bCs w:val="0"/>
      <w:i/>
      <w:iCs/>
      <w:sz w:val="20"/>
      <w:szCs w:val="20"/>
    </w:rPr>
  </w:style>
  <w:style w:type="paragraph" w:styleId="24">
    <w:name w:val="Plain Text"/>
    <w:basedOn w:val="1"/>
    <w:link w:val="202"/>
    <w:qFormat/>
    <w:uiPriority w:val="0"/>
    <w:rPr>
      <w:rFonts w:ascii="宋体" w:hAnsi="Courier New" w:cs="Courier New"/>
      <w:szCs w:val="21"/>
    </w:rPr>
  </w:style>
  <w:style w:type="paragraph" w:styleId="25">
    <w:name w:val="toc 8"/>
    <w:basedOn w:val="1"/>
    <w:next w:val="1"/>
    <w:qFormat/>
    <w:uiPriority w:val="39"/>
    <w:pPr>
      <w:ind w:left="1470"/>
      <w:jc w:val="left"/>
    </w:pPr>
    <w:rPr>
      <w:sz w:val="18"/>
      <w:szCs w:val="18"/>
    </w:rPr>
  </w:style>
  <w:style w:type="paragraph" w:styleId="26">
    <w:name w:val="Date"/>
    <w:basedOn w:val="1"/>
    <w:next w:val="1"/>
    <w:link w:val="166"/>
    <w:qFormat/>
    <w:uiPriority w:val="0"/>
    <w:pPr>
      <w:ind w:left="100" w:leftChars="2500"/>
    </w:pPr>
  </w:style>
  <w:style w:type="paragraph" w:styleId="27">
    <w:name w:val="Body Text Indent 2"/>
    <w:basedOn w:val="1"/>
    <w:link w:val="237"/>
    <w:qFormat/>
    <w:uiPriority w:val="0"/>
    <w:pPr>
      <w:widowControl/>
      <w:spacing w:line="480" w:lineRule="auto"/>
      <w:ind w:firstLine="560"/>
      <w:jc w:val="left"/>
    </w:pPr>
    <w:rPr>
      <w:kern w:val="0"/>
      <w:sz w:val="28"/>
    </w:rPr>
  </w:style>
  <w:style w:type="paragraph" w:styleId="28">
    <w:name w:val="endnote text"/>
    <w:basedOn w:val="1"/>
    <w:link w:val="210"/>
    <w:qFormat/>
    <w:uiPriority w:val="0"/>
    <w:pPr>
      <w:widowControl/>
      <w:snapToGrid w:val="0"/>
      <w:jc w:val="left"/>
    </w:pPr>
    <w:rPr>
      <w:rFonts w:ascii="Arial" w:hAnsi="Arial" w:cs="Arial"/>
      <w:kern w:val="0"/>
      <w:sz w:val="20"/>
      <w:lang w:eastAsia="en-US"/>
    </w:rPr>
  </w:style>
  <w:style w:type="paragraph" w:styleId="29">
    <w:name w:val="Balloon Text"/>
    <w:basedOn w:val="1"/>
    <w:link w:val="205"/>
    <w:qFormat/>
    <w:uiPriority w:val="0"/>
    <w:rPr>
      <w:sz w:val="18"/>
      <w:szCs w:val="18"/>
    </w:rPr>
  </w:style>
  <w:style w:type="paragraph" w:styleId="30">
    <w:name w:val="footer"/>
    <w:basedOn w:val="1"/>
    <w:link w:val="197"/>
    <w:qFormat/>
    <w:uiPriority w:val="0"/>
    <w:pPr>
      <w:tabs>
        <w:tab w:val="center" w:pos="4153"/>
        <w:tab w:val="right" w:pos="8306"/>
      </w:tabs>
      <w:snapToGrid w:val="0"/>
      <w:jc w:val="left"/>
    </w:pPr>
    <w:rPr>
      <w:sz w:val="18"/>
      <w:szCs w:val="18"/>
    </w:rPr>
  </w:style>
  <w:style w:type="paragraph" w:styleId="31">
    <w:name w:val="header"/>
    <w:basedOn w:val="1"/>
    <w:link w:val="29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3"/>
    <w:next w:val="1"/>
    <w:qFormat/>
    <w:uiPriority w:val="39"/>
    <w:pPr>
      <w:keepNext w:val="0"/>
      <w:keepLines w:val="0"/>
      <w:spacing w:before="120" w:after="120" w:line="240" w:lineRule="auto"/>
      <w:jc w:val="left"/>
      <w:outlineLvl w:val="9"/>
    </w:pPr>
    <w:rPr>
      <w:caps/>
      <w:kern w:val="2"/>
      <w:sz w:val="20"/>
      <w:szCs w:val="20"/>
    </w:rPr>
  </w:style>
  <w:style w:type="paragraph" w:styleId="33">
    <w:name w:val="toc 4"/>
    <w:basedOn w:val="6"/>
    <w:next w:val="1"/>
    <w:qFormat/>
    <w:uiPriority w:val="39"/>
    <w:pPr>
      <w:widowControl w:val="0"/>
      <w:spacing w:before="0" w:beforeAutospacing="0" w:after="0" w:afterAutospacing="0"/>
      <w:ind w:left="630"/>
      <w:outlineLvl w:val="9"/>
    </w:pPr>
    <w:rPr>
      <w:rFonts w:ascii="Times New Roman" w:hAnsi="Times New Roman" w:cs="Times New Roman"/>
      <w:b w:val="0"/>
      <w:bCs w:val="0"/>
      <w:kern w:val="2"/>
      <w:sz w:val="18"/>
      <w:szCs w:val="18"/>
    </w:rPr>
  </w:style>
  <w:style w:type="paragraph" w:styleId="34">
    <w:name w:val="Subtitle"/>
    <w:basedOn w:val="1"/>
    <w:link w:val="307"/>
    <w:qFormat/>
    <w:uiPriority w:val="0"/>
    <w:pPr>
      <w:widowControl/>
      <w:jc w:val="center"/>
    </w:pPr>
    <w:rPr>
      <w:kern w:val="0"/>
      <w:sz w:val="20"/>
      <w:u w:val="single"/>
      <w:lang w:eastAsia="en-US"/>
    </w:rPr>
  </w:style>
  <w:style w:type="paragraph" w:styleId="35">
    <w:name w:val="footnote text"/>
    <w:basedOn w:val="1"/>
    <w:link w:val="285"/>
    <w:qFormat/>
    <w:uiPriority w:val="0"/>
    <w:pPr>
      <w:widowControl/>
      <w:snapToGrid w:val="0"/>
      <w:jc w:val="left"/>
    </w:pPr>
    <w:rPr>
      <w:rFonts w:ascii="Arial" w:hAnsi="Arial" w:cs="Arial"/>
      <w:kern w:val="0"/>
      <w:sz w:val="18"/>
      <w:szCs w:val="18"/>
      <w:lang w:eastAsia="en-US"/>
    </w:rPr>
  </w:style>
  <w:style w:type="paragraph" w:styleId="36">
    <w:name w:val="toc 6"/>
    <w:basedOn w:val="1"/>
    <w:next w:val="1"/>
    <w:qFormat/>
    <w:uiPriority w:val="39"/>
    <w:pPr>
      <w:ind w:left="1050"/>
      <w:jc w:val="left"/>
    </w:pPr>
    <w:rPr>
      <w:sz w:val="18"/>
      <w:szCs w:val="18"/>
    </w:rPr>
  </w:style>
  <w:style w:type="paragraph" w:styleId="37">
    <w:name w:val="Body Text Indent 3"/>
    <w:basedOn w:val="1"/>
    <w:link w:val="244"/>
    <w:qFormat/>
    <w:uiPriority w:val="0"/>
    <w:pPr>
      <w:spacing w:line="360" w:lineRule="auto"/>
      <w:ind w:firstLine="280" w:firstLineChars="100"/>
    </w:pPr>
    <w:rPr>
      <w:rFonts w:ascii="宋体" w:hAnsi="宋体"/>
      <w:sz w:val="28"/>
      <w:szCs w:val="28"/>
    </w:rPr>
  </w:style>
  <w:style w:type="paragraph" w:styleId="38">
    <w:name w:val="toc 2"/>
    <w:basedOn w:val="4"/>
    <w:next w:val="1"/>
    <w:qFormat/>
    <w:uiPriority w:val="39"/>
    <w:pPr>
      <w:keepNext w:val="0"/>
      <w:keepLines w:val="0"/>
      <w:spacing w:before="0" w:after="0" w:line="240" w:lineRule="auto"/>
      <w:ind w:left="210"/>
      <w:jc w:val="left"/>
      <w:outlineLvl w:val="9"/>
    </w:pPr>
    <w:rPr>
      <w:rFonts w:ascii="Times New Roman" w:hAnsi="Times New Roman"/>
      <w:b w:val="0"/>
      <w:bCs w:val="0"/>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link w:val="231"/>
    <w:qFormat/>
    <w:uiPriority w:val="0"/>
    <w:rPr>
      <w:i/>
      <w:iCs/>
      <w:sz w:val="26"/>
    </w:rPr>
  </w:style>
  <w:style w:type="paragraph" w:styleId="41">
    <w:name w:val="HTML Preformatted"/>
    <w:basedOn w:val="1"/>
    <w:link w:val="16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1"/>
    </w:rPr>
  </w:style>
  <w:style w:type="paragraph" w:styleId="44">
    <w:name w:val="Title"/>
    <w:basedOn w:val="1"/>
    <w:link w:val="236"/>
    <w:qFormat/>
    <w:uiPriority w:val="0"/>
    <w:pPr>
      <w:widowControl/>
      <w:jc w:val="center"/>
    </w:pPr>
    <w:rPr>
      <w:kern w:val="0"/>
      <w:sz w:val="20"/>
      <w:u w:val="single"/>
      <w:lang w:eastAsia="en-US"/>
    </w:rPr>
  </w:style>
  <w:style w:type="character" w:styleId="46">
    <w:name w:val="Strong"/>
    <w:qFormat/>
    <w:uiPriority w:val="0"/>
    <w:rPr>
      <w:b/>
      <w:bCs/>
    </w:rPr>
  </w:style>
  <w:style w:type="character" w:styleId="47">
    <w:name w:val="endnote reference"/>
    <w:qFormat/>
    <w:uiPriority w:val="0"/>
    <w:rPr>
      <w:vertAlign w:val="superscript"/>
    </w:rPr>
  </w:style>
  <w:style w:type="character" w:styleId="48">
    <w:name w:val="page number"/>
    <w:basedOn w:val="45"/>
    <w:qFormat/>
    <w:uiPriority w:val="0"/>
  </w:style>
  <w:style w:type="character" w:styleId="49">
    <w:name w:val="FollowedHyperlink"/>
    <w:qFormat/>
    <w:uiPriority w:val="0"/>
    <w:rPr>
      <w:color w:val="800080"/>
      <w:u w:val="single"/>
    </w:rPr>
  </w:style>
  <w:style w:type="character" w:styleId="50">
    <w:name w:val="Emphasis"/>
    <w:qFormat/>
    <w:uiPriority w:val="0"/>
    <w:rPr>
      <w:i/>
      <w:iCs/>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styleId="53">
    <w:name w:val="footnote reference"/>
    <w:qFormat/>
    <w:uiPriority w:val="0"/>
    <w:rPr>
      <w:vertAlign w:val="superscript"/>
    </w:rPr>
  </w:style>
  <w:style w:type="table" w:styleId="55">
    <w:name w:val="Table Grid"/>
    <w:basedOn w:val="5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56">
    <w:name w:val="列出段落1"/>
    <w:basedOn w:val="1"/>
    <w:qFormat/>
    <w:uiPriority w:val="99"/>
    <w:pPr>
      <w:ind w:firstLine="420" w:firstLineChars="200"/>
    </w:pPr>
    <w:rPr>
      <w:sz w:val="28"/>
      <w:szCs w:val="28"/>
    </w:rPr>
  </w:style>
  <w:style w:type="paragraph" w:customStyle="1" w:styleId="57">
    <w:name w:val="_Style 56"/>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8">
    <w:name w:val="zz"/>
    <w:basedOn w:val="1"/>
    <w:qFormat/>
    <w:uiPriority w:val="0"/>
    <w:pPr>
      <w:widowControl/>
      <w:spacing w:before="30"/>
      <w:jc w:val="right"/>
    </w:pPr>
    <w:rPr>
      <w:rFonts w:ascii="方正书宋简体" w:hAnsi="宋体" w:eastAsia="方正书宋简体"/>
      <w:color w:val="000000"/>
      <w:kern w:val="0"/>
      <w:szCs w:val="21"/>
    </w:rPr>
  </w:style>
  <w:style w:type="paragraph" w:customStyle="1" w:styleId="59">
    <w:name w:val="Char Char Char Char Char Char Char Char Char Char Char Char Char Char Char Char"/>
    <w:basedOn w:val="17"/>
    <w:qFormat/>
    <w:uiPriority w:val="0"/>
    <w:pPr>
      <w:spacing w:line="360" w:lineRule="auto"/>
      <w:ind w:firstLine="200" w:firstLineChars="200"/>
    </w:pPr>
    <w:rPr>
      <w:rFonts w:ascii="Tahoma" w:hAnsi="Tahoma"/>
      <w:sz w:val="24"/>
    </w:rPr>
  </w:style>
  <w:style w:type="paragraph" w:customStyle="1" w:styleId="60">
    <w:name w:val="mtitle"/>
    <w:basedOn w:val="1"/>
    <w:qFormat/>
    <w:uiPriority w:val="0"/>
    <w:pPr>
      <w:widowControl/>
      <w:spacing w:before="30"/>
      <w:jc w:val="center"/>
    </w:pPr>
    <w:rPr>
      <w:rFonts w:ascii="方正小标宋简体" w:hAnsi="宋体" w:eastAsia="方正小标宋简体"/>
      <w:color w:val="000000"/>
      <w:kern w:val="0"/>
      <w:sz w:val="44"/>
      <w:szCs w:val="44"/>
    </w:rPr>
  </w:style>
  <w:style w:type="paragraph" w:customStyle="1" w:styleId="61">
    <w:name w:val="zw"/>
    <w:basedOn w:val="1"/>
    <w:qFormat/>
    <w:uiPriority w:val="0"/>
    <w:pPr>
      <w:widowControl/>
      <w:spacing w:before="30"/>
      <w:ind w:left="100" w:right="100"/>
    </w:pPr>
    <w:rPr>
      <w:rFonts w:ascii="方正书宋简体" w:hAnsi="宋体" w:eastAsia="方正书宋简体"/>
      <w:color w:val="000000"/>
      <w:kern w:val="0"/>
      <w:szCs w:val="21"/>
    </w:rPr>
  </w:style>
  <w:style w:type="paragraph" w:customStyle="1" w:styleId="62">
    <w:name w:val="1 Char"/>
    <w:basedOn w:val="1"/>
    <w:qFormat/>
    <w:uiPriority w:val="0"/>
    <w:pPr>
      <w:widowControl/>
      <w:spacing w:after="160" w:line="240" w:lineRule="exact"/>
      <w:jc w:val="left"/>
    </w:pPr>
    <w:rPr>
      <w:rFonts w:ascii="Calibri" w:hAnsi="Calibri"/>
      <w:szCs w:val="20"/>
    </w:rPr>
  </w:style>
  <w:style w:type="paragraph" w:customStyle="1" w:styleId="63">
    <w:name w:val="列表段落1"/>
    <w:basedOn w:val="1"/>
    <w:qFormat/>
    <w:uiPriority w:val="34"/>
    <w:pPr>
      <w:ind w:firstLine="420" w:firstLineChars="200"/>
    </w:pPr>
    <w:rPr>
      <w:rFonts w:ascii="Calibri" w:hAnsi="Calibri"/>
    </w:rPr>
  </w:style>
  <w:style w:type="paragraph" w:customStyle="1" w:styleId="64">
    <w:name w:val="Char Char Char Char Char Char Char Char Char Char"/>
    <w:basedOn w:val="17"/>
    <w:qFormat/>
    <w:uiPriority w:val="0"/>
    <w:pPr>
      <w:spacing w:line="360" w:lineRule="auto"/>
      <w:ind w:firstLine="200" w:firstLineChars="200"/>
    </w:pPr>
    <w:rPr>
      <w:rFonts w:ascii="Tahoma" w:hAnsi="Tahoma"/>
      <w:sz w:val="24"/>
    </w:rPr>
  </w:style>
  <w:style w:type="paragraph" w:customStyle="1" w:styleId="65">
    <w:name w:val="样式 标题 3 + (中文) 黑体 小四 非加粗 段前: 7.8 磅 段后: 0 磅 行距: 固定值 20 磅"/>
    <w:basedOn w:val="5"/>
    <w:next w:val="1"/>
    <w:qFormat/>
    <w:uiPriority w:val="0"/>
    <w:pPr>
      <w:spacing w:before="0" w:after="0" w:line="400" w:lineRule="exact"/>
    </w:pPr>
    <w:rPr>
      <w:rFonts w:eastAsia="黑体" w:cs="宋体"/>
      <w:b w:val="0"/>
      <w:bCs w:val="0"/>
      <w:sz w:val="24"/>
      <w:szCs w:val="20"/>
    </w:rPr>
  </w:style>
  <w:style w:type="paragraph" w:customStyle="1" w:styleId="66">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7">
    <w:name w:val="TOC 标题2"/>
    <w:basedOn w:val="3"/>
    <w:next w:val="1"/>
    <w:unhideWhenUsed/>
    <w:qFormat/>
    <w:uiPriority w:val="0"/>
    <w:pPr>
      <w:outlineLvl w:val="9"/>
    </w:pPr>
    <w:rPr>
      <w:rFonts w:ascii="Calibri" w:hAnsi="Calibri"/>
    </w:rPr>
  </w:style>
  <w:style w:type="paragraph" w:customStyle="1" w:styleId="68">
    <w:name w:val="样式1"/>
    <w:basedOn w:val="1"/>
    <w:next w:val="6"/>
    <w:qFormat/>
    <w:uiPriority w:val="0"/>
    <w:pPr>
      <w:spacing w:line="360" w:lineRule="auto"/>
      <w:ind w:firstLine="420" w:firstLineChars="200"/>
    </w:pPr>
    <w:rPr>
      <w:rFonts w:ascii="宋体" w:hAnsi="宋体"/>
      <w:szCs w:val="21"/>
    </w:rPr>
  </w:style>
  <w:style w:type="paragraph" w:customStyle="1" w:styleId="69">
    <w:name w:val="列出段落111"/>
    <w:basedOn w:val="1"/>
    <w:qFormat/>
    <w:uiPriority w:val="0"/>
    <w:pPr>
      <w:ind w:firstLine="420" w:firstLineChars="200"/>
    </w:pPr>
    <w:rPr>
      <w:sz w:val="28"/>
      <w:szCs w:val="28"/>
    </w:rPr>
  </w:style>
  <w:style w:type="paragraph" w:customStyle="1" w:styleId="70">
    <w:name w:val="g2"/>
    <w:basedOn w:val="1"/>
    <w:qFormat/>
    <w:uiPriority w:val="0"/>
    <w:pPr>
      <w:widowControl/>
      <w:spacing w:before="100" w:beforeAutospacing="1" w:after="100" w:afterAutospacing="1"/>
      <w:jc w:val="left"/>
    </w:pPr>
    <w:rPr>
      <w:rFonts w:ascii="仿宋_GB2312" w:hAnsi="宋体" w:eastAsia="仿宋_GB2312" w:cs="宋体"/>
      <w:kern w:val="0"/>
      <w:sz w:val="17"/>
      <w:szCs w:val="17"/>
    </w:rPr>
  </w:style>
  <w:style w:type="paragraph" w:customStyle="1" w:styleId="71">
    <w:name w:val="pa-27"/>
    <w:basedOn w:val="1"/>
    <w:qFormat/>
    <w:uiPriority w:val="0"/>
    <w:pPr>
      <w:widowControl/>
      <w:spacing w:line="360" w:lineRule="atLeast"/>
      <w:ind w:firstLine="420"/>
    </w:pPr>
    <w:rPr>
      <w:rFonts w:ascii="宋体" w:hAnsi="宋体" w:cs="宋体"/>
      <w:kern w:val="0"/>
      <w:sz w:val="24"/>
    </w:rPr>
  </w:style>
  <w:style w:type="paragraph" w:customStyle="1" w:styleId="72">
    <w:name w:val="标题1"/>
    <w:basedOn w:val="1"/>
    <w:qFormat/>
    <w:uiPriority w:val="0"/>
    <w:pPr>
      <w:widowControl/>
      <w:spacing w:before="100" w:beforeAutospacing="1" w:after="100" w:afterAutospacing="1"/>
      <w:jc w:val="left"/>
    </w:pPr>
    <w:rPr>
      <w:rFonts w:ascii="宋体" w:hAnsi="宋体" w:cs="宋体"/>
      <w:kern w:val="0"/>
      <w:sz w:val="24"/>
    </w:rPr>
  </w:style>
  <w:style w:type="paragraph" w:customStyle="1" w:styleId="73">
    <w:name w:val="_Style 72"/>
    <w:qFormat/>
    <w:uiPriority w:val="0"/>
    <w:rPr>
      <w:rFonts w:ascii="Times New Roman" w:hAnsi="Times New Roman" w:eastAsia="宋体" w:cs="Times New Roman"/>
      <w:kern w:val="2"/>
      <w:sz w:val="21"/>
      <w:szCs w:val="24"/>
      <w:lang w:val="en-US" w:eastAsia="zh-CN" w:bidi="ar-SA"/>
    </w:rPr>
  </w:style>
  <w:style w:type="paragraph" w:customStyle="1" w:styleId="74">
    <w:name w:val="Char Char1 Char Char Char Char Char Char Char Char Char Char"/>
    <w:basedOn w:val="1"/>
    <w:qFormat/>
    <w:uiPriority w:val="0"/>
    <w:pPr>
      <w:autoSpaceDE w:val="0"/>
      <w:autoSpaceDN w:val="0"/>
      <w:adjustRightInd w:val="0"/>
      <w:ind w:firstLine="482"/>
    </w:pPr>
    <w:rPr>
      <w:rFonts w:ascii="Calibri" w:hAnsi="Calibri"/>
      <w:szCs w:val="20"/>
    </w:rPr>
  </w:style>
  <w:style w:type="paragraph" w:customStyle="1" w:styleId="75">
    <w:name w:val="_Style 3"/>
    <w:qFormat/>
    <w:uiPriority w:val="0"/>
    <w:pPr>
      <w:widowControl w:val="0"/>
      <w:snapToGrid w:val="0"/>
      <w:spacing w:line="360" w:lineRule="auto"/>
    </w:pPr>
    <w:rPr>
      <w:rFonts w:ascii="Calibri" w:hAnsi="Calibri" w:eastAsia="宋体" w:cs="Times New Roman"/>
      <w:snapToGrid w:val="0"/>
      <w:sz w:val="21"/>
      <w:szCs w:val="24"/>
      <w:lang w:val="en-US" w:eastAsia="zh-CN" w:bidi="ar-SA"/>
    </w:rPr>
  </w:style>
  <w:style w:type="paragraph" w:customStyle="1" w:styleId="76">
    <w:name w:val="Char Char Char Char"/>
    <w:basedOn w:val="17"/>
    <w:qFormat/>
    <w:uiPriority w:val="0"/>
    <w:pPr>
      <w:spacing w:line="360" w:lineRule="auto"/>
      <w:ind w:firstLine="200" w:firstLineChars="200"/>
    </w:pPr>
    <w:rPr>
      <w:rFonts w:ascii="Tahoma" w:hAnsi="Tahoma"/>
      <w:sz w:val="24"/>
    </w:rPr>
  </w:style>
  <w:style w:type="paragraph" w:customStyle="1" w:styleId="77">
    <w:name w:val="表格内容"/>
    <w:basedOn w:val="1"/>
    <w:qFormat/>
    <w:uiPriority w:val="0"/>
    <w:pPr>
      <w:suppressLineNumbers/>
      <w:suppressAutoHyphens/>
    </w:pPr>
  </w:style>
  <w:style w:type="paragraph" w:customStyle="1" w:styleId="78">
    <w:name w:val="_Style 90"/>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79">
    <w:name w:val="标准样式（文件）"/>
    <w:qFormat/>
    <w:uiPriority w:val="0"/>
    <w:pPr>
      <w:widowControl w:val="0"/>
      <w:spacing w:line="600" w:lineRule="exact"/>
      <w:ind w:firstLine="567"/>
    </w:pPr>
    <w:rPr>
      <w:rFonts w:ascii="Calibri" w:hAnsi="Calibri" w:eastAsia="宋体" w:cs="Times New Roman"/>
      <w:sz w:val="28"/>
      <w:lang w:val="en-US" w:eastAsia="zh-CN" w:bidi="ar-SA"/>
    </w:rPr>
  </w:style>
  <w:style w:type="paragraph" w:customStyle="1" w:styleId="80">
    <w:name w:val="_Style 105"/>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1">
    <w:name w:val="明显引用1"/>
    <w:basedOn w:val="1"/>
    <w:next w:val="1"/>
    <w:link w:val="275"/>
    <w:qFormat/>
    <w:uiPriority w:val="0"/>
    <w:pPr>
      <w:pBdr>
        <w:bottom w:val="single" w:color="4F81BD" w:sz="4" w:space="4"/>
      </w:pBdr>
      <w:spacing w:before="200" w:after="280"/>
      <w:ind w:left="936" w:right="936"/>
    </w:pPr>
    <w:rPr>
      <w:b/>
      <w:bCs/>
      <w:i/>
      <w:iCs/>
      <w:color w:val="4F81BD"/>
      <w:szCs w:val="22"/>
    </w:rPr>
  </w:style>
  <w:style w:type="paragraph" w:customStyle="1" w:styleId="82">
    <w:name w:val="表体"/>
    <w:basedOn w:val="1"/>
    <w:next w:val="1"/>
    <w:qFormat/>
    <w:uiPriority w:val="0"/>
    <w:pPr>
      <w:spacing w:line="0" w:lineRule="atLeast"/>
    </w:pPr>
    <w:rPr>
      <w:rFonts w:ascii="Calibri" w:hAnsi="Calibri"/>
      <w:b/>
      <w:snapToGrid w:val="0"/>
      <w:szCs w:val="20"/>
    </w:rPr>
  </w:style>
  <w:style w:type="paragraph" w:customStyle="1" w:styleId="83">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84">
    <w:name w:val="pa-34"/>
    <w:basedOn w:val="1"/>
    <w:qFormat/>
    <w:uiPriority w:val="0"/>
    <w:pPr>
      <w:widowControl/>
      <w:spacing w:line="360" w:lineRule="atLeast"/>
      <w:ind w:firstLine="420"/>
      <w:jc w:val="left"/>
    </w:pPr>
    <w:rPr>
      <w:rFonts w:ascii="宋体" w:hAnsi="宋体" w:cs="宋体"/>
      <w:kern w:val="0"/>
      <w:sz w:val="24"/>
    </w:rPr>
  </w:style>
  <w:style w:type="paragraph" w:customStyle="1" w:styleId="85">
    <w:name w:val="g3"/>
    <w:basedOn w:val="1"/>
    <w:qFormat/>
    <w:uiPriority w:val="0"/>
    <w:pPr>
      <w:widowControl/>
      <w:spacing w:before="100" w:beforeAutospacing="1" w:after="100" w:afterAutospacing="1"/>
      <w:jc w:val="left"/>
    </w:pPr>
    <w:rPr>
      <w:rFonts w:ascii="宋体" w:hAnsi="宋体" w:cs="宋体"/>
      <w:kern w:val="0"/>
      <w:sz w:val="24"/>
    </w:rPr>
  </w:style>
  <w:style w:type="paragraph" w:customStyle="1" w:styleId="86">
    <w:name w:val="1"/>
    <w:basedOn w:val="1"/>
    <w:qFormat/>
    <w:uiPriority w:val="0"/>
    <w:pPr>
      <w:widowControl/>
      <w:spacing w:before="100" w:beforeAutospacing="1" w:after="100" w:afterAutospacing="1"/>
      <w:jc w:val="left"/>
    </w:pPr>
    <w:rPr>
      <w:rFonts w:ascii="ˎ̥" w:hAnsi="ˎ̥" w:cs="宋体"/>
      <w:kern w:val="0"/>
      <w:sz w:val="24"/>
    </w:rPr>
  </w:style>
  <w:style w:type="paragraph" w:customStyle="1" w:styleId="87">
    <w:name w:val="p16"/>
    <w:basedOn w:val="1"/>
    <w:qFormat/>
    <w:uiPriority w:val="0"/>
    <w:pPr>
      <w:widowControl/>
    </w:pPr>
    <w:rPr>
      <w:rFonts w:ascii="Calibri" w:hAnsi="Calibri" w:cs="宋体"/>
      <w:kern w:val="0"/>
      <w:szCs w:val="21"/>
    </w:rPr>
  </w:style>
  <w:style w:type="paragraph" w:customStyle="1" w:styleId="8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9">
    <w:name w:val="l-2"/>
    <w:basedOn w:val="1"/>
    <w:qFormat/>
    <w:uiPriority w:val="0"/>
    <w:pPr>
      <w:widowControl/>
      <w:spacing w:before="100" w:beforeAutospacing="1" w:after="100" w:afterAutospacing="1"/>
      <w:jc w:val="left"/>
    </w:pPr>
    <w:rPr>
      <w:rFonts w:ascii="宋体" w:hAnsi="宋体" w:cs="宋体"/>
      <w:b/>
      <w:bCs/>
      <w:color w:val="000000"/>
      <w:kern w:val="0"/>
      <w:sz w:val="13"/>
      <w:szCs w:val="13"/>
    </w:rPr>
  </w:style>
  <w:style w:type="paragraph" w:customStyle="1" w:styleId="9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91">
    <w:name w:val="标题4"/>
    <w:basedOn w:val="4"/>
    <w:next w:val="21"/>
    <w:link w:val="286"/>
    <w:qFormat/>
    <w:uiPriority w:val="0"/>
    <w:pPr>
      <w:spacing w:line="413" w:lineRule="auto"/>
    </w:pPr>
    <w:rPr>
      <w:rFonts w:ascii="Arial" w:hAnsi="Arial"/>
      <w:kern w:val="0"/>
      <w:sz w:val="24"/>
    </w:rPr>
  </w:style>
  <w:style w:type="paragraph" w:customStyle="1" w:styleId="92">
    <w:name w:val="Char Char"/>
    <w:basedOn w:val="1"/>
    <w:qFormat/>
    <w:uiPriority w:val="0"/>
    <w:pPr>
      <w:widowControl/>
      <w:jc w:val="left"/>
    </w:pPr>
    <w:rPr>
      <w:rFonts w:ascii="Verdana" w:hAnsi="Verdana" w:eastAsia="Times New Roman"/>
      <w:kern w:val="0"/>
      <w:sz w:val="16"/>
      <w:szCs w:val="20"/>
      <w:lang w:eastAsia="en-US"/>
    </w:rPr>
  </w:style>
  <w:style w:type="paragraph" w:customStyle="1" w:styleId="9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95">
    <w:name w:val="WW-表格内容"/>
    <w:basedOn w:val="1"/>
    <w:qFormat/>
    <w:uiPriority w:val="0"/>
    <w:pPr>
      <w:suppressLineNumbers/>
      <w:suppressAutoHyphens/>
    </w:pPr>
  </w:style>
  <w:style w:type="paragraph" w:customStyle="1" w:styleId="96">
    <w:name w:val="Char"/>
    <w:basedOn w:val="1"/>
    <w:qFormat/>
    <w:uiPriority w:val="0"/>
  </w:style>
  <w:style w:type="paragraph" w:customStyle="1" w:styleId="97">
    <w:name w:val="明显引用11"/>
    <w:basedOn w:val="1"/>
    <w:next w:val="1"/>
    <w:qFormat/>
    <w:uiPriority w:val="30"/>
    <w:pPr>
      <w:pBdr>
        <w:bottom w:val="single" w:color="4F81BD" w:sz="4" w:space="4"/>
      </w:pBdr>
      <w:spacing w:before="200" w:after="280"/>
      <w:ind w:left="936" w:right="936"/>
    </w:pPr>
    <w:rPr>
      <w:rFonts w:ascii="Calibri" w:hAnsi="Calibri"/>
      <w:b/>
      <w:bCs/>
      <w:i/>
      <w:iCs/>
      <w:color w:val="4F81BD"/>
      <w:szCs w:val="22"/>
    </w:rPr>
  </w:style>
  <w:style w:type="paragraph" w:customStyle="1" w:styleId="98">
    <w:name w:val="Normal_47"/>
    <w:qFormat/>
    <w:uiPriority w:val="0"/>
    <w:pPr>
      <w:spacing w:before="120" w:after="240"/>
      <w:jc w:val="both"/>
    </w:pPr>
    <w:rPr>
      <w:rFonts w:ascii="Calibri" w:hAnsi="Calibri" w:eastAsia="Calibri" w:cs="Times New Roman"/>
      <w:sz w:val="22"/>
      <w:szCs w:val="22"/>
      <w:lang w:val="ru-RU" w:eastAsia="en-US" w:bidi="ar-SA"/>
    </w:rPr>
  </w:style>
  <w:style w:type="paragraph" w:customStyle="1" w:styleId="99">
    <w:name w:val="样式15"/>
    <w:basedOn w:val="5"/>
    <w:qFormat/>
    <w:uiPriority w:val="0"/>
    <w:pPr>
      <w:keepNext w:val="0"/>
      <w:keepLines w:val="0"/>
      <w:tabs>
        <w:tab w:val="left" w:pos="0"/>
        <w:tab w:val="left" w:pos="210"/>
        <w:tab w:val="left" w:pos="420"/>
        <w:tab w:val="left" w:pos="1260"/>
      </w:tabs>
      <w:adjustRightInd w:val="0"/>
      <w:spacing w:before="0" w:after="0" w:line="240" w:lineRule="auto"/>
      <w:jc w:val="left"/>
    </w:pPr>
    <w:rPr>
      <w:rFonts w:ascii="仿宋_GB2312" w:hAnsi="Calibri" w:eastAsia="仿宋_GB2312"/>
      <w:bCs w:val="0"/>
      <w:szCs w:val="24"/>
    </w:rPr>
  </w:style>
  <w:style w:type="paragraph" w:customStyle="1" w:styleId="100">
    <w:name w:val="rr"/>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01">
    <w:name w:val="Char9 Char Char Char Char Char Char"/>
    <w:basedOn w:val="17"/>
    <w:qFormat/>
    <w:uiPriority w:val="0"/>
    <w:pPr>
      <w:spacing w:line="360" w:lineRule="auto"/>
      <w:ind w:firstLine="200" w:firstLineChars="200"/>
    </w:pPr>
    <w:rPr>
      <w:rFonts w:ascii="Tahoma" w:hAnsi="Tahoma"/>
      <w:sz w:val="24"/>
    </w:rPr>
  </w:style>
  <w:style w:type="paragraph" w:customStyle="1" w:styleId="102">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03">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04">
    <w:name w:val="p15"/>
    <w:basedOn w:val="1"/>
    <w:qFormat/>
    <w:uiPriority w:val="0"/>
    <w:pPr>
      <w:widowControl/>
      <w:spacing w:after="120"/>
    </w:pPr>
    <w:rPr>
      <w:kern w:val="0"/>
      <w:szCs w:val="21"/>
    </w:rPr>
  </w:style>
  <w:style w:type="paragraph" w:customStyle="1" w:styleId="105">
    <w:name w:val="rw"/>
    <w:basedOn w:val="1"/>
    <w:qFormat/>
    <w:uiPriority w:val="0"/>
    <w:pPr>
      <w:widowControl/>
      <w:spacing w:before="30"/>
      <w:ind w:left="100" w:right="100"/>
      <w:jc w:val="right"/>
    </w:pPr>
    <w:rPr>
      <w:rFonts w:ascii="方正仿宋简体" w:hAnsi="宋体" w:eastAsia="方正仿宋简体"/>
      <w:color w:val="000000"/>
      <w:kern w:val="0"/>
      <w:szCs w:val="21"/>
    </w:rPr>
  </w:style>
  <w:style w:type="paragraph" w:customStyle="1" w:styleId="106">
    <w:name w:val="正  文"/>
    <w:basedOn w:val="1"/>
    <w:qFormat/>
    <w:uiPriority w:val="0"/>
    <w:pPr>
      <w:spacing w:line="360" w:lineRule="auto"/>
      <w:ind w:firstLine="200" w:firstLineChars="200"/>
    </w:pPr>
    <w:rPr>
      <w:rFonts w:ascii="宋体" w:hAnsi="Calibri"/>
      <w:sz w:val="24"/>
    </w:rPr>
  </w:style>
  <w:style w:type="paragraph" w:customStyle="1" w:styleId="107">
    <w:name w:val="列出段落11"/>
    <w:basedOn w:val="1"/>
    <w:qFormat/>
    <w:uiPriority w:val="0"/>
    <w:pPr>
      <w:ind w:firstLine="420" w:firstLineChars="200"/>
    </w:pPr>
    <w:rPr>
      <w:sz w:val="28"/>
      <w:szCs w:val="28"/>
    </w:rPr>
  </w:style>
  <w:style w:type="paragraph" w:customStyle="1" w:styleId="10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09">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110">
    <w:name w:val="_Style 96"/>
    <w:semiHidden/>
    <w:qFormat/>
    <w:uiPriority w:val="99"/>
    <w:rPr>
      <w:rFonts w:ascii="Calibri" w:hAnsi="Calibri" w:eastAsia="宋体" w:cs="Times New Roman"/>
      <w:kern w:val="2"/>
      <w:sz w:val="21"/>
      <w:szCs w:val="24"/>
      <w:lang w:val="en-US" w:eastAsia="zh-CN" w:bidi="ar-SA"/>
    </w:rPr>
  </w:style>
  <w:style w:type="paragraph" w:customStyle="1" w:styleId="111">
    <w:name w:val="表格文字"/>
    <w:basedOn w:val="1"/>
    <w:qFormat/>
    <w:uiPriority w:val="0"/>
    <w:pPr>
      <w:adjustRightInd w:val="0"/>
      <w:spacing w:line="420" w:lineRule="atLeast"/>
      <w:jc w:val="left"/>
      <w:textAlignment w:val="baseline"/>
    </w:pPr>
    <w:rPr>
      <w:kern w:val="0"/>
      <w:szCs w:val="20"/>
    </w:rPr>
  </w:style>
  <w:style w:type="paragraph" w:customStyle="1" w:styleId="112">
    <w:name w:val="表格"/>
    <w:basedOn w:val="1"/>
    <w:qFormat/>
    <w:uiPriority w:val="0"/>
    <w:pPr>
      <w:jc w:val="center"/>
      <w:textAlignment w:val="center"/>
    </w:pPr>
    <w:rPr>
      <w:rFonts w:ascii="华文细黑" w:hAnsi="华文细黑"/>
      <w:kern w:val="0"/>
      <w:szCs w:val="20"/>
    </w:rPr>
  </w:style>
  <w:style w:type="paragraph" w:customStyle="1" w:styleId="113">
    <w:name w:val="Char1"/>
    <w:basedOn w:val="1"/>
    <w:qFormat/>
    <w:uiPriority w:val="0"/>
  </w:style>
  <w:style w:type="paragraph" w:customStyle="1" w:styleId="114">
    <w:name w:val="TOC 标题11"/>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15">
    <w:name w:val="引用2"/>
    <w:basedOn w:val="1"/>
    <w:next w:val="1"/>
    <w:link w:val="238"/>
    <w:qFormat/>
    <w:uiPriority w:val="0"/>
    <w:rPr>
      <w:i/>
      <w:iCs/>
      <w:color w:val="000000"/>
    </w:rPr>
  </w:style>
  <w:style w:type="paragraph" w:customStyle="1" w:styleId="116">
    <w:name w:val="链接"/>
    <w:qFormat/>
    <w:uiPriority w:val="0"/>
    <w:pPr>
      <w:widowControl w:val="0"/>
      <w:autoSpaceDE w:val="0"/>
      <w:autoSpaceDN w:val="0"/>
      <w:adjustRightInd w:val="0"/>
      <w:ind w:left="720"/>
    </w:pPr>
    <w:rPr>
      <w:rFonts w:ascii="Calibri" w:hAnsi="Calibri" w:eastAsia="宋体" w:cs="Times New Roman"/>
      <w:color w:val="0000FF"/>
      <w:sz w:val="21"/>
      <w:szCs w:val="21"/>
      <w:u w:val="single"/>
      <w:lang w:val="en-US" w:eastAsia="zh-CN" w:bidi="ar-SA"/>
    </w:rPr>
  </w:style>
  <w:style w:type="paragraph" w:customStyle="1" w:styleId="117">
    <w:name w:val="引用1"/>
    <w:basedOn w:val="1"/>
    <w:next w:val="1"/>
    <w:link w:val="188"/>
    <w:qFormat/>
    <w:uiPriority w:val="0"/>
    <w:rPr>
      <w:i/>
      <w:iCs/>
      <w:color w:val="000000"/>
      <w:szCs w:val="22"/>
    </w:rPr>
  </w:style>
  <w:style w:type="paragraph" w:customStyle="1" w:styleId="118">
    <w:name w:val="修订1"/>
    <w:qFormat/>
    <w:uiPriority w:val="0"/>
    <w:rPr>
      <w:rFonts w:ascii="Times New Roman" w:hAnsi="Times New Roman" w:eastAsia="宋体" w:cs="Times New Roman"/>
      <w:kern w:val="2"/>
      <w:sz w:val="21"/>
      <w:szCs w:val="24"/>
      <w:lang w:val="en-US" w:eastAsia="zh-CN" w:bidi="ar-SA"/>
    </w:rPr>
  </w:style>
  <w:style w:type="paragraph" w:customStyle="1" w:styleId="119">
    <w:name w:val="xl65"/>
    <w:basedOn w:val="1"/>
    <w:qFormat/>
    <w:uiPriority w:val="0"/>
    <w:pPr>
      <w:widowControl/>
      <w:spacing w:before="100" w:beforeAutospacing="1" w:after="100" w:afterAutospacing="1"/>
      <w:jc w:val="center"/>
    </w:pPr>
    <w:rPr>
      <w:rFonts w:ascii="黑体" w:hAnsi="宋体" w:eastAsia="黑体"/>
      <w:b/>
      <w:kern w:val="0"/>
      <w:sz w:val="36"/>
      <w:szCs w:val="20"/>
    </w:rPr>
  </w:style>
  <w:style w:type="paragraph" w:customStyle="1" w:styleId="120">
    <w:name w:val="Char2"/>
    <w:basedOn w:val="1"/>
    <w:qFormat/>
    <w:uiPriority w:val="0"/>
    <w:rPr>
      <w:rFonts w:ascii="Calibri" w:hAnsi="Calibri"/>
    </w:rPr>
  </w:style>
  <w:style w:type="paragraph" w:customStyle="1" w:styleId="121">
    <w:name w:val="标题5"/>
    <w:basedOn w:val="5"/>
    <w:link w:val="284"/>
    <w:qFormat/>
    <w:uiPriority w:val="0"/>
    <w:pPr>
      <w:spacing w:line="413" w:lineRule="auto"/>
    </w:pPr>
    <w:rPr>
      <w:rFonts w:ascii="Arial" w:hAnsi="Arial"/>
      <w:kern w:val="0"/>
      <w:sz w:val="24"/>
    </w:rPr>
  </w:style>
  <w:style w:type="paragraph" w:customStyle="1" w:styleId="122">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
    <w:name w:val="TOC 标题1"/>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24">
    <w:name w:val="表格标题"/>
    <w:basedOn w:val="77"/>
    <w:qFormat/>
    <w:uiPriority w:val="0"/>
  </w:style>
  <w:style w:type="paragraph" w:customStyle="1" w:styleId="125">
    <w:name w:val="g11"/>
    <w:basedOn w:val="1"/>
    <w:qFormat/>
    <w:uiPriority w:val="0"/>
    <w:pPr>
      <w:widowControl/>
      <w:spacing w:before="100" w:beforeAutospacing="1" w:after="100" w:afterAutospacing="1" w:line="465" w:lineRule="atLeast"/>
      <w:jc w:val="left"/>
    </w:pPr>
    <w:rPr>
      <w:rFonts w:ascii="华文中宋" w:hAnsi="华文中宋" w:eastAsia="华文中宋" w:cs="宋体"/>
      <w:b/>
      <w:bCs/>
      <w:color w:val="FF0000"/>
      <w:kern w:val="0"/>
      <w:sz w:val="31"/>
      <w:szCs w:val="31"/>
    </w:rPr>
  </w:style>
  <w:style w:type="paragraph" w:customStyle="1" w:styleId="126">
    <w:name w:val="2"/>
    <w:next w:val="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27">
    <w:name w:val="intel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8">
    <w:name w:val="style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标题2"/>
    <w:basedOn w:val="1"/>
    <w:qFormat/>
    <w:uiPriority w:val="0"/>
    <w:pPr>
      <w:widowControl/>
      <w:spacing w:before="100" w:beforeAutospacing="1" w:after="100" w:afterAutospacing="1"/>
      <w:jc w:val="left"/>
    </w:pPr>
    <w:rPr>
      <w:rFonts w:ascii="宋体" w:hAnsi="宋体" w:cs="宋体"/>
      <w:kern w:val="0"/>
      <w:sz w:val="24"/>
    </w:rPr>
  </w:style>
  <w:style w:type="paragraph" w:customStyle="1" w:styleId="130">
    <w:name w:val="WW-表格标题"/>
    <w:basedOn w:val="95"/>
    <w:qFormat/>
    <w:uiPriority w:val="0"/>
  </w:style>
  <w:style w:type="paragraph" w:customStyle="1" w:styleId="131">
    <w:name w:val="ly"/>
    <w:basedOn w:val="1"/>
    <w:qFormat/>
    <w:uiPriority w:val="0"/>
    <w:pPr>
      <w:widowControl/>
      <w:spacing w:before="30"/>
      <w:jc w:val="right"/>
    </w:pPr>
    <w:rPr>
      <w:rFonts w:ascii="方正书宋简体" w:hAnsi="宋体" w:eastAsia="方正书宋简体"/>
      <w:color w:val="000000"/>
      <w:kern w:val="0"/>
      <w:szCs w:val="21"/>
    </w:rPr>
  </w:style>
  <w:style w:type="paragraph" w:customStyle="1" w:styleId="132">
    <w:name w:val="明显引用12"/>
    <w:basedOn w:val="1"/>
    <w:next w:val="1"/>
    <w:link w:val="248"/>
    <w:qFormat/>
    <w:uiPriority w:val="30"/>
    <w:pPr>
      <w:pBdr>
        <w:bottom w:val="single" w:color="4F81BD" w:sz="4" w:space="4"/>
      </w:pBdr>
      <w:spacing w:before="200" w:after="280"/>
      <w:ind w:left="936" w:right="936"/>
    </w:pPr>
    <w:rPr>
      <w:b/>
      <w:bCs/>
      <w:i/>
      <w:iCs/>
      <w:color w:val="4F81BD"/>
      <w:szCs w:val="20"/>
    </w:rPr>
  </w:style>
  <w:style w:type="paragraph" w:customStyle="1" w:styleId="133">
    <w:name w:val="标准样式1"/>
    <w:basedOn w:val="1"/>
    <w:qFormat/>
    <w:uiPriority w:val="0"/>
    <w:pPr>
      <w:spacing w:line="600" w:lineRule="exact"/>
      <w:ind w:firstLine="567"/>
    </w:pPr>
    <w:rPr>
      <w:rFonts w:ascii="Calibri" w:hAnsi="Calibri"/>
      <w:sz w:val="28"/>
    </w:rPr>
  </w:style>
  <w:style w:type="paragraph" w:customStyle="1" w:styleId="134">
    <w:name w:val="Char3"/>
    <w:basedOn w:val="1"/>
    <w:qFormat/>
    <w:uiPriority w:val="0"/>
  </w:style>
  <w:style w:type="paragraph" w:customStyle="1" w:styleId="135">
    <w:name w:val="p17"/>
    <w:basedOn w:val="1"/>
    <w:qFormat/>
    <w:uiPriority w:val="0"/>
    <w:pPr>
      <w:widowControl/>
      <w:spacing w:before="120" w:after="120"/>
      <w:jc w:val="left"/>
    </w:pPr>
    <w:rPr>
      <w:rFonts w:ascii="Calibri" w:hAnsi="Calibri" w:cs="宋体"/>
      <w:b/>
      <w:bCs/>
      <w:caps/>
      <w:kern w:val="0"/>
      <w:sz w:val="28"/>
      <w:szCs w:val="28"/>
    </w:rPr>
  </w:style>
  <w:style w:type="paragraph" w:customStyle="1" w:styleId="136">
    <w:name w:val="Char Char1 Char Char"/>
    <w:basedOn w:val="17"/>
    <w:qFormat/>
    <w:uiPriority w:val="0"/>
    <w:pPr>
      <w:shd w:val="clear" w:color="auto" w:fill="auto"/>
      <w:tabs>
        <w:tab w:val="left" w:pos="630"/>
      </w:tabs>
      <w:adjustRightInd w:val="0"/>
      <w:spacing w:line="436" w:lineRule="exact"/>
      <w:ind w:left="357"/>
      <w:jc w:val="left"/>
      <w:outlineLvl w:val="3"/>
    </w:pPr>
    <w:rPr>
      <w:rFonts w:ascii="Calibri" w:hAnsi="Calibri" w:eastAsia="Times New Roman"/>
      <w:sz w:val="18"/>
      <w:szCs w:val="20"/>
    </w:rPr>
  </w:style>
  <w:style w:type="paragraph" w:customStyle="1" w:styleId="137">
    <w:name w:val="引用11"/>
    <w:basedOn w:val="1"/>
    <w:next w:val="1"/>
    <w:link w:val="262"/>
    <w:qFormat/>
    <w:uiPriority w:val="29"/>
    <w:rPr>
      <w:i/>
      <w:iCs/>
      <w:color w:val="000000"/>
      <w:szCs w:val="20"/>
    </w:rPr>
  </w:style>
  <w:style w:type="paragraph" w:customStyle="1" w:styleId="138">
    <w:name w:val="_Style 87"/>
    <w:basedOn w:val="1"/>
    <w:qFormat/>
    <w:uiPriority w:val="99"/>
    <w:pPr>
      <w:ind w:firstLine="420" w:firstLineChars="200"/>
    </w:pPr>
    <w:rPr>
      <w:rFonts w:ascii="Calibri" w:hAnsi="Calibri"/>
      <w:sz w:val="28"/>
      <w:szCs w:val="28"/>
    </w:rPr>
  </w:style>
  <w:style w:type="paragraph" w:customStyle="1" w:styleId="139">
    <w:name w:val="自定样式1"/>
    <w:basedOn w:val="1"/>
    <w:qFormat/>
    <w:uiPriority w:val="0"/>
    <w:pPr>
      <w:suppressAutoHyphens/>
      <w:jc w:val="center"/>
    </w:pPr>
    <w:rPr>
      <w:rFonts w:ascii="宋体" w:hAnsi="宋体"/>
      <w:color w:val="000000"/>
      <w:sz w:val="18"/>
    </w:rPr>
  </w:style>
  <w:style w:type="paragraph" w:customStyle="1" w:styleId="140">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42">
    <w:name w:val="未处理的提及1"/>
    <w:unhideWhenUsed/>
    <w:qFormat/>
    <w:uiPriority w:val="99"/>
    <w:rPr>
      <w:color w:val="808080"/>
      <w:shd w:val="clear" w:color="auto" w:fill="E6E6E6"/>
    </w:rPr>
  </w:style>
  <w:style w:type="character" w:customStyle="1" w:styleId="143">
    <w:name w:val="正文文本 3 Char"/>
    <w:qFormat/>
    <w:uiPriority w:val="0"/>
    <w:rPr>
      <w:kern w:val="2"/>
      <w:sz w:val="16"/>
      <w:szCs w:val="16"/>
    </w:rPr>
  </w:style>
  <w:style w:type="character" w:customStyle="1" w:styleId="144">
    <w:name w:val="正文文本缩进 Char2"/>
    <w:semiHidden/>
    <w:qFormat/>
    <w:uiPriority w:val="99"/>
    <w:rPr>
      <w:rFonts w:ascii="Calibri" w:hAnsi="Calibri" w:eastAsia="宋体" w:cs="Times New Roman"/>
      <w:szCs w:val="24"/>
    </w:rPr>
  </w:style>
  <w:style w:type="character" w:customStyle="1" w:styleId="145">
    <w:name w:val="标题 3 Char"/>
    <w:qFormat/>
    <w:uiPriority w:val="0"/>
    <w:rPr>
      <w:rFonts w:ascii="仿宋_GB2312" w:hAnsi="Calibri" w:eastAsia="仿宋_GB2312" w:cs="Times New Roman"/>
      <w:b/>
      <w:kern w:val="0"/>
      <w:sz w:val="24"/>
      <w:szCs w:val="28"/>
    </w:rPr>
  </w:style>
  <w:style w:type="character" w:customStyle="1" w:styleId="146">
    <w:name w:val="批注框文本 Char2"/>
    <w:qFormat/>
    <w:uiPriority w:val="99"/>
    <w:rPr>
      <w:kern w:val="2"/>
      <w:sz w:val="18"/>
      <w:szCs w:val="18"/>
    </w:rPr>
  </w:style>
  <w:style w:type="character" w:customStyle="1" w:styleId="147">
    <w:name w:val="textcontents"/>
    <w:qFormat/>
    <w:uiPriority w:val="0"/>
    <w:rPr>
      <w:rFonts w:cs="Times New Roman"/>
    </w:rPr>
  </w:style>
  <w:style w:type="character" w:customStyle="1" w:styleId="148">
    <w:name w:val="ht1"/>
    <w:qFormat/>
    <w:uiPriority w:val="0"/>
    <w:rPr>
      <w:rFonts w:ascii="黑体" w:eastAsia="黑体"/>
      <w:b/>
      <w:bCs/>
    </w:rPr>
  </w:style>
  <w:style w:type="character" w:customStyle="1" w:styleId="149">
    <w:name w:val="标题 Char"/>
    <w:qFormat/>
    <w:uiPriority w:val="0"/>
    <w:rPr>
      <w:rFonts w:ascii="Cambria" w:hAnsi="Cambria" w:eastAsia="宋体" w:cs="Times New Roman"/>
      <w:b/>
      <w:bCs/>
      <w:kern w:val="2"/>
      <w:sz w:val="32"/>
      <w:szCs w:val="32"/>
    </w:rPr>
  </w:style>
  <w:style w:type="character" w:customStyle="1" w:styleId="150">
    <w:name w:val="14t1"/>
    <w:qFormat/>
    <w:uiPriority w:val="0"/>
    <w:rPr>
      <w:rFonts w:hint="eastAsia" w:ascii="宋体" w:hAnsi="宋体" w:eastAsia="宋体"/>
      <w:sz w:val="11"/>
      <w:szCs w:val="11"/>
    </w:rPr>
  </w:style>
  <w:style w:type="character" w:customStyle="1" w:styleId="151">
    <w:name w:val="Char Char36"/>
    <w:qFormat/>
    <w:uiPriority w:val="0"/>
    <w:rPr>
      <w:rFonts w:ascii="仿宋_GB2312" w:eastAsia="仿宋_GB2312" w:cs="MingLiU"/>
      <w:b/>
      <w:sz w:val="24"/>
      <w:szCs w:val="28"/>
    </w:rPr>
  </w:style>
  <w:style w:type="character" w:customStyle="1" w:styleId="152">
    <w:name w:val="文档结构图 Char"/>
    <w:qFormat/>
    <w:uiPriority w:val="0"/>
    <w:rPr>
      <w:rFonts w:ascii="宋体"/>
      <w:kern w:val="2"/>
      <w:sz w:val="18"/>
      <w:szCs w:val="18"/>
    </w:rPr>
  </w:style>
  <w:style w:type="character" w:customStyle="1" w:styleId="153">
    <w:name w:val="普通文字 Char Char2"/>
    <w:qFormat/>
    <w:uiPriority w:val="0"/>
    <w:rPr>
      <w:rFonts w:ascii="宋体" w:hAnsi="Courier New"/>
      <w:kern w:val="2"/>
      <w:sz w:val="28"/>
      <w:szCs w:val="28"/>
    </w:rPr>
  </w:style>
  <w:style w:type="character" w:customStyle="1" w:styleId="154">
    <w:name w:val="HTML 预设格式 Char"/>
    <w:qFormat/>
    <w:uiPriority w:val="0"/>
    <w:rPr>
      <w:rFonts w:ascii="宋体" w:hAnsi="宋体" w:eastAsia="宋体" w:cs="宋体"/>
      <w:color w:val="000000"/>
      <w:sz w:val="24"/>
      <w:szCs w:val="24"/>
    </w:rPr>
  </w:style>
  <w:style w:type="character" w:customStyle="1" w:styleId="155">
    <w:name w:val="纯文本 Char"/>
    <w:qFormat/>
    <w:uiPriority w:val="0"/>
    <w:rPr>
      <w:rFonts w:ascii="宋体" w:hAnsi="Courier New"/>
      <w:sz w:val="28"/>
      <w:szCs w:val="28"/>
    </w:rPr>
  </w:style>
  <w:style w:type="character" w:customStyle="1" w:styleId="156">
    <w:name w:val="批注框文本 Char"/>
    <w:qFormat/>
    <w:uiPriority w:val="0"/>
    <w:rPr>
      <w:sz w:val="18"/>
      <w:szCs w:val="18"/>
    </w:rPr>
  </w:style>
  <w:style w:type="character" w:customStyle="1" w:styleId="157">
    <w:name w:val="页脚 Char"/>
    <w:qFormat/>
    <w:uiPriority w:val="0"/>
    <w:rPr>
      <w:sz w:val="18"/>
      <w:szCs w:val="18"/>
    </w:rPr>
  </w:style>
  <w:style w:type="character" w:customStyle="1" w:styleId="158">
    <w:name w:val="标题 4 Char2"/>
    <w:link w:val="6"/>
    <w:qFormat/>
    <w:uiPriority w:val="0"/>
    <w:rPr>
      <w:rFonts w:ascii="宋体" w:hAnsi="宋体" w:eastAsia="宋体" w:cs="宋体"/>
      <w:b/>
      <w:bCs/>
      <w:sz w:val="24"/>
      <w:szCs w:val="24"/>
      <w:lang w:val="en-US" w:eastAsia="zh-CN" w:bidi="ar-SA"/>
    </w:rPr>
  </w:style>
  <w:style w:type="character" w:customStyle="1" w:styleId="159">
    <w:name w:val="正文文本缩进 3 Char"/>
    <w:qFormat/>
    <w:uiPriority w:val="0"/>
    <w:rPr>
      <w:kern w:val="2"/>
      <w:sz w:val="16"/>
      <w:szCs w:val="16"/>
    </w:rPr>
  </w:style>
  <w:style w:type="character" w:customStyle="1" w:styleId="160">
    <w:name w:val="标题 8 Char"/>
    <w:qFormat/>
    <w:uiPriority w:val="0"/>
    <w:rPr>
      <w:rFonts w:ascii="Arial" w:hAnsi="Arial" w:eastAsia="黑体" w:cs="Times New Roman"/>
      <w:sz w:val="24"/>
      <w:szCs w:val="24"/>
    </w:rPr>
  </w:style>
  <w:style w:type="character" w:customStyle="1" w:styleId="161">
    <w:name w:val="HTML 预设格式 Char3"/>
    <w:link w:val="41"/>
    <w:qFormat/>
    <w:uiPriority w:val="0"/>
    <w:rPr>
      <w:rFonts w:ascii="宋体" w:hAnsi="宋体" w:eastAsia="宋体" w:cs="宋体"/>
      <w:color w:val="000000"/>
      <w:sz w:val="24"/>
      <w:szCs w:val="24"/>
      <w:lang w:val="en-US" w:eastAsia="zh-CN" w:bidi="ar-SA"/>
    </w:rPr>
  </w:style>
  <w:style w:type="character" w:customStyle="1" w:styleId="162">
    <w:name w:val="文档结构图 Char4"/>
    <w:link w:val="17"/>
    <w:qFormat/>
    <w:uiPriority w:val="0"/>
    <w:rPr>
      <w:rFonts w:eastAsia="宋体"/>
      <w:kern w:val="2"/>
      <w:sz w:val="21"/>
      <w:szCs w:val="24"/>
      <w:lang w:val="en-US" w:eastAsia="zh-CN" w:bidi="ar-SA"/>
    </w:rPr>
  </w:style>
  <w:style w:type="character" w:customStyle="1" w:styleId="163">
    <w:name w:val="正文文本缩进 2 Char1"/>
    <w:qFormat/>
    <w:uiPriority w:val="0"/>
    <w:rPr>
      <w:sz w:val="28"/>
      <w:szCs w:val="24"/>
    </w:rPr>
  </w:style>
  <w:style w:type="character" w:customStyle="1" w:styleId="164">
    <w:name w:val="标题 5 Char1"/>
    <w:qFormat/>
    <w:uiPriority w:val="0"/>
    <w:rPr>
      <w:rFonts w:ascii="宋体" w:hAnsi="宋体" w:eastAsia="宋体" w:cs="宋体"/>
      <w:b/>
      <w:bCs/>
      <w:sz w:val="20"/>
      <w:szCs w:val="20"/>
    </w:rPr>
  </w:style>
  <w:style w:type="character" w:customStyle="1" w:styleId="165">
    <w:name w:val="批注文字 Char"/>
    <w:qFormat/>
    <w:uiPriority w:val="0"/>
    <w:rPr>
      <w:rFonts w:ascii="Times New Roman" w:hAnsi="Times New Roman" w:eastAsia="宋体" w:cs="Times New Roman"/>
      <w:kern w:val="2"/>
      <w:sz w:val="21"/>
      <w:szCs w:val="24"/>
    </w:rPr>
  </w:style>
  <w:style w:type="character" w:customStyle="1" w:styleId="166">
    <w:name w:val="日期 Char4"/>
    <w:link w:val="26"/>
    <w:qFormat/>
    <w:uiPriority w:val="0"/>
    <w:rPr>
      <w:rFonts w:eastAsia="宋体"/>
      <w:kern w:val="2"/>
      <w:sz w:val="21"/>
      <w:szCs w:val="24"/>
      <w:lang w:val="en-US" w:eastAsia="zh-CN" w:bidi="ar-SA"/>
    </w:rPr>
  </w:style>
  <w:style w:type="character" w:customStyle="1" w:styleId="167">
    <w:name w:val="style121"/>
    <w:qFormat/>
    <w:uiPriority w:val="0"/>
    <w:rPr>
      <w:rFonts w:hint="eastAsia" w:ascii="宋体" w:hAnsi="宋体" w:eastAsia="宋体"/>
      <w:sz w:val="18"/>
      <w:szCs w:val="18"/>
    </w:rPr>
  </w:style>
  <w:style w:type="character" w:customStyle="1" w:styleId="168">
    <w:name w:val="Section Char"/>
    <w:qFormat/>
    <w:uiPriority w:val="0"/>
    <w:rPr>
      <w:rFonts w:ascii="仿宋_GB2312" w:eastAsia="仿宋_GB2312" w:cs="MingLiU"/>
      <w:b/>
      <w:sz w:val="24"/>
      <w:szCs w:val="28"/>
      <w:lang w:val="en-US" w:eastAsia="zh-CN" w:bidi="ar-SA"/>
    </w:rPr>
  </w:style>
  <w:style w:type="character" w:customStyle="1" w:styleId="169">
    <w:name w:val="正文文本 3 Char1"/>
    <w:qFormat/>
    <w:uiPriority w:val="0"/>
    <w:rPr>
      <w:kern w:val="2"/>
      <w:sz w:val="16"/>
      <w:szCs w:val="16"/>
    </w:rPr>
  </w:style>
  <w:style w:type="character" w:customStyle="1" w:styleId="170">
    <w:name w:val="文档结构图 Char1"/>
    <w:qFormat/>
    <w:uiPriority w:val="0"/>
    <w:rPr>
      <w:rFonts w:ascii="宋体"/>
      <w:kern w:val="2"/>
      <w:sz w:val="18"/>
      <w:szCs w:val="18"/>
    </w:rPr>
  </w:style>
  <w:style w:type="character" w:customStyle="1" w:styleId="171">
    <w:name w:val="_Style 170"/>
    <w:qFormat/>
    <w:uiPriority w:val="0"/>
    <w:rPr>
      <w:i/>
      <w:iCs/>
      <w:color w:val="808080"/>
    </w:rPr>
  </w:style>
  <w:style w:type="character" w:customStyle="1" w:styleId="172">
    <w:name w:val="_Style 171"/>
    <w:qFormat/>
    <w:uiPriority w:val="0"/>
    <w:rPr>
      <w:b/>
      <w:bCs/>
      <w:smallCaps/>
      <w:color w:val="C0504D"/>
      <w:spacing w:val="5"/>
      <w:u w:val="single"/>
    </w:rPr>
  </w:style>
  <w:style w:type="character" w:customStyle="1" w:styleId="173">
    <w:name w:val="标题 9 Char"/>
    <w:qFormat/>
    <w:uiPriority w:val="0"/>
    <w:rPr>
      <w:rFonts w:ascii="Arial" w:hAnsi="Arial" w:eastAsia="黑体" w:cs="Times New Roman"/>
      <w:szCs w:val="21"/>
    </w:rPr>
  </w:style>
  <w:style w:type="character" w:customStyle="1" w:styleId="174">
    <w:name w:val="页眉 Char1"/>
    <w:semiHidden/>
    <w:qFormat/>
    <w:uiPriority w:val="99"/>
    <w:rPr>
      <w:kern w:val="2"/>
      <w:sz w:val="18"/>
      <w:szCs w:val="18"/>
    </w:rPr>
  </w:style>
  <w:style w:type="character" w:customStyle="1" w:styleId="175">
    <w:name w:val="_Style 174"/>
    <w:qFormat/>
    <w:uiPriority w:val="0"/>
    <w:rPr>
      <w:b/>
      <w:bCs/>
      <w:i/>
      <w:iCs/>
      <w:color w:val="4F81BD"/>
    </w:rPr>
  </w:style>
  <w:style w:type="character" w:customStyle="1" w:styleId="176">
    <w:name w:val="Char Char35"/>
    <w:qFormat/>
    <w:uiPriority w:val="0"/>
    <w:rPr>
      <w:rFonts w:ascii="仿宋_GB2312" w:eastAsia="仿宋_GB2312" w:cs="MingLiU"/>
      <w:b/>
      <w:sz w:val="24"/>
      <w:szCs w:val="28"/>
    </w:rPr>
  </w:style>
  <w:style w:type="character" w:customStyle="1" w:styleId="177">
    <w:name w:val="日期 Char2"/>
    <w:qFormat/>
    <w:uiPriority w:val="99"/>
    <w:rPr>
      <w:kern w:val="2"/>
      <w:sz w:val="21"/>
      <w:szCs w:val="24"/>
    </w:rPr>
  </w:style>
  <w:style w:type="character" w:customStyle="1" w:styleId="178">
    <w:name w:val="Char Char22"/>
    <w:qFormat/>
    <w:uiPriority w:val="0"/>
    <w:rPr>
      <w:b/>
      <w:bCs/>
      <w:kern w:val="2"/>
      <w:sz w:val="32"/>
      <w:szCs w:val="32"/>
    </w:rPr>
  </w:style>
  <w:style w:type="character" w:customStyle="1" w:styleId="179">
    <w:name w:val="正文文本缩进 2 Char2"/>
    <w:semiHidden/>
    <w:qFormat/>
    <w:uiPriority w:val="99"/>
    <w:rPr>
      <w:rFonts w:ascii="Calibri" w:hAnsi="Calibri" w:eastAsia="宋体" w:cs="Times New Roman"/>
      <w:szCs w:val="24"/>
    </w:rPr>
  </w:style>
  <w:style w:type="character" w:customStyle="1" w:styleId="180">
    <w:name w:val="明显强调1"/>
    <w:qFormat/>
    <w:uiPriority w:val="0"/>
    <w:rPr>
      <w:b/>
      <w:bCs/>
      <w:i/>
      <w:iCs/>
      <w:color w:val="4F81BD"/>
    </w:rPr>
  </w:style>
  <w:style w:type="character" w:customStyle="1" w:styleId="181">
    <w:name w:val="Char Char14"/>
    <w:qFormat/>
    <w:uiPriority w:val="0"/>
    <w:rPr>
      <w:kern w:val="2"/>
      <w:sz w:val="18"/>
      <w:szCs w:val="18"/>
    </w:rPr>
  </w:style>
  <w:style w:type="character" w:customStyle="1" w:styleId="182">
    <w:name w:val="s3"/>
    <w:qFormat/>
    <w:uiPriority w:val="0"/>
  </w:style>
  <w:style w:type="character" w:customStyle="1" w:styleId="183">
    <w:name w:val="标题 1 Char"/>
    <w:qFormat/>
    <w:uiPriority w:val="0"/>
    <w:rPr>
      <w:rFonts w:ascii="Times New Roman" w:hAnsi="Times New Roman" w:eastAsia="宋体" w:cs="Times New Roman"/>
      <w:b/>
      <w:bCs/>
      <w:kern w:val="44"/>
      <w:sz w:val="44"/>
      <w:szCs w:val="44"/>
    </w:rPr>
  </w:style>
  <w:style w:type="character" w:customStyle="1" w:styleId="184">
    <w:name w:val="日期 Char3"/>
    <w:semiHidden/>
    <w:qFormat/>
    <w:uiPriority w:val="99"/>
    <w:rPr>
      <w:rFonts w:ascii="Calibri" w:hAnsi="Calibri" w:eastAsia="宋体" w:cs="Times New Roman"/>
      <w:szCs w:val="24"/>
    </w:rPr>
  </w:style>
  <w:style w:type="character" w:customStyle="1" w:styleId="185">
    <w:name w:val="标题 1 Char2"/>
    <w:link w:val="3"/>
    <w:qFormat/>
    <w:uiPriority w:val="0"/>
    <w:rPr>
      <w:rFonts w:eastAsia="宋体"/>
      <w:b/>
      <w:bCs/>
      <w:kern w:val="44"/>
      <w:sz w:val="44"/>
      <w:szCs w:val="44"/>
      <w:lang w:val="en-US" w:eastAsia="zh-CN" w:bidi="ar-SA"/>
    </w:rPr>
  </w:style>
  <w:style w:type="character" w:customStyle="1" w:styleId="186">
    <w:name w:val="title11"/>
    <w:qFormat/>
    <w:uiPriority w:val="0"/>
    <w:rPr>
      <w:b/>
      <w:bCs/>
      <w:color w:val="FFFFFF"/>
      <w:sz w:val="11"/>
      <w:szCs w:val="11"/>
    </w:rPr>
  </w:style>
  <w:style w:type="character" w:customStyle="1" w:styleId="187">
    <w:name w:val="明显引用 Char2"/>
    <w:qFormat/>
    <w:uiPriority w:val="99"/>
    <w:rPr>
      <w:b/>
      <w:bCs/>
      <w:i/>
      <w:iCs/>
      <w:color w:val="4F81BD"/>
      <w:kern w:val="2"/>
      <w:sz w:val="21"/>
      <w:szCs w:val="24"/>
    </w:rPr>
  </w:style>
  <w:style w:type="character" w:customStyle="1" w:styleId="188">
    <w:name w:val="引用 字符"/>
    <w:link w:val="117"/>
    <w:qFormat/>
    <w:uiPriority w:val="0"/>
    <w:rPr>
      <w:i/>
      <w:iCs/>
      <w:color w:val="000000"/>
      <w:kern w:val="2"/>
      <w:sz w:val="21"/>
      <w:szCs w:val="22"/>
      <w:lang w:bidi="ar-SA"/>
    </w:rPr>
  </w:style>
  <w:style w:type="character" w:customStyle="1" w:styleId="189">
    <w:name w:val="批注框文本 Char3"/>
    <w:semiHidden/>
    <w:qFormat/>
    <w:uiPriority w:val="99"/>
    <w:rPr>
      <w:rFonts w:ascii="Calibri" w:hAnsi="Calibri" w:eastAsia="宋体" w:cs="Times New Roman"/>
      <w:sz w:val="18"/>
      <w:szCs w:val="18"/>
    </w:rPr>
  </w:style>
  <w:style w:type="character" w:customStyle="1" w:styleId="190">
    <w:name w:val="标题 2 Char2"/>
    <w:link w:val="4"/>
    <w:qFormat/>
    <w:uiPriority w:val="0"/>
    <w:rPr>
      <w:rFonts w:ascii="Cambria" w:hAnsi="Cambria" w:eastAsia="宋体"/>
      <w:b/>
      <w:bCs/>
      <w:kern w:val="2"/>
      <w:sz w:val="32"/>
      <w:szCs w:val="32"/>
      <w:lang w:val="en-US" w:eastAsia="zh-CN" w:bidi="ar-SA"/>
    </w:rPr>
  </w:style>
  <w:style w:type="character" w:customStyle="1" w:styleId="191">
    <w:name w:val="Char Char33"/>
    <w:qFormat/>
    <w:uiPriority w:val="0"/>
    <w:rPr>
      <w:rFonts w:ascii="仿宋_GB2312" w:eastAsia="仿宋_GB2312" w:cs="MingLiU"/>
      <w:b/>
      <w:sz w:val="24"/>
      <w:szCs w:val="28"/>
    </w:rPr>
  </w:style>
  <w:style w:type="character" w:customStyle="1" w:styleId="192">
    <w:name w:val="标题 2 Char"/>
    <w:qFormat/>
    <w:uiPriority w:val="0"/>
    <w:rPr>
      <w:rFonts w:ascii="仿宋_GB2312" w:hAnsi="Calibri" w:eastAsia="仿宋_GB2312" w:cs="Times New Roman"/>
      <w:b/>
      <w:spacing w:val="1"/>
      <w:w w:val="99"/>
      <w:kern w:val="0"/>
      <w:sz w:val="28"/>
      <w:szCs w:val="32"/>
    </w:rPr>
  </w:style>
  <w:style w:type="character" w:customStyle="1" w:styleId="193">
    <w:name w:val="l1"/>
    <w:basedOn w:val="45"/>
    <w:qFormat/>
    <w:uiPriority w:val="0"/>
  </w:style>
  <w:style w:type="character" w:customStyle="1" w:styleId="194">
    <w:name w:val="手改 Char Char"/>
    <w:qFormat/>
    <w:uiPriority w:val="0"/>
    <w:rPr>
      <w:kern w:val="2"/>
      <w:sz w:val="21"/>
      <w:szCs w:val="24"/>
    </w:rPr>
  </w:style>
  <w:style w:type="character" w:customStyle="1" w:styleId="195">
    <w:name w:val="style21"/>
    <w:qFormat/>
    <w:uiPriority w:val="0"/>
    <w:rPr>
      <w:b/>
      <w:bCs/>
      <w:sz w:val="28"/>
      <w:szCs w:val="28"/>
    </w:rPr>
  </w:style>
  <w:style w:type="character" w:customStyle="1" w:styleId="196">
    <w:name w:val="Char Char24"/>
    <w:qFormat/>
    <w:uiPriority w:val="0"/>
    <w:rPr>
      <w:b/>
      <w:bCs/>
      <w:kern w:val="44"/>
      <w:sz w:val="44"/>
      <w:szCs w:val="44"/>
    </w:rPr>
  </w:style>
  <w:style w:type="character" w:customStyle="1" w:styleId="197">
    <w:name w:val="页脚 Char2"/>
    <w:link w:val="30"/>
    <w:qFormat/>
    <w:uiPriority w:val="0"/>
    <w:rPr>
      <w:rFonts w:eastAsia="宋体"/>
      <w:kern w:val="2"/>
      <w:sz w:val="18"/>
      <w:szCs w:val="18"/>
      <w:lang w:val="en-US" w:eastAsia="zh-CN" w:bidi="ar-SA"/>
    </w:rPr>
  </w:style>
  <w:style w:type="character" w:customStyle="1" w:styleId="198">
    <w:name w:val="_Style 197"/>
    <w:qFormat/>
    <w:uiPriority w:val="0"/>
    <w:rPr>
      <w:b/>
      <w:bCs/>
      <w:smallCaps/>
      <w:spacing w:val="5"/>
    </w:rPr>
  </w:style>
  <w:style w:type="character" w:customStyle="1" w:styleId="199">
    <w:name w:val="纯文本 Char1"/>
    <w:qFormat/>
    <w:uiPriority w:val="0"/>
    <w:rPr>
      <w:rFonts w:ascii="宋体" w:hAnsi="Courier New" w:cs="Courier New"/>
      <w:kern w:val="2"/>
      <w:sz w:val="21"/>
      <w:szCs w:val="21"/>
    </w:rPr>
  </w:style>
  <w:style w:type="character" w:customStyle="1" w:styleId="200">
    <w:name w:val="尾注文本 Char"/>
    <w:qFormat/>
    <w:uiPriority w:val="0"/>
    <w:rPr>
      <w:kern w:val="2"/>
      <w:sz w:val="21"/>
      <w:szCs w:val="24"/>
    </w:rPr>
  </w:style>
  <w:style w:type="character" w:customStyle="1" w:styleId="201">
    <w:name w:val="日期 Char1"/>
    <w:qFormat/>
    <w:uiPriority w:val="0"/>
    <w:rPr>
      <w:kern w:val="2"/>
      <w:sz w:val="21"/>
      <w:szCs w:val="22"/>
    </w:rPr>
  </w:style>
  <w:style w:type="character" w:customStyle="1" w:styleId="202">
    <w:name w:val="纯文本 Char3"/>
    <w:link w:val="24"/>
    <w:qFormat/>
    <w:uiPriority w:val="0"/>
    <w:rPr>
      <w:rFonts w:ascii="宋体" w:hAnsi="Courier New" w:eastAsia="宋体" w:cs="Courier New"/>
      <w:kern w:val="2"/>
      <w:sz w:val="21"/>
      <w:szCs w:val="21"/>
      <w:lang w:val="en-US" w:eastAsia="zh-CN" w:bidi="ar-SA"/>
    </w:rPr>
  </w:style>
  <w:style w:type="character" w:customStyle="1" w:styleId="203">
    <w:name w:val="正文文本 Char1"/>
    <w:qFormat/>
    <w:uiPriority w:val="0"/>
    <w:rPr>
      <w:kern w:val="2"/>
      <w:sz w:val="21"/>
      <w:szCs w:val="22"/>
    </w:rPr>
  </w:style>
  <w:style w:type="character" w:customStyle="1" w:styleId="204">
    <w:name w:val="标题 9 Char1"/>
    <w:qFormat/>
    <w:uiPriority w:val="0"/>
    <w:rPr>
      <w:rFonts w:ascii="Times New Roman" w:hAnsi="Times New Roman" w:eastAsia="仿宋_GB2312" w:cs="Times New Roman"/>
      <w:sz w:val="30"/>
      <w:szCs w:val="20"/>
    </w:rPr>
  </w:style>
  <w:style w:type="character" w:customStyle="1" w:styleId="205">
    <w:name w:val="批注框文本 Char4"/>
    <w:link w:val="29"/>
    <w:qFormat/>
    <w:uiPriority w:val="0"/>
    <w:rPr>
      <w:rFonts w:eastAsia="宋体"/>
      <w:kern w:val="2"/>
      <w:sz w:val="18"/>
      <w:szCs w:val="18"/>
      <w:lang w:val="en-US" w:eastAsia="zh-CN" w:bidi="ar-SA"/>
    </w:rPr>
  </w:style>
  <w:style w:type="character" w:customStyle="1" w:styleId="206">
    <w:name w:val="脚注文本 Char1"/>
    <w:qFormat/>
    <w:uiPriority w:val="0"/>
    <w:rPr>
      <w:rFonts w:ascii="Arial" w:hAnsi="Arial" w:cs="Arial"/>
      <w:sz w:val="18"/>
      <w:szCs w:val="18"/>
      <w:lang w:eastAsia="en-US"/>
    </w:rPr>
  </w:style>
  <w:style w:type="character" w:customStyle="1" w:styleId="207">
    <w:name w:val="正文文本缩进 Char"/>
    <w:qFormat/>
    <w:uiPriority w:val="0"/>
    <w:rPr>
      <w:rFonts w:ascii="黑体" w:hAnsi="宋体" w:eastAsia="黑体"/>
      <w:color w:val="000000"/>
      <w:sz w:val="28"/>
      <w:szCs w:val="32"/>
    </w:rPr>
  </w:style>
  <w:style w:type="character" w:customStyle="1" w:styleId="208">
    <w:name w:val="HTML 预设格式 Char1"/>
    <w:qFormat/>
    <w:uiPriority w:val="0"/>
    <w:rPr>
      <w:rFonts w:ascii="宋体" w:hAnsi="宋体" w:cs="宋体"/>
      <w:color w:val="000000"/>
      <w:sz w:val="24"/>
      <w:szCs w:val="24"/>
    </w:rPr>
  </w:style>
  <w:style w:type="character" w:customStyle="1" w:styleId="209">
    <w:name w:val="引用 Char3"/>
    <w:qFormat/>
    <w:uiPriority w:val="29"/>
    <w:rPr>
      <w:rFonts w:ascii="Calibri" w:hAnsi="Calibri" w:eastAsia="宋体" w:cs="Times New Roman"/>
      <w:i/>
      <w:iCs/>
      <w:color w:val="000000"/>
      <w:szCs w:val="24"/>
    </w:rPr>
  </w:style>
  <w:style w:type="character" w:customStyle="1" w:styleId="210">
    <w:name w:val="尾注文本 Char3"/>
    <w:link w:val="28"/>
    <w:qFormat/>
    <w:uiPriority w:val="0"/>
    <w:rPr>
      <w:rFonts w:ascii="Arial" w:hAnsi="Arial" w:eastAsia="宋体" w:cs="Arial"/>
      <w:szCs w:val="24"/>
      <w:lang w:val="en-US" w:eastAsia="en-US" w:bidi="ar-SA"/>
    </w:rPr>
  </w:style>
  <w:style w:type="character" w:customStyle="1" w:styleId="211">
    <w:name w:val="标题 7 Char1"/>
    <w:qFormat/>
    <w:uiPriority w:val="0"/>
    <w:rPr>
      <w:rFonts w:ascii="Times New Roman" w:hAnsi="Times New Roman" w:eastAsia="仿宋_GB2312" w:cs="Times New Roman"/>
      <w:sz w:val="30"/>
      <w:szCs w:val="20"/>
    </w:rPr>
  </w:style>
  <w:style w:type="character" w:customStyle="1" w:styleId="212">
    <w:name w:val="普通文字 Char Char1"/>
    <w:qFormat/>
    <w:uiPriority w:val="0"/>
    <w:rPr>
      <w:rFonts w:ascii="宋体" w:hAnsi="Courier New"/>
      <w:kern w:val="2"/>
      <w:sz w:val="28"/>
      <w:szCs w:val="28"/>
    </w:rPr>
  </w:style>
  <w:style w:type="character" w:customStyle="1" w:styleId="213">
    <w:name w:val="明显参考1"/>
    <w:qFormat/>
    <w:uiPriority w:val="0"/>
    <w:rPr>
      <w:b/>
      <w:bCs/>
      <w:smallCaps/>
      <w:color w:val="C0504D"/>
      <w:spacing w:val="5"/>
      <w:u w:val="single"/>
    </w:rPr>
  </w:style>
  <w:style w:type="character" w:customStyle="1" w:styleId="214">
    <w:name w:val="正文文本缩进 Char1"/>
    <w:qFormat/>
    <w:uiPriority w:val="0"/>
    <w:rPr>
      <w:kern w:val="2"/>
      <w:sz w:val="21"/>
      <w:szCs w:val="24"/>
    </w:rPr>
  </w:style>
  <w:style w:type="character" w:customStyle="1" w:styleId="215">
    <w:name w:val="页眉 Char"/>
    <w:qFormat/>
    <w:uiPriority w:val="0"/>
    <w:rPr>
      <w:sz w:val="18"/>
      <w:szCs w:val="18"/>
    </w:rPr>
  </w:style>
  <w:style w:type="character" w:customStyle="1" w:styleId="216">
    <w:name w:val="style31"/>
    <w:qFormat/>
    <w:uiPriority w:val="0"/>
    <w:rPr>
      <w:sz w:val="10"/>
      <w:szCs w:val="10"/>
    </w:rPr>
  </w:style>
  <w:style w:type="character" w:customStyle="1" w:styleId="217">
    <w:name w:val="日期 Char"/>
    <w:qFormat/>
    <w:uiPriority w:val="0"/>
    <w:rPr>
      <w:rFonts w:eastAsia="宋体"/>
      <w:szCs w:val="24"/>
    </w:rPr>
  </w:style>
  <w:style w:type="character" w:customStyle="1" w:styleId="218">
    <w:name w:val="标题 1 Char1"/>
    <w:qFormat/>
    <w:uiPriority w:val="0"/>
    <w:rPr>
      <w:rFonts w:ascii="Times New Roman" w:hAnsi="Times New Roman" w:eastAsia="宋体" w:cs="Times New Roman"/>
      <w:b/>
      <w:bCs/>
      <w:kern w:val="44"/>
      <w:sz w:val="44"/>
      <w:szCs w:val="44"/>
    </w:rPr>
  </w:style>
  <w:style w:type="character" w:customStyle="1" w:styleId="219">
    <w:name w:val="main_tdbg_7601"/>
    <w:qFormat/>
    <w:uiPriority w:val="0"/>
    <w:rPr>
      <w:sz w:val="14"/>
      <w:szCs w:val="14"/>
    </w:rPr>
  </w:style>
  <w:style w:type="character" w:customStyle="1" w:styleId="220">
    <w:name w:val="尾注文本 Char1"/>
    <w:qFormat/>
    <w:uiPriority w:val="0"/>
    <w:rPr>
      <w:rFonts w:ascii="Arial" w:hAnsi="Arial" w:cs="Arial"/>
      <w:szCs w:val="24"/>
      <w:lang w:eastAsia="en-US"/>
    </w:rPr>
  </w:style>
  <w:style w:type="character" w:customStyle="1" w:styleId="221">
    <w:name w:val="副标题 Char2"/>
    <w:qFormat/>
    <w:uiPriority w:val="11"/>
    <w:rPr>
      <w:rFonts w:ascii="Cambria" w:hAnsi="Cambria" w:eastAsia="宋体" w:cs="Times New Roman"/>
      <w:b/>
      <w:bCs/>
      <w:kern w:val="28"/>
      <w:sz w:val="32"/>
      <w:szCs w:val="32"/>
    </w:rPr>
  </w:style>
  <w:style w:type="character" w:customStyle="1" w:styleId="222">
    <w:name w:val="正文文本缩进 3 Char2"/>
    <w:semiHidden/>
    <w:qFormat/>
    <w:uiPriority w:val="99"/>
    <w:rPr>
      <w:rFonts w:ascii="Calibri" w:hAnsi="Calibri" w:eastAsia="宋体" w:cs="Times New Roman"/>
      <w:sz w:val="16"/>
      <w:szCs w:val="16"/>
    </w:rPr>
  </w:style>
  <w:style w:type="character" w:customStyle="1" w:styleId="223">
    <w:name w:val="Char Char34"/>
    <w:qFormat/>
    <w:uiPriority w:val="0"/>
    <w:rPr>
      <w:rFonts w:ascii="仿宋_GB2312" w:eastAsia="仿宋_GB2312" w:cs="MingLiU"/>
      <w:b/>
      <w:spacing w:val="1"/>
      <w:w w:val="99"/>
      <w:sz w:val="28"/>
      <w:szCs w:val="32"/>
    </w:rPr>
  </w:style>
  <w:style w:type="character" w:customStyle="1" w:styleId="224">
    <w:name w:val="docpro"/>
    <w:basedOn w:val="45"/>
    <w:qFormat/>
    <w:uiPriority w:val="0"/>
  </w:style>
  <w:style w:type="character" w:customStyle="1" w:styleId="225">
    <w:name w:val="正文文本 Char4"/>
    <w:link w:val="2"/>
    <w:qFormat/>
    <w:uiPriority w:val="0"/>
    <w:rPr>
      <w:rFonts w:eastAsia="宋体"/>
      <w:kern w:val="2"/>
      <w:sz w:val="21"/>
      <w:szCs w:val="24"/>
      <w:lang w:val="en-US" w:eastAsia="zh-CN" w:bidi="ar-SA"/>
    </w:rPr>
  </w:style>
  <w:style w:type="character" w:customStyle="1" w:styleId="226">
    <w:name w:val="ITTHEADER1 Char"/>
    <w:qFormat/>
    <w:uiPriority w:val="0"/>
    <w:rPr>
      <w:rFonts w:eastAsia="黑体"/>
      <w:kern w:val="2"/>
      <w:sz w:val="44"/>
      <w:szCs w:val="44"/>
      <w:lang w:val="en-US" w:eastAsia="zh-CN" w:bidi="ar-SA"/>
    </w:rPr>
  </w:style>
  <w:style w:type="character" w:customStyle="1" w:styleId="227">
    <w:name w:val="副标题 Char"/>
    <w:qFormat/>
    <w:uiPriority w:val="0"/>
    <w:rPr>
      <w:rFonts w:ascii="Cambria" w:hAnsi="Cambria" w:eastAsia="宋体" w:cs="Times New Roman"/>
      <w:b/>
      <w:bCs/>
      <w:kern w:val="28"/>
      <w:sz w:val="32"/>
      <w:szCs w:val="32"/>
    </w:rPr>
  </w:style>
  <w:style w:type="character" w:customStyle="1" w:styleId="228">
    <w:name w:val="标题 6 Char2"/>
    <w:link w:val="8"/>
    <w:qFormat/>
    <w:uiPriority w:val="0"/>
    <w:rPr>
      <w:rFonts w:hAnsi="Arial" w:eastAsia="仿宋_GB2312"/>
      <w:sz w:val="30"/>
      <w:lang w:val="en-US" w:eastAsia="zh-CN" w:bidi="ar-SA"/>
    </w:rPr>
  </w:style>
  <w:style w:type="character" w:customStyle="1" w:styleId="229">
    <w:name w:val="标题 Char2"/>
    <w:qFormat/>
    <w:uiPriority w:val="10"/>
    <w:rPr>
      <w:rFonts w:ascii="Cambria" w:hAnsi="Cambria" w:eastAsia="宋体" w:cs="Times New Roman"/>
      <w:b/>
      <w:bCs/>
      <w:sz w:val="32"/>
      <w:szCs w:val="32"/>
    </w:rPr>
  </w:style>
  <w:style w:type="character" w:customStyle="1" w:styleId="230">
    <w:name w:val="正文文本 Char2"/>
    <w:qFormat/>
    <w:uiPriority w:val="99"/>
    <w:rPr>
      <w:kern w:val="2"/>
      <w:sz w:val="21"/>
      <w:szCs w:val="24"/>
    </w:rPr>
  </w:style>
  <w:style w:type="character" w:customStyle="1" w:styleId="231">
    <w:name w:val="正文文本 2 Char"/>
    <w:link w:val="40"/>
    <w:qFormat/>
    <w:uiPriority w:val="0"/>
    <w:rPr>
      <w:i/>
      <w:iCs/>
      <w:kern w:val="2"/>
      <w:sz w:val="26"/>
      <w:szCs w:val="24"/>
    </w:rPr>
  </w:style>
  <w:style w:type="character" w:customStyle="1" w:styleId="232">
    <w:name w:val="0d1471"/>
    <w:qFormat/>
    <w:uiPriority w:val="0"/>
    <w:rPr>
      <w:color w:val="000000"/>
      <w:sz w:val="11"/>
      <w:szCs w:val="11"/>
      <w:u w:val="none"/>
    </w:rPr>
  </w:style>
  <w:style w:type="character" w:customStyle="1" w:styleId="233">
    <w:name w:val="批注主题 Char"/>
    <w:qFormat/>
    <w:uiPriority w:val="0"/>
    <w:rPr>
      <w:rFonts w:ascii="宋体" w:hAnsi="宋体" w:eastAsia="宋体"/>
      <w:kern w:val="2"/>
      <w:sz w:val="24"/>
      <w:szCs w:val="28"/>
      <w:lang w:val="en-US" w:eastAsia="zh-CN" w:bidi="ar-SA"/>
    </w:rPr>
  </w:style>
  <w:style w:type="character" w:customStyle="1" w:styleId="234">
    <w:name w:val="正文文本 2 Char1"/>
    <w:semiHidden/>
    <w:qFormat/>
    <w:uiPriority w:val="99"/>
    <w:rPr>
      <w:rFonts w:ascii="Calibri" w:hAnsi="Calibri" w:eastAsia="宋体" w:cs="Times New Roman"/>
      <w:szCs w:val="24"/>
    </w:rPr>
  </w:style>
  <w:style w:type="character" w:customStyle="1" w:styleId="235">
    <w:name w:val="批注框文本 Char1"/>
    <w:qFormat/>
    <w:uiPriority w:val="0"/>
    <w:rPr>
      <w:kern w:val="2"/>
      <w:sz w:val="18"/>
      <w:szCs w:val="18"/>
    </w:rPr>
  </w:style>
  <w:style w:type="character" w:customStyle="1" w:styleId="236">
    <w:name w:val="标题 Char3"/>
    <w:link w:val="44"/>
    <w:qFormat/>
    <w:uiPriority w:val="0"/>
    <w:rPr>
      <w:rFonts w:eastAsia="宋体"/>
      <w:szCs w:val="24"/>
      <w:u w:val="single"/>
      <w:lang w:val="en-US" w:eastAsia="en-US" w:bidi="ar-SA"/>
    </w:rPr>
  </w:style>
  <w:style w:type="character" w:customStyle="1" w:styleId="237">
    <w:name w:val="正文文本缩进 2 Char3"/>
    <w:link w:val="27"/>
    <w:qFormat/>
    <w:uiPriority w:val="0"/>
    <w:rPr>
      <w:rFonts w:eastAsia="宋体"/>
      <w:sz w:val="28"/>
      <w:szCs w:val="24"/>
      <w:lang w:val="en-US" w:eastAsia="zh-CN" w:bidi="ar-SA"/>
    </w:rPr>
  </w:style>
  <w:style w:type="character" w:customStyle="1" w:styleId="238">
    <w:name w:val="引用 Char"/>
    <w:link w:val="115"/>
    <w:qFormat/>
    <w:uiPriority w:val="0"/>
    <w:rPr>
      <w:rFonts w:ascii="Times New Roman" w:hAnsi="Times New Roman" w:eastAsia="宋体" w:cs="Times New Roman"/>
      <w:i/>
      <w:iCs/>
      <w:color w:val="000000"/>
      <w:kern w:val="2"/>
      <w:sz w:val="21"/>
      <w:szCs w:val="24"/>
    </w:rPr>
  </w:style>
  <w:style w:type="character" w:customStyle="1" w:styleId="239">
    <w:name w:val="font161"/>
    <w:qFormat/>
    <w:uiPriority w:val="0"/>
    <w:rPr>
      <w:b/>
      <w:bCs/>
      <w:sz w:val="32"/>
      <w:szCs w:val="32"/>
    </w:rPr>
  </w:style>
  <w:style w:type="character" w:customStyle="1" w:styleId="240">
    <w:name w:val="正文文本缩进 Char3"/>
    <w:link w:val="19"/>
    <w:qFormat/>
    <w:uiPriority w:val="0"/>
    <w:rPr>
      <w:rFonts w:eastAsia="宋体"/>
      <w:kern w:val="2"/>
      <w:sz w:val="21"/>
      <w:szCs w:val="24"/>
      <w:lang w:val="en-US" w:eastAsia="zh-CN" w:bidi="ar-SA"/>
    </w:rPr>
  </w:style>
  <w:style w:type="character" w:customStyle="1" w:styleId="241">
    <w:name w:val="标题 9 Char2"/>
    <w:link w:val="12"/>
    <w:qFormat/>
    <w:uiPriority w:val="0"/>
    <w:rPr>
      <w:rFonts w:eastAsia="仿宋_GB2312"/>
      <w:sz w:val="30"/>
      <w:lang w:val="en-US" w:eastAsia="zh-CN" w:bidi="ar-SA"/>
    </w:rPr>
  </w:style>
  <w:style w:type="character" w:customStyle="1" w:styleId="242">
    <w:name w:val="标题 8 Char2"/>
    <w:link w:val="11"/>
    <w:qFormat/>
    <w:uiPriority w:val="0"/>
    <w:rPr>
      <w:rFonts w:hAnsi="Arial" w:eastAsia="仿宋_GB2312"/>
      <w:sz w:val="30"/>
      <w:lang w:val="en-US" w:eastAsia="zh-CN" w:bidi="ar-SA"/>
    </w:rPr>
  </w:style>
  <w:style w:type="character" w:customStyle="1" w:styleId="243">
    <w:name w:val="Char Char32"/>
    <w:qFormat/>
    <w:uiPriority w:val="0"/>
    <w:rPr>
      <w:rFonts w:ascii="仿宋_GB2312" w:eastAsia="仿宋_GB2312" w:cs="MingLiU"/>
      <w:b/>
      <w:spacing w:val="1"/>
      <w:w w:val="99"/>
      <w:sz w:val="28"/>
      <w:szCs w:val="32"/>
    </w:rPr>
  </w:style>
  <w:style w:type="character" w:customStyle="1" w:styleId="244">
    <w:name w:val="正文文本缩进 3 Char3"/>
    <w:link w:val="37"/>
    <w:qFormat/>
    <w:uiPriority w:val="0"/>
    <w:rPr>
      <w:rFonts w:ascii="宋体" w:hAnsi="宋体" w:eastAsia="宋体"/>
      <w:kern w:val="2"/>
      <w:sz w:val="28"/>
      <w:szCs w:val="28"/>
      <w:lang w:val="en-US" w:eastAsia="zh-CN" w:bidi="ar-SA"/>
    </w:rPr>
  </w:style>
  <w:style w:type="character" w:customStyle="1" w:styleId="245">
    <w:name w:val="标题 2 Char1"/>
    <w:qFormat/>
    <w:uiPriority w:val="0"/>
    <w:rPr>
      <w:rFonts w:ascii="Cambria" w:hAnsi="Cambria" w:eastAsia="宋体" w:cs="Times New Roman"/>
      <w:b/>
      <w:bCs/>
      <w:kern w:val="2"/>
      <w:sz w:val="32"/>
      <w:szCs w:val="32"/>
    </w:rPr>
  </w:style>
  <w:style w:type="character" w:customStyle="1" w:styleId="246">
    <w:name w:val="ss16"/>
    <w:qFormat/>
    <w:uiPriority w:val="0"/>
    <w:rPr>
      <w:rFonts w:hint="eastAsia" w:ascii="宋体" w:hAnsi="宋体" w:eastAsia="宋体"/>
      <w:color w:val="000000"/>
      <w:sz w:val="9"/>
      <w:szCs w:val="9"/>
    </w:rPr>
  </w:style>
  <w:style w:type="character" w:customStyle="1" w:styleId="247">
    <w:name w:val="批注主题 Char3"/>
    <w:semiHidden/>
    <w:qFormat/>
    <w:uiPriority w:val="99"/>
    <w:rPr>
      <w:rFonts w:ascii="Calibri" w:hAnsi="Calibri" w:eastAsia="宋体" w:cs="Times New Roman"/>
      <w:b/>
      <w:bCs/>
      <w:szCs w:val="24"/>
    </w:rPr>
  </w:style>
  <w:style w:type="character" w:customStyle="1" w:styleId="248">
    <w:name w:val="明显引用 Char1"/>
    <w:link w:val="132"/>
    <w:qFormat/>
    <w:uiPriority w:val="30"/>
    <w:rPr>
      <w:b/>
      <w:bCs/>
      <w:i/>
      <w:iCs/>
      <w:color w:val="4F81BD"/>
      <w:kern w:val="2"/>
      <w:sz w:val="21"/>
    </w:rPr>
  </w:style>
  <w:style w:type="character" w:customStyle="1" w:styleId="249">
    <w:name w:val="HTML 预设格式 Char2"/>
    <w:semiHidden/>
    <w:qFormat/>
    <w:uiPriority w:val="99"/>
    <w:rPr>
      <w:rFonts w:ascii="Courier New" w:hAnsi="Courier New" w:eastAsia="宋体" w:cs="Courier New"/>
      <w:sz w:val="20"/>
      <w:szCs w:val="20"/>
    </w:rPr>
  </w:style>
  <w:style w:type="character" w:customStyle="1" w:styleId="250">
    <w:name w:val="Char Char17"/>
    <w:qFormat/>
    <w:uiPriority w:val="0"/>
    <w:rPr>
      <w:kern w:val="2"/>
      <w:sz w:val="26"/>
      <w:szCs w:val="24"/>
    </w:rPr>
  </w:style>
  <w:style w:type="character" w:customStyle="1" w:styleId="251">
    <w:name w:val="标题 3 Char1"/>
    <w:qFormat/>
    <w:uiPriority w:val="0"/>
    <w:rPr>
      <w:rFonts w:ascii="Times New Roman" w:hAnsi="Times New Roman" w:eastAsia="宋体" w:cs="Times New Roman"/>
      <w:b/>
      <w:bCs/>
      <w:kern w:val="2"/>
      <w:sz w:val="32"/>
      <w:szCs w:val="32"/>
    </w:rPr>
  </w:style>
  <w:style w:type="character" w:customStyle="1" w:styleId="252">
    <w:name w:val="标题 5 Char"/>
    <w:qFormat/>
    <w:uiPriority w:val="0"/>
    <w:rPr>
      <w:rFonts w:ascii="Calibri" w:hAnsi="Calibri" w:eastAsia="宋体" w:cs="Times New Roman"/>
      <w:b/>
      <w:bCs/>
      <w:sz w:val="28"/>
      <w:szCs w:val="28"/>
    </w:rPr>
  </w:style>
  <w:style w:type="character" w:customStyle="1" w:styleId="253">
    <w:name w:val="页脚 Char1"/>
    <w:semiHidden/>
    <w:qFormat/>
    <w:uiPriority w:val="99"/>
    <w:rPr>
      <w:kern w:val="2"/>
      <w:sz w:val="18"/>
      <w:szCs w:val="18"/>
    </w:rPr>
  </w:style>
  <w:style w:type="character" w:customStyle="1" w:styleId="254">
    <w:name w:val="unnamed1"/>
    <w:basedOn w:val="45"/>
    <w:qFormat/>
    <w:uiPriority w:val="0"/>
  </w:style>
  <w:style w:type="character" w:customStyle="1" w:styleId="255">
    <w:name w:val="Char Char9"/>
    <w:qFormat/>
    <w:locked/>
    <w:uiPriority w:val="0"/>
    <w:rPr>
      <w:rFonts w:ascii="仿宋_GB2312" w:eastAsia="仿宋_GB2312" w:cs="MingLiU"/>
      <w:b/>
      <w:sz w:val="24"/>
      <w:szCs w:val="28"/>
      <w:lang w:val="en-US" w:eastAsia="zh-CN" w:bidi="ar-SA"/>
    </w:rPr>
  </w:style>
  <w:style w:type="character" w:customStyle="1" w:styleId="256">
    <w:name w:val="批注主题 Char1"/>
    <w:qFormat/>
    <w:uiPriority w:val="0"/>
    <w:rPr>
      <w:b/>
      <w:bCs/>
      <w:kern w:val="2"/>
      <w:sz w:val="21"/>
      <w:szCs w:val="22"/>
    </w:rPr>
  </w:style>
  <w:style w:type="character" w:customStyle="1" w:styleId="257">
    <w:name w:val="正文文本 3 Char3"/>
    <w:link w:val="18"/>
    <w:qFormat/>
    <w:uiPriority w:val="0"/>
    <w:rPr>
      <w:rFonts w:eastAsia="宋体"/>
      <w:kern w:val="2"/>
      <w:sz w:val="16"/>
      <w:szCs w:val="16"/>
      <w:lang w:val="en-US" w:eastAsia="zh-CN" w:bidi="ar-SA"/>
    </w:rPr>
  </w:style>
  <w:style w:type="character" w:customStyle="1" w:styleId="258">
    <w:name w:val="纯文本 Char2"/>
    <w:semiHidden/>
    <w:qFormat/>
    <w:uiPriority w:val="99"/>
    <w:rPr>
      <w:rFonts w:ascii="宋体" w:hAnsi="Courier New" w:eastAsia="宋体" w:cs="Courier New"/>
      <w:szCs w:val="21"/>
    </w:rPr>
  </w:style>
  <w:style w:type="character" w:customStyle="1" w:styleId="259">
    <w:name w:val="intel3"/>
    <w:basedOn w:val="45"/>
    <w:qFormat/>
    <w:uiPriority w:val="0"/>
  </w:style>
  <w:style w:type="character" w:customStyle="1" w:styleId="260">
    <w:name w:val="subhead1"/>
    <w:qFormat/>
    <w:uiPriority w:val="0"/>
    <w:rPr>
      <w:rFonts w:hint="default" w:ascii="Tahoma" w:hAnsi="Tahoma" w:cs="Tahoma"/>
      <w:color w:val="000000"/>
      <w:sz w:val="18"/>
      <w:szCs w:val="18"/>
      <w:u w:val="none"/>
      <w:shd w:val="clear" w:color="auto" w:fill="FFFFFF"/>
    </w:rPr>
  </w:style>
  <w:style w:type="character" w:customStyle="1" w:styleId="261">
    <w:name w:val="脚注文本 Char"/>
    <w:qFormat/>
    <w:uiPriority w:val="0"/>
    <w:rPr>
      <w:rFonts w:ascii="Arial" w:hAnsi="Arial" w:eastAsia="宋体" w:cs="Arial"/>
      <w:sz w:val="18"/>
      <w:szCs w:val="18"/>
      <w:lang w:eastAsia="en-US"/>
    </w:rPr>
  </w:style>
  <w:style w:type="character" w:customStyle="1" w:styleId="262">
    <w:name w:val="引用 Char1"/>
    <w:link w:val="137"/>
    <w:qFormat/>
    <w:uiPriority w:val="29"/>
    <w:rPr>
      <w:i/>
      <w:iCs/>
      <w:color w:val="000000"/>
      <w:kern w:val="2"/>
      <w:sz w:val="21"/>
    </w:rPr>
  </w:style>
  <w:style w:type="character" w:customStyle="1" w:styleId="263">
    <w:name w:val="正文文本缩进 2 Char"/>
    <w:qFormat/>
    <w:uiPriority w:val="0"/>
    <w:rPr>
      <w:kern w:val="2"/>
      <w:sz w:val="21"/>
      <w:szCs w:val="24"/>
    </w:rPr>
  </w:style>
  <w:style w:type="character" w:customStyle="1" w:styleId="264">
    <w:name w:val="脚注文本 Char2"/>
    <w:semiHidden/>
    <w:qFormat/>
    <w:uiPriority w:val="99"/>
    <w:rPr>
      <w:rFonts w:ascii="Calibri" w:hAnsi="Calibri" w:eastAsia="宋体" w:cs="Times New Roman"/>
      <w:sz w:val="18"/>
      <w:szCs w:val="18"/>
    </w:rPr>
  </w:style>
  <w:style w:type="character" w:customStyle="1" w:styleId="265">
    <w:name w:val="ca-141"/>
    <w:qFormat/>
    <w:uiPriority w:val="0"/>
    <w:rPr>
      <w:rFonts w:hint="eastAsia" w:ascii="仿宋_GB2312" w:eastAsia="仿宋_GB2312"/>
      <w:sz w:val="21"/>
      <w:szCs w:val="21"/>
    </w:rPr>
  </w:style>
  <w:style w:type="character" w:customStyle="1" w:styleId="266">
    <w:name w:val="标题 Char1"/>
    <w:qFormat/>
    <w:uiPriority w:val="10"/>
    <w:rPr>
      <w:szCs w:val="24"/>
      <w:u w:val="single"/>
      <w:lang w:eastAsia="en-US"/>
    </w:rPr>
  </w:style>
  <w:style w:type="character" w:customStyle="1" w:styleId="267">
    <w:name w:val="style161"/>
    <w:qFormat/>
    <w:uiPriority w:val="0"/>
    <w:rPr>
      <w:b/>
      <w:bCs/>
      <w:color w:val="333333"/>
    </w:rPr>
  </w:style>
  <w:style w:type="character" w:customStyle="1" w:styleId="268">
    <w:name w:val="Char Char11"/>
    <w:qFormat/>
    <w:locked/>
    <w:uiPriority w:val="0"/>
    <w:rPr>
      <w:rFonts w:eastAsia="黑体"/>
      <w:kern w:val="2"/>
      <w:sz w:val="44"/>
      <w:szCs w:val="44"/>
      <w:lang w:val="en-US" w:eastAsia="zh-CN" w:bidi="ar-SA"/>
    </w:rPr>
  </w:style>
  <w:style w:type="character" w:customStyle="1" w:styleId="269">
    <w:name w:val="标题 7 Char"/>
    <w:qFormat/>
    <w:uiPriority w:val="0"/>
    <w:rPr>
      <w:rFonts w:ascii="Calibri" w:hAnsi="Calibri" w:eastAsia="宋体" w:cs="Times New Roman"/>
      <w:b/>
      <w:bCs/>
      <w:sz w:val="24"/>
      <w:szCs w:val="24"/>
    </w:rPr>
  </w:style>
  <w:style w:type="character" w:customStyle="1" w:styleId="270">
    <w:name w:val="批注文字 Char1"/>
    <w:qFormat/>
    <w:uiPriority w:val="99"/>
    <w:rPr>
      <w:rFonts w:ascii="Times New Roman" w:hAnsi="Times New Roman" w:eastAsia="宋体" w:cs="Times New Roman"/>
      <w:szCs w:val="24"/>
    </w:rPr>
  </w:style>
  <w:style w:type="character" w:customStyle="1" w:styleId="271">
    <w:name w:val="明显引用 Char"/>
    <w:qFormat/>
    <w:uiPriority w:val="0"/>
    <w:rPr>
      <w:rFonts w:ascii="Times New Roman" w:hAnsi="Times New Roman" w:eastAsia="宋体" w:cs="Times New Roman"/>
      <w:b/>
      <w:bCs/>
      <w:i/>
      <w:iCs/>
      <w:color w:val="4F81BD"/>
      <w:kern w:val="2"/>
      <w:sz w:val="21"/>
      <w:szCs w:val="24"/>
    </w:rPr>
  </w:style>
  <w:style w:type="character" w:customStyle="1" w:styleId="272">
    <w:name w:val="标题 5 Char2"/>
    <w:link w:val="7"/>
    <w:qFormat/>
    <w:uiPriority w:val="0"/>
    <w:rPr>
      <w:rFonts w:ascii="宋体" w:hAnsi="宋体" w:eastAsia="宋体" w:cs="宋体"/>
      <w:b/>
      <w:bCs/>
      <w:lang w:val="en-US" w:eastAsia="zh-CN" w:bidi="ar-SA"/>
    </w:rPr>
  </w:style>
  <w:style w:type="character" w:customStyle="1" w:styleId="273">
    <w:name w:val="正文文本缩进 3 Char1"/>
    <w:qFormat/>
    <w:uiPriority w:val="0"/>
    <w:rPr>
      <w:rFonts w:ascii="宋体" w:hAnsi="宋体"/>
      <w:kern w:val="2"/>
      <w:sz w:val="28"/>
      <w:szCs w:val="28"/>
    </w:rPr>
  </w:style>
  <w:style w:type="character" w:customStyle="1" w:styleId="274">
    <w:name w:val="正文文本 Char"/>
    <w:qFormat/>
    <w:uiPriority w:val="0"/>
    <w:rPr>
      <w:sz w:val="26"/>
      <w:szCs w:val="24"/>
    </w:rPr>
  </w:style>
  <w:style w:type="character" w:customStyle="1" w:styleId="275">
    <w:name w:val="明显引用 字符"/>
    <w:link w:val="81"/>
    <w:qFormat/>
    <w:uiPriority w:val="0"/>
    <w:rPr>
      <w:b/>
      <w:bCs/>
      <w:i/>
      <w:iCs/>
      <w:color w:val="4F81BD"/>
      <w:kern w:val="2"/>
      <w:sz w:val="21"/>
      <w:szCs w:val="22"/>
      <w:lang w:bidi="ar-SA"/>
    </w:rPr>
  </w:style>
  <w:style w:type="character" w:customStyle="1" w:styleId="276">
    <w:name w:val="Char Char12"/>
    <w:qFormat/>
    <w:uiPriority w:val="0"/>
    <w:rPr>
      <w:rFonts w:eastAsia="黑体"/>
      <w:kern w:val="2"/>
      <w:sz w:val="44"/>
      <w:szCs w:val="44"/>
      <w:lang w:val="en-US" w:eastAsia="zh-CN" w:bidi="ar-SA"/>
    </w:rPr>
  </w:style>
  <w:style w:type="character" w:customStyle="1" w:styleId="277">
    <w:name w:val="标题 4 Char"/>
    <w:qFormat/>
    <w:uiPriority w:val="0"/>
    <w:rPr>
      <w:rFonts w:ascii="仿宋_GB2312" w:hAnsi="Calibri" w:eastAsia="仿宋_GB2312" w:cs="Times New Roman"/>
      <w:b/>
      <w:kern w:val="0"/>
      <w:sz w:val="24"/>
      <w:szCs w:val="28"/>
    </w:rPr>
  </w:style>
  <w:style w:type="character" w:customStyle="1" w:styleId="278">
    <w:name w:val="明显引用 Char3"/>
    <w:qFormat/>
    <w:uiPriority w:val="30"/>
    <w:rPr>
      <w:rFonts w:ascii="Calibri" w:hAnsi="Calibri" w:eastAsia="宋体" w:cs="Times New Roman"/>
      <w:b/>
      <w:bCs/>
      <w:i/>
      <w:iCs/>
      <w:color w:val="4F81BD"/>
      <w:szCs w:val="24"/>
    </w:rPr>
  </w:style>
  <w:style w:type="character" w:customStyle="1" w:styleId="279">
    <w:name w:val="引用 Char2"/>
    <w:qFormat/>
    <w:uiPriority w:val="99"/>
    <w:rPr>
      <w:i/>
      <w:iCs/>
      <w:color w:val="000000"/>
      <w:kern w:val="2"/>
      <w:sz w:val="21"/>
      <w:szCs w:val="24"/>
    </w:rPr>
  </w:style>
  <w:style w:type="character" w:customStyle="1" w:styleId="280">
    <w:name w:val="批注主题 Char4"/>
    <w:link w:val="13"/>
    <w:qFormat/>
    <w:uiPriority w:val="0"/>
    <w:rPr>
      <w:rFonts w:eastAsia="宋体"/>
      <w:b/>
      <w:bCs/>
      <w:kern w:val="2"/>
      <w:sz w:val="21"/>
      <w:szCs w:val="24"/>
      <w:lang w:val="en-US" w:eastAsia="zh-CN" w:bidi="ar-SA"/>
    </w:rPr>
  </w:style>
  <w:style w:type="character" w:customStyle="1" w:styleId="281">
    <w:name w:val="不明显强调1"/>
    <w:qFormat/>
    <w:uiPriority w:val="0"/>
    <w:rPr>
      <w:i/>
      <w:iCs/>
      <w:color w:val="808080"/>
    </w:rPr>
  </w:style>
  <w:style w:type="character" w:customStyle="1" w:styleId="282">
    <w:name w:val="color_red1"/>
    <w:qFormat/>
    <w:uiPriority w:val="0"/>
    <w:rPr>
      <w:color w:val="FA0004"/>
    </w:rPr>
  </w:style>
  <w:style w:type="character" w:customStyle="1" w:styleId="283">
    <w:name w:val="标题 7 Char2"/>
    <w:link w:val="10"/>
    <w:qFormat/>
    <w:uiPriority w:val="0"/>
    <w:rPr>
      <w:rFonts w:eastAsia="仿宋_GB2312"/>
      <w:sz w:val="30"/>
      <w:lang w:val="en-US" w:eastAsia="zh-CN" w:bidi="ar-SA"/>
    </w:rPr>
  </w:style>
  <w:style w:type="character" w:customStyle="1" w:styleId="284">
    <w:name w:val="标题5 Char Char"/>
    <w:link w:val="121"/>
    <w:qFormat/>
    <w:uiPriority w:val="0"/>
    <w:rPr>
      <w:rFonts w:ascii="Arial" w:hAnsi="Arial"/>
      <w:b/>
      <w:bCs/>
      <w:sz w:val="24"/>
      <w:szCs w:val="32"/>
      <w:lang w:bidi="ar-SA"/>
    </w:rPr>
  </w:style>
  <w:style w:type="character" w:customStyle="1" w:styleId="285">
    <w:name w:val="脚注文本 Char3"/>
    <w:link w:val="35"/>
    <w:qFormat/>
    <w:uiPriority w:val="0"/>
    <w:rPr>
      <w:rFonts w:ascii="Arial" w:hAnsi="Arial" w:eastAsia="宋体" w:cs="Arial"/>
      <w:sz w:val="18"/>
      <w:szCs w:val="18"/>
      <w:lang w:val="en-US" w:eastAsia="en-US" w:bidi="ar-SA"/>
    </w:rPr>
  </w:style>
  <w:style w:type="character" w:customStyle="1" w:styleId="286">
    <w:name w:val="标题4 Char Char"/>
    <w:link w:val="91"/>
    <w:qFormat/>
    <w:uiPriority w:val="0"/>
    <w:rPr>
      <w:rFonts w:ascii="Arial" w:hAnsi="Arial"/>
      <w:b/>
      <w:bCs/>
      <w:sz w:val="24"/>
      <w:szCs w:val="32"/>
      <w:lang w:bidi="ar-SA"/>
    </w:rPr>
  </w:style>
  <w:style w:type="character" w:customStyle="1" w:styleId="287">
    <w:name w:val="Char Char13"/>
    <w:qFormat/>
    <w:uiPriority w:val="0"/>
    <w:rPr>
      <w:kern w:val="2"/>
      <w:sz w:val="18"/>
      <w:szCs w:val="18"/>
    </w:rPr>
  </w:style>
  <w:style w:type="character" w:customStyle="1" w:styleId="288">
    <w:name w:val="文档结构图 Char2"/>
    <w:qFormat/>
    <w:uiPriority w:val="99"/>
    <w:rPr>
      <w:kern w:val="2"/>
      <w:sz w:val="21"/>
      <w:szCs w:val="24"/>
      <w:shd w:val="clear" w:color="auto" w:fill="000080"/>
    </w:rPr>
  </w:style>
  <w:style w:type="character" w:customStyle="1" w:styleId="289">
    <w:name w:val="批注文字 Char2"/>
    <w:qFormat/>
    <w:uiPriority w:val="0"/>
    <w:rPr>
      <w:rFonts w:ascii="Calibri" w:hAnsi="Calibri" w:eastAsia="宋体" w:cs="Times New Roman"/>
      <w:szCs w:val="24"/>
    </w:rPr>
  </w:style>
  <w:style w:type="character" w:customStyle="1" w:styleId="290">
    <w:name w:val="标题 8 Char1"/>
    <w:qFormat/>
    <w:uiPriority w:val="0"/>
    <w:rPr>
      <w:rFonts w:ascii="Times New Roman" w:hAnsi="Arial" w:eastAsia="仿宋_GB2312" w:cs="Times New Roman"/>
      <w:sz w:val="30"/>
      <w:szCs w:val="20"/>
    </w:rPr>
  </w:style>
  <w:style w:type="character" w:customStyle="1" w:styleId="291">
    <w:name w:val="页眉 Char2"/>
    <w:link w:val="31"/>
    <w:qFormat/>
    <w:uiPriority w:val="0"/>
    <w:rPr>
      <w:rFonts w:eastAsia="宋体"/>
      <w:kern w:val="2"/>
      <w:sz w:val="18"/>
      <w:szCs w:val="18"/>
      <w:lang w:val="en-US" w:eastAsia="zh-CN" w:bidi="ar-SA"/>
    </w:rPr>
  </w:style>
  <w:style w:type="character" w:customStyle="1" w:styleId="292">
    <w:name w:val="Char Char21"/>
    <w:qFormat/>
    <w:uiPriority w:val="0"/>
    <w:rPr>
      <w:rFonts w:ascii="宋体" w:hAnsi="宋体" w:cs="宋体"/>
      <w:b/>
      <w:bCs/>
      <w:sz w:val="24"/>
      <w:szCs w:val="24"/>
    </w:rPr>
  </w:style>
  <w:style w:type="character" w:customStyle="1" w:styleId="293">
    <w:name w:val="标题 6 Char1"/>
    <w:qFormat/>
    <w:uiPriority w:val="0"/>
    <w:rPr>
      <w:rFonts w:ascii="Times New Roman" w:hAnsi="Arial" w:eastAsia="仿宋_GB2312" w:cs="Times New Roman"/>
      <w:sz w:val="30"/>
      <w:szCs w:val="20"/>
    </w:rPr>
  </w:style>
  <w:style w:type="character" w:customStyle="1" w:styleId="294">
    <w:name w:val="_Style 293"/>
    <w:qFormat/>
    <w:uiPriority w:val="0"/>
    <w:rPr>
      <w:smallCaps/>
      <w:color w:val="C0504D"/>
      <w:u w:val="single"/>
    </w:rPr>
  </w:style>
  <w:style w:type="character" w:customStyle="1" w:styleId="295">
    <w:name w:val="副标题 Char1"/>
    <w:qFormat/>
    <w:uiPriority w:val="0"/>
    <w:rPr>
      <w:szCs w:val="24"/>
      <w:u w:val="single"/>
      <w:lang w:eastAsia="en-US"/>
    </w:rPr>
  </w:style>
  <w:style w:type="character" w:customStyle="1" w:styleId="296">
    <w:name w:val="正文文本 Char3"/>
    <w:semiHidden/>
    <w:qFormat/>
    <w:uiPriority w:val="99"/>
    <w:rPr>
      <w:rFonts w:ascii="Calibri" w:hAnsi="Calibri" w:eastAsia="宋体" w:cs="Times New Roman"/>
      <w:szCs w:val="24"/>
    </w:rPr>
  </w:style>
  <w:style w:type="character" w:customStyle="1" w:styleId="297">
    <w:name w:val="标题 4 Char1"/>
    <w:qFormat/>
    <w:uiPriority w:val="0"/>
    <w:rPr>
      <w:rFonts w:ascii="宋体" w:hAnsi="宋体" w:eastAsia="宋体" w:cs="宋体"/>
      <w:b/>
      <w:bCs/>
      <w:sz w:val="24"/>
      <w:szCs w:val="24"/>
    </w:rPr>
  </w:style>
  <w:style w:type="character" w:customStyle="1" w:styleId="298">
    <w:name w:val="文档结构图 Char3"/>
    <w:semiHidden/>
    <w:qFormat/>
    <w:uiPriority w:val="99"/>
    <w:rPr>
      <w:rFonts w:ascii="宋体" w:hAnsi="Calibri" w:eastAsia="宋体" w:cs="Times New Roman"/>
      <w:sz w:val="18"/>
      <w:szCs w:val="18"/>
    </w:rPr>
  </w:style>
  <w:style w:type="character" w:customStyle="1" w:styleId="299">
    <w:name w:val="标题 3 Char2"/>
    <w:link w:val="5"/>
    <w:qFormat/>
    <w:uiPriority w:val="0"/>
    <w:rPr>
      <w:rFonts w:eastAsia="宋体"/>
      <w:b/>
      <w:bCs/>
      <w:kern w:val="2"/>
      <w:sz w:val="32"/>
      <w:szCs w:val="32"/>
      <w:lang w:val="en-US" w:eastAsia="zh-CN" w:bidi="ar-SA"/>
    </w:rPr>
  </w:style>
  <w:style w:type="character" w:customStyle="1" w:styleId="300">
    <w:name w:val="正文文本 3 Char2"/>
    <w:semiHidden/>
    <w:qFormat/>
    <w:uiPriority w:val="99"/>
    <w:rPr>
      <w:rFonts w:ascii="Calibri" w:hAnsi="Calibri" w:eastAsia="宋体" w:cs="Times New Roman"/>
      <w:sz w:val="16"/>
      <w:szCs w:val="16"/>
    </w:rPr>
  </w:style>
  <w:style w:type="character" w:customStyle="1" w:styleId="301">
    <w:name w:val="Char Char23"/>
    <w:qFormat/>
    <w:uiPriority w:val="0"/>
    <w:rPr>
      <w:rFonts w:ascii="Cambria" w:hAnsi="Cambria" w:eastAsia="宋体" w:cs="Times New Roman"/>
      <w:b/>
      <w:bCs/>
      <w:kern w:val="2"/>
      <w:sz w:val="32"/>
      <w:szCs w:val="32"/>
    </w:rPr>
  </w:style>
  <w:style w:type="character" w:customStyle="1" w:styleId="302">
    <w:name w:val="尾注文本 Char2"/>
    <w:semiHidden/>
    <w:qFormat/>
    <w:uiPriority w:val="99"/>
    <w:rPr>
      <w:rFonts w:ascii="Calibri" w:hAnsi="Calibri" w:eastAsia="宋体" w:cs="Times New Roman"/>
      <w:szCs w:val="24"/>
    </w:rPr>
  </w:style>
  <w:style w:type="character" w:customStyle="1" w:styleId="303">
    <w:name w:val="书籍标题1"/>
    <w:qFormat/>
    <w:uiPriority w:val="0"/>
    <w:rPr>
      <w:b/>
      <w:bCs/>
      <w:smallCaps/>
      <w:spacing w:val="5"/>
    </w:rPr>
  </w:style>
  <w:style w:type="character" w:customStyle="1" w:styleId="304">
    <w:name w:val="ITTHEADER2 Char"/>
    <w:qFormat/>
    <w:uiPriority w:val="0"/>
    <w:rPr>
      <w:rFonts w:ascii="仿宋_GB2312" w:eastAsia="仿宋_GB2312" w:cs="MingLiU"/>
      <w:b/>
      <w:spacing w:val="1"/>
      <w:w w:val="99"/>
      <w:sz w:val="28"/>
      <w:szCs w:val="32"/>
      <w:lang w:val="en-US" w:eastAsia="zh-CN" w:bidi="ar-SA"/>
    </w:rPr>
  </w:style>
  <w:style w:type="character" w:customStyle="1" w:styleId="305">
    <w:name w:val="批注文字 Char3"/>
    <w:link w:val="14"/>
    <w:qFormat/>
    <w:uiPriority w:val="99"/>
    <w:rPr>
      <w:rFonts w:eastAsia="宋体"/>
      <w:kern w:val="2"/>
      <w:sz w:val="21"/>
      <w:szCs w:val="24"/>
      <w:lang w:val="en-US" w:eastAsia="zh-CN" w:bidi="ar-SA"/>
    </w:rPr>
  </w:style>
  <w:style w:type="character" w:customStyle="1" w:styleId="306">
    <w:name w:val="批注文字 Char Char"/>
    <w:qFormat/>
    <w:uiPriority w:val="0"/>
    <w:rPr>
      <w:rFonts w:ascii="宋体" w:hAnsi="Times New Roman" w:eastAsia="宋体" w:cs="Times New Roman"/>
      <w:sz w:val="28"/>
      <w:szCs w:val="20"/>
    </w:rPr>
  </w:style>
  <w:style w:type="character" w:customStyle="1" w:styleId="307">
    <w:name w:val="副标题 Char3"/>
    <w:link w:val="34"/>
    <w:qFormat/>
    <w:uiPriority w:val="0"/>
    <w:rPr>
      <w:rFonts w:eastAsia="宋体"/>
      <w:szCs w:val="24"/>
      <w:u w:val="single"/>
      <w:lang w:val="en-US" w:eastAsia="en-US" w:bidi="ar-SA"/>
    </w:rPr>
  </w:style>
  <w:style w:type="character" w:customStyle="1" w:styleId="308">
    <w:name w:val="批注主题 Char2"/>
    <w:qFormat/>
    <w:uiPriority w:val="99"/>
    <w:rPr>
      <w:b/>
      <w:bCs/>
      <w:kern w:val="2"/>
      <w:sz w:val="21"/>
      <w:szCs w:val="24"/>
    </w:rPr>
  </w:style>
  <w:style w:type="character" w:customStyle="1" w:styleId="309">
    <w:name w:val="normaltext1"/>
    <w:qFormat/>
    <w:uiPriority w:val="0"/>
    <w:rPr>
      <w:rFonts w:hint="default" w:ascii="ˎ̥" w:hAnsi="ˎ̥"/>
      <w:sz w:val="9"/>
      <w:szCs w:val="9"/>
    </w:rPr>
  </w:style>
  <w:style w:type="character" w:customStyle="1" w:styleId="310">
    <w:name w:val="不明显参考1"/>
    <w:qFormat/>
    <w:uiPriority w:val="0"/>
    <w:rPr>
      <w:smallCaps/>
      <w:color w:val="C0504D"/>
      <w:u w:val="single"/>
    </w:rPr>
  </w:style>
  <w:style w:type="character" w:customStyle="1" w:styleId="311">
    <w:name w:val="标题 6 Char"/>
    <w:qFormat/>
    <w:uiPriority w:val="0"/>
    <w:rPr>
      <w:rFonts w:ascii="Arial" w:hAnsi="Arial" w:eastAsia="黑体" w:cs="Times New Roman"/>
      <w:b/>
      <w:bCs/>
      <w:sz w:val="24"/>
      <w:szCs w:val="24"/>
    </w:rPr>
  </w:style>
  <w:style w:type="paragraph" w:customStyle="1" w:styleId="312">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313">
    <w:name w:val="WPSOffice手动目录 1"/>
    <w:qFormat/>
    <w:uiPriority w:val="0"/>
    <w:pPr>
      <w:ind w:leftChars="0"/>
    </w:pPr>
    <w:rPr>
      <w:rFonts w:ascii="Times New Roman" w:hAnsi="Times New Roman" w:eastAsia="宋体" w:cs="Times New Roman"/>
      <w:sz w:val="20"/>
      <w:szCs w:val="20"/>
    </w:rPr>
  </w:style>
  <w:style w:type="paragraph" w:customStyle="1" w:styleId="31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0BE150-65D7-40C7-A854-A934100F7468}">
  <ds:schemaRefs/>
</ds:datastoreItem>
</file>

<file path=docProps/app.xml><?xml version="1.0" encoding="utf-8"?>
<Properties xmlns="http://schemas.openxmlformats.org/officeDocument/2006/extended-properties" xmlns:vt="http://schemas.openxmlformats.org/officeDocument/2006/docPropsVTypes">
  <Template>Normal.dotm</Template>
  <Pages>228</Pages>
  <Words>19943</Words>
  <Characters>113677</Characters>
  <Lines>947</Lines>
  <Paragraphs>266</Paragraphs>
  <TotalTime>14</TotalTime>
  <ScaleCrop>false</ScaleCrop>
  <LinksUpToDate>false</LinksUpToDate>
  <CharactersWithSpaces>133354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2022-11-26T02:02:00Z</dcterms:created>
  <dc:creator>USER</dc:creator>
  <cp:lastModifiedBy>NTK2</cp:lastModifiedBy>
  <cp:lastPrinted>2019-02-01T08:39:00Z</cp:lastPrinted>
  <dcterms:modified xsi:type="dcterms:W3CDTF">2023-04-28T08:14:24Z</dcterms:modified>
  <dc:title>第一卷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