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黑体_GBK" w:hAnsi="方正黑体_GBK" w:eastAsia="方正黑体_GBK" w:cs="方正黑体_GBK"/>
          <w:sz w:val="28"/>
          <w:szCs w:val="28"/>
          <w:lang w:val="en-US" w:eastAsia="zh-CN"/>
        </w:rPr>
      </w:pPr>
      <w:bookmarkStart w:id="0" w:name="_GoBack"/>
      <w:bookmarkEnd w:id="0"/>
      <w:r>
        <w:rPr>
          <w:rFonts w:hint="eastAsia" w:ascii="方正黑体_GBK" w:hAnsi="方正黑体_GBK" w:eastAsia="方正黑体_GBK" w:cs="方正黑体_GBK"/>
          <w:sz w:val="28"/>
          <w:szCs w:val="28"/>
          <w:lang w:eastAsia="zh-CN"/>
        </w:rPr>
        <w:t>附件</w:t>
      </w:r>
      <w:r>
        <w:rPr>
          <w:rFonts w:hint="eastAsia" w:ascii="方正黑体_GBK" w:hAnsi="方正黑体_GBK" w:eastAsia="方正黑体_GBK" w:cs="方正黑体_GBK"/>
          <w:sz w:val="28"/>
          <w:szCs w:val="28"/>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Calibri" w:eastAsia="仿宋_GB2312" w:cs="Times New Roman"/>
          <w:sz w:val="32"/>
          <w:szCs w:val="32"/>
        </w:rPr>
      </w:pPr>
      <w:r>
        <w:rPr>
          <w:rFonts w:hint="eastAsia" w:ascii="方正小标宋简体" w:eastAsia="方正小标宋简体"/>
          <w:sz w:val="44"/>
          <w:szCs w:val="44"/>
        </w:rPr>
        <w:t>《</w:t>
      </w:r>
      <w:r>
        <w:rPr>
          <w:rFonts w:hint="eastAsia" w:ascii="方正小标宋简体" w:hAnsi="方正小标宋简体" w:eastAsia="方正小标宋简体" w:cs="方正小标宋简体"/>
          <w:sz w:val="44"/>
          <w:szCs w:val="44"/>
          <w:lang w:eastAsia="zh-CN"/>
        </w:rPr>
        <w:t>北京市工程建设项目招标投标负面行为清单</w:t>
      </w:r>
      <w:r>
        <w:rPr>
          <w:rFonts w:hint="eastAsia" w:ascii="方正小标宋简体" w:eastAsia="方正小标宋简体"/>
          <w:sz w:val="44"/>
          <w:szCs w:val="44"/>
        </w:rPr>
        <w:t>（征求意见稿）》的起草说明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eastAsia="zh-CN"/>
        </w:rPr>
        <w:t>起草</w:t>
      </w:r>
      <w:r>
        <w:rPr>
          <w:rFonts w:hint="eastAsia" w:ascii="黑体" w:hAnsi="黑体" w:eastAsia="黑体"/>
          <w:sz w:val="32"/>
          <w:szCs w:val="32"/>
        </w:rPr>
        <w:t>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hAnsi="仿宋_GB2312" w:eastAsia="仿宋_GB2312" w:cs="仿宋_GB2312"/>
          <w:sz w:val="32"/>
          <w:szCs w:val="32"/>
          <w:lang w:eastAsia="zh-CN"/>
        </w:rPr>
        <w:t>为贯彻落实</w:t>
      </w:r>
      <w:r>
        <w:rPr>
          <w:rFonts w:hint="eastAsia" w:ascii="仿宋_GB2312" w:hAnsi="仿宋_GB2312" w:eastAsia="仿宋_GB2312" w:cs="仿宋_GB2312"/>
          <w:sz w:val="32"/>
          <w:szCs w:val="32"/>
        </w:rPr>
        <w:t>《北京市全面优化营商环境助力企业高质量发展实施方案》（京政办〔2023〕8号）文件精神和本市相关工作要求，进一步推动各方参与主体在工程建设项目招标投标活动中切实做到依法合规，服务招标人及代理机构、投标人、评标委员会、公共资源交易平台运行服务机构</w:t>
      </w:r>
      <w:r>
        <w:rPr>
          <w:rFonts w:hint="eastAsia" w:ascii="仿宋_GB2312" w:hAnsi="仿宋_GB2312" w:eastAsia="仿宋_GB2312" w:cs="仿宋_GB2312"/>
          <w:sz w:val="32"/>
          <w:szCs w:val="32"/>
          <w:lang w:eastAsia="zh-CN"/>
        </w:rPr>
        <w:t>全面了解</w:t>
      </w:r>
      <w:r>
        <w:rPr>
          <w:rFonts w:hint="eastAsia" w:ascii="仿宋_GB2312" w:hAnsi="仿宋_GB2312" w:eastAsia="仿宋_GB2312" w:cs="仿宋_GB2312"/>
          <w:sz w:val="32"/>
          <w:szCs w:val="32"/>
        </w:rPr>
        <w:t>招标投标</w:t>
      </w:r>
      <w:r>
        <w:rPr>
          <w:rFonts w:hint="eastAsia" w:ascii="仿宋_GB2312" w:hAnsi="仿宋_GB2312" w:eastAsia="仿宋_GB2312" w:cs="仿宋_GB2312"/>
          <w:sz w:val="32"/>
          <w:szCs w:val="32"/>
          <w:lang w:eastAsia="zh-CN"/>
        </w:rPr>
        <w:t>活动</w:t>
      </w:r>
      <w:r>
        <w:rPr>
          <w:rFonts w:hint="eastAsia" w:ascii="仿宋_GB2312" w:hAnsi="仿宋_GB2312" w:eastAsia="仿宋_GB2312" w:cs="仿宋_GB2312"/>
          <w:sz w:val="32"/>
          <w:szCs w:val="32"/>
        </w:rPr>
        <w:t>全过程中禁止事项和负面行为，营造规范有序的招标投标市场环境，</w:t>
      </w:r>
      <w:r>
        <w:rPr>
          <w:rFonts w:hint="eastAsia" w:ascii="仿宋_GB2312" w:eastAsia="仿宋_GB2312"/>
          <w:sz w:val="32"/>
          <w:szCs w:val="32"/>
          <w:lang w:val="en-US" w:eastAsia="zh-CN"/>
        </w:rPr>
        <w:t>我们研究起草了《北京市工程建设项目招标投标负面行为清单（征求意见稿）》（以下简称《负面行为清单》）</w:t>
      </w:r>
      <w:r>
        <w:rPr>
          <w:rFonts w:hint="eastAsia" w:ascii="仿宋_GB2312" w:hAns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eastAsia="zh-CN"/>
        </w:rPr>
        <w:t>主要考虑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一是坚持标准统一。</w:t>
      </w:r>
      <w:r>
        <w:rPr>
          <w:rFonts w:hint="eastAsia" w:ascii="仿宋_GB2312" w:eastAsia="仿宋_GB2312"/>
          <w:sz w:val="32"/>
          <w:szCs w:val="32"/>
          <w:lang w:val="en-US" w:eastAsia="zh-CN"/>
        </w:rPr>
        <w:t>起草过程中重点把握了《负面行为清单》制定依据的标准统一。制定依据的统一标准为</w:t>
      </w:r>
      <w:r>
        <w:rPr>
          <w:rFonts w:hint="eastAsia" w:ascii="仿宋_GB2312" w:hAnsi="仿宋_GB2312" w:eastAsia="仿宋_GB2312" w:cs="仿宋_GB2312"/>
          <w:sz w:val="32"/>
          <w:szCs w:val="32"/>
        </w:rPr>
        <w:t>招标投标</w:t>
      </w:r>
      <w:r>
        <w:rPr>
          <w:rFonts w:hint="eastAsia" w:ascii="仿宋_GB2312" w:eastAsia="仿宋_GB2312"/>
          <w:sz w:val="32"/>
          <w:szCs w:val="32"/>
          <w:lang w:val="en-US" w:eastAsia="zh-CN"/>
        </w:rPr>
        <w:t>领域法律、法规和规章，其中行业行政监督部门制发的本领域招标投标制度文件不作为本次制定依据。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b w:val="0"/>
          <w:bCs w:val="0"/>
          <w:sz w:val="32"/>
          <w:szCs w:val="32"/>
          <w:lang w:val="en-US" w:eastAsia="zh-CN"/>
        </w:rPr>
      </w:pPr>
      <w:r>
        <w:rPr>
          <w:rFonts w:hint="eastAsia" w:ascii="仿宋_GB2312" w:eastAsia="仿宋_GB2312"/>
          <w:b/>
          <w:bCs/>
          <w:sz w:val="32"/>
          <w:szCs w:val="32"/>
          <w:lang w:val="en-US" w:eastAsia="zh-CN"/>
        </w:rPr>
        <w:t>二是坚持统筹规范。</w:t>
      </w:r>
      <w:r>
        <w:rPr>
          <w:rFonts w:hint="eastAsia" w:ascii="仿宋_GB2312" w:eastAsia="仿宋_GB2312"/>
          <w:b w:val="0"/>
          <w:bCs w:val="0"/>
          <w:sz w:val="32"/>
          <w:szCs w:val="32"/>
          <w:lang w:val="en-US" w:eastAsia="zh-CN"/>
        </w:rPr>
        <w:t>《负面行为清单》突出</w:t>
      </w:r>
      <w:r>
        <w:rPr>
          <w:rFonts w:hint="eastAsia" w:ascii="仿宋_GB2312" w:hAnsi="仿宋_GB2312" w:eastAsia="仿宋_GB2312" w:cs="仿宋_GB2312"/>
          <w:sz w:val="32"/>
          <w:szCs w:val="32"/>
        </w:rPr>
        <w:t>招标投标</w:t>
      </w:r>
      <w:r>
        <w:rPr>
          <w:rFonts w:hint="eastAsia" w:ascii="仿宋_GB2312" w:eastAsia="仿宋_GB2312"/>
          <w:b w:val="0"/>
          <w:bCs w:val="0"/>
          <w:sz w:val="32"/>
          <w:szCs w:val="32"/>
          <w:lang w:val="en-US" w:eastAsia="zh-CN"/>
        </w:rPr>
        <w:t>活动参与各方全覆盖,将《招标投标法》《招标投标法实施条例》《北京市招标投标条例》《电子招标投标办法》《公共资源交易平台管理办法（试行）》等涉及的各参与方纳入清单，并根据各参与方在</w:t>
      </w:r>
      <w:r>
        <w:rPr>
          <w:rFonts w:hint="eastAsia" w:ascii="仿宋_GB2312" w:hAnsi="仿宋_GB2312" w:eastAsia="仿宋_GB2312" w:cs="仿宋_GB2312"/>
          <w:sz w:val="32"/>
          <w:szCs w:val="32"/>
        </w:rPr>
        <w:t>招标投标</w:t>
      </w:r>
      <w:r>
        <w:rPr>
          <w:rFonts w:hint="eastAsia" w:ascii="仿宋_GB2312" w:eastAsia="仿宋_GB2312"/>
          <w:b w:val="0"/>
          <w:bCs w:val="0"/>
          <w:sz w:val="32"/>
          <w:szCs w:val="32"/>
          <w:lang w:val="en-US" w:eastAsia="zh-CN"/>
        </w:rPr>
        <w:t>活动中每个环节的禁止事项，详细勾画出</w:t>
      </w:r>
      <w:r>
        <w:rPr>
          <w:rFonts w:hint="eastAsia" w:ascii="仿宋_GB2312" w:hAnsi="仿宋_GB2312" w:eastAsia="仿宋_GB2312" w:cs="仿宋_GB2312"/>
          <w:sz w:val="32"/>
          <w:szCs w:val="32"/>
        </w:rPr>
        <w:t>招标投标</w:t>
      </w:r>
      <w:r>
        <w:rPr>
          <w:rFonts w:hint="eastAsia" w:ascii="仿宋_GB2312" w:eastAsia="仿宋_GB2312"/>
          <w:b w:val="0"/>
          <w:bCs w:val="0"/>
          <w:sz w:val="32"/>
          <w:szCs w:val="32"/>
          <w:lang w:val="en-US" w:eastAsia="zh-CN"/>
        </w:rPr>
        <w:t>全过程中参与方发生的负面行为。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三是坚持动态调整。</w:t>
      </w:r>
      <w:r>
        <w:rPr>
          <w:rFonts w:hint="eastAsia" w:ascii="仿宋_GB2312" w:eastAsia="仿宋_GB2312"/>
          <w:b w:val="0"/>
          <w:bCs w:val="0"/>
          <w:sz w:val="32"/>
          <w:szCs w:val="32"/>
          <w:lang w:val="en-US" w:eastAsia="zh-CN"/>
        </w:rPr>
        <w:t>《负面行为清单》将按照制定依据的变化建立</w:t>
      </w:r>
      <w:r>
        <w:rPr>
          <w:rFonts w:hint="eastAsia" w:ascii="仿宋_GB2312" w:eastAsia="仿宋_GB2312"/>
          <w:sz w:val="32"/>
          <w:szCs w:val="32"/>
          <w:lang w:val="en-US" w:eastAsia="zh-CN"/>
        </w:rPr>
        <w:t>动态调整机制，</w:t>
      </w:r>
      <w:r>
        <w:rPr>
          <w:rFonts w:hint="eastAsia" w:ascii="仿宋_GB2312" w:hAnsi="仿宋_GB2312" w:eastAsia="仿宋_GB2312" w:cs="仿宋_GB2312"/>
          <w:sz w:val="32"/>
          <w:szCs w:val="32"/>
        </w:rPr>
        <w:t>招标投标</w:t>
      </w:r>
      <w:r>
        <w:rPr>
          <w:rFonts w:hint="eastAsia" w:ascii="仿宋_GB2312" w:eastAsia="仿宋_GB2312"/>
          <w:sz w:val="32"/>
          <w:szCs w:val="32"/>
          <w:lang w:val="en-US" w:eastAsia="zh-CN"/>
        </w:rPr>
        <w:t>领域法律、法规、规章调整修改或客观工作情况发生重大变化的，将及时做好《负面行为清单》调整工作，并同步向社会公开。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《负面行为清单》设置了招标人、招标代理机构及相关人员，投标人，评标委员会及成员，公共资源交易平台运行服务机构及相关人员四类</w:t>
      </w:r>
      <w:r>
        <w:rPr>
          <w:rFonts w:hint="eastAsia" w:ascii="仿宋_GB2312" w:hAnsi="仿宋_GB2312" w:eastAsia="仿宋_GB2312" w:cs="仿宋_GB2312"/>
          <w:sz w:val="32"/>
          <w:szCs w:val="32"/>
        </w:rPr>
        <w:t>招标投标</w:t>
      </w:r>
      <w:r>
        <w:rPr>
          <w:rFonts w:hint="eastAsia" w:ascii="仿宋_GB2312" w:eastAsia="仿宋_GB2312"/>
          <w:sz w:val="32"/>
          <w:szCs w:val="32"/>
          <w:lang w:val="en-US" w:eastAsia="zh-CN"/>
        </w:rPr>
        <w:t>活动参与方共59项负面行为。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招标人、招标代理机构及相关人员共包括不按规定招标或规避招标、不按规定发布公告文件、限制和排斥潜在投标人、公示与时限不按规定等24项负面行为。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投标人包括不符合要求参与投标、行贿、低于成本价竞标、弄虚作假等13项负面行为。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评标委员会及成员包括不按规定开展评标、收受财物或好处、透露有关评标情况、协助串通投标等6项负面行为。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公共资源交易平台运行服务机构及相关人员包括电子招投标系统不满足相关功能要求、存在限制或排斥潜在投标人、违规收取费用或指定购买工具软件、泄密等16项负面行为。</w:t>
      </w:r>
    </w:p>
    <w:p>
      <w:pPr>
        <w:keepNext w:val="0"/>
        <w:keepLines w:val="0"/>
        <w:pageBreakBefore w:val="0"/>
        <w:widowControl w:val="0"/>
        <w:kinsoku/>
        <w:wordWrap/>
        <w:overflowPunct/>
        <w:topLinePunct w:val="0"/>
        <w:autoSpaceDE/>
        <w:autoSpaceDN/>
        <w:bidi w:val="0"/>
        <w:adjustRightInd/>
        <w:snapToGrid/>
        <w:spacing w:line="560" w:lineRule="exact"/>
        <w:textAlignment w:val="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Arial Unicode MS"/>
    <w:panose1 w:val="02000000000000000000"/>
    <w:charset w:val="86"/>
    <w:family w:val="auto"/>
    <w:pitch w:val="default"/>
    <w:sig w:usb0="00000001" w:usb1="08000000" w:usb2="00000000" w:usb3="00000000" w:csb0="00040000" w:csb1="00000000"/>
  </w:font>
  <w:font w:name="方正小标宋简体">
    <w:altName w:val="Arial Unicode MS"/>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084B2B"/>
    <w:rsid w:val="17084B2B"/>
    <w:rsid w:val="1FDD232B"/>
    <w:rsid w:val="37F1D669"/>
    <w:rsid w:val="3FAD1E9D"/>
    <w:rsid w:val="66FC0AFA"/>
    <w:rsid w:val="68D15B6D"/>
    <w:rsid w:val="73C680D3"/>
    <w:rsid w:val="75777114"/>
    <w:rsid w:val="767D15D4"/>
    <w:rsid w:val="7CF790D4"/>
    <w:rsid w:val="7EF4AA29"/>
    <w:rsid w:val="7FFFE29F"/>
    <w:rsid w:val="A3FF98B2"/>
    <w:rsid w:val="BA7B23C6"/>
    <w:rsid w:val="BFF59D30"/>
    <w:rsid w:val="C77A9249"/>
    <w:rsid w:val="DE6D7D1E"/>
    <w:rsid w:val="DEDAF5ED"/>
    <w:rsid w:val="F6BDAFBC"/>
    <w:rsid w:val="F7C74E30"/>
    <w:rsid w:val="FD7F8EA4"/>
    <w:rsid w:val="FE7348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4.33333333333333</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2023-10-25T01:02:00Z</dcterms:created>
  <dc:creator>user</dc:creator>
  <cp:lastModifiedBy>Albert Einstein</cp:lastModifiedBy>
  <cp:lastPrinted>2023-10-25T07:02:08Z</cp:lastPrinted>
  <dcterms:modified xsi:type="dcterms:W3CDTF">2023-10-29T03:47:44Z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42D184155BA246F8B22C87D3A01573C1_13</vt:lpwstr>
  </property>
</Properties>
</file>